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02703" w14:textId="4943909F" w:rsidR="00E76B4A" w:rsidRDefault="00A66E24">
      <w:pPr>
        <w:rPr>
          <w:b/>
          <w:bCs/>
        </w:rPr>
      </w:pPr>
      <w:r>
        <w:rPr>
          <w:b/>
          <w:bCs/>
        </w:rPr>
        <w:t xml:space="preserve">Clinical </w:t>
      </w:r>
      <w:r w:rsidRPr="00A66E24">
        <w:rPr>
          <w:b/>
          <w:bCs/>
        </w:rPr>
        <w:t>Audit Guidelines for the Assessment</w:t>
      </w:r>
      <w:r w:rsidR="00D5180A">
        <w:rPr>
          <w:b/>
          <w:bCs/>
        </w:rPr>
        <w:t>, Diagnosis</w:t>
      </w:r>
      <w:r w:rsidRPr="00A66E24">
        <w:rPr>
          <w:b/>
          <w:bCs/>
        </w:rPr>
        <w:t xml:space="preserve"> and Treatment of Periodontal Disease</w:t>
      </w:r>
      <w:r w:rsidR="00D0542A">
        <w:rPr>
          <w:b/>
          <w:bCs/>
        </w:rPr>
        <w:t xml:space="preserve"> in General Dental Practice</w:t>
      </w:r>
    </w:p>
    <w:p w14:paraId="3E338921" w14:textId="77777777" w:rsidR="005F2D17" w:rsidRDefault="005F2D17" w:rsidP="005F2D17">
      <w:pPr>
        <w:rPr>
          <w:b/>
          <w:bCs/>
        </w:rPr>
      </w:pPr>
      <w:r>
        <w:rPr>
          <w:b/>
          <w:bCs/>
        </w:rPr>
        <w:t>Background &amp; Context</w:t>
      </w:r>
    </w:p>
    <w:p w14:paraId="400FEE3E" w14:textId="54D40CB2" w:rsidR="005F2D17" w:rsidRDefault="005F2D17" w:rsidP="005F2D17">
      <w:pPr>
        <w:rPr>
          <w:b/>
          <w:bCs/>
        </w:rPr>
      </w:pPr>
      <w:r>
        <w:t xml:space="preserve">Periodontitis is a major cause of tooth loss, it impacts speech, nutrition, wellbeing, quality of life and has systemic health consequences. It is however a preventable disease and if diagnosed and managed early, health outcomes are significantly improved. It requires a lifelong commitment by patients and oral healthcare teams and is cost effective if the focus along the stepped care pathway is shifted to prevention (Step-1 of care). </w:t>
      </w:r>
    </w:p>
    <w:p w14:paraId="0A386CFB" w14:textId="1DD495BE" w:rsidR="00A66E24" w:rsidRDefault="00D417B4">
      <w:pPr>
        <w:rPr>
          <w:b/>
          <w:bCs/>
        </w:rPr>
      </w:pPr>
      <w:r>
        <w:rPr>
          <w:b/>
          <w:bCs/>
        </w:rPr>
        <w:t>What is the audit for?</w:t>
      </w:r>
    </w:p>
    <w:p w14:paraId="17B0E2C3" w14:textId="01ED092F" w:rsidR="00552068" w:rsidRDefault="009323DB" w:rsidP="003E672E">
      <w:pPr>
        <w:pStyle w:val="ListParagraph"/>
        <w:numPr>
          <w:ilvl w:val="0"/>
          <w:numId w:val="21"/>
        </w:numPr>
      </w:pPr>
      <w:r w:rsidRPr="008A684B">
        <w:t>Periodontal assessment</w:t>
      </w:r>
      <w:r w:rsidR="00FC35FC" w:rsidRPr="008A684B">
        <w:t xml:space="preserve"> is </w:t>
      </w:r>
      <w:r w:rsidRPr="008A684B">
        <w:t>vital for diagnosis, treatment planning and the</w:t>
      </w:r>
      <w:r w:rsidR="00FD16A0">
        <w:t xml:space="preserve"> </w:t>
      </w:r>
      <w:r w:rsidRPr="008A684B">
        <w:t xml:space="preserve">monitoring </w:t>
      </w:r>
      <w:r w:rsidR="003553BD">
        <w:t>of any</w:t>
      </w:r>
      <w:r w:rsidR="003553BD" w:rsidRPr="008A684B">
        <w:t xml:space="preserve"> </w:t>
      </w:r>
      <w:r w:rsidR="008E2181" w:rsidRPr="008A684B">
        <w:t>progression of periodontal disease</w:t>
      </w:r>
      <w:r w:rsidR="0012231B" w:rsidRPr="008A684B">
        <w:t>.</w:t>
      </w:r>
      <w:r w:rsidR="00552068">
        <w:t xml:space="preserve"> </w:t>
      </w:r>
    </w:p>
    <w:p w14:paraId="7B5D00AD" w14:textId="5D79AC86" w:rsidR="004A6F01" w:rsidRDefault="004A6F01" w:rsidP="003E672E">
      <w:pPr>
        <w:pStyle w:val="ListParagraph"/>
        <w:numPr>
          <w:ilvl w:val="0"/>
          <w:numId w:val="21"/>
        </w:numPr>
      </w:pPr>
      <w:r>
        <w:t xml:space="preserve">This </w:t>
      </w:r>
      <w:r w:rsidR="00487084">
        <w:t>clinical</w:t>
      </w:r>
      <w:r>
        <w:t xml:space="preserve"> audit </w:t>
      </w:r>
      <w:r w:rsidR="002D048C">
        <w:t xml:space="preserve">may facilitate </w:t>
      </w:r>
      <w:r w:rsidR="00523D57">
        <w:t xml:space="preserve">the critical analysis of the quality of patient care </w:t>
      </w:r>
      <w:r w:rsidR="00A645C9">
        <w:t xml:space="preserve">by reviewing the procedures used for </w:t>
      </w:r>
      <w:r w:rsidR="00EE19A2">
        <w:t>diagnosis and treatment of periodontal disease</w:t>
      </w:r>
      <w:r w:rsidR="003E672E">
        <w:t xml:space="preserve"> in general dental practice.</w:t>
      </w:r>
      <w:r w:rsidR="00EE19A2">
        <w:t xml:space="preserve"> </w:t>
      </w:r>
    </w:p>
    <w:p w14:paraId="6433AA7B" w14:textId="12948992" w:rsidR="00CD006B" w:rsidRDefault="00CD006B" w:rsidP="003E672E">
      <w:pPr>
        <w:pStyle w:val="ListParagraph"/>
        <w:numPr>
          <w:ilvl w:val="0"/>
          <w:numId w:val="21"/>
        </w:numPr>
      </w:pPr>
      <w:r>
        <w:t xml:space="preserve">This audit can be undertaken to assess the </w:t>
      </w:r>
      <w:r w:rsidR="002D3AFF">
        <w:t>standard</w:t>
      </w:r>
      <w:r>
        <w:t xml:space="preserve"> of </w:t>
      </w:r>
      <w:r w:rsidR="002D3AFF">
        <w:t xml:space="preserve">treatment provided by </w:t>
      </w:r>
      <w:r>
        <w:t xml:space="preserve">individual clinicians and the </w:t>
      </w:r>
      <w:r w:rsidR="00F90A1D">
        <w:t xml:space="preserve">wider </w:t>
      </w:r>
      <w:r>
        <w:t xml:space="preserve">practice team. It should </w:t>
      </w:r>
      <w:r w:rsidR="00834AE8">
        <w:t>form the basis of discussion around changes that need to be made</w:t>
      </w:r>
      <w:r w:rsidR="00BE710C">
        <w:t>,</w:t>
      </w:r>
      <w:r w:rsidR="00834AE8">
        <w:t xml:space="preserve"> to improve </w:t>
      </w:r>
      <w:r w:rsidR="00514C61">
        <w:t xml:space="preserve">the quality of patient care, </w:t>
      </w:r>
      <w:r w:rsidR="007E183B">
        <w:t xml:space="preserve">allow for the systematic implementation of the required changes and </w:t>
      </w:r>
      <w:r w:rsidR="00216003">
        <w:t xml:space="preserve">the </w:t>
      </w:r>
      <w:r w:rsidR="00BE710C">
        <w:t xml:space="preserve">subsequent </w:t>
      </w:r>
      <w:r w:rsidR="00E265A5">
        <w:t>review of pra</w:t>
      </w:r>
      <w:r w:rsidR="00CF79E4">
        <w:t>c</w:t>
      </w:r>
      <w:r w:rsidR="00E265A5">
        <w:t>ti</w:t>
      </w:r>
      <w:r w:rsidR="003E672E">
        <w:t>c</w:t>
      </w:r>
      <w:r w:rsidR="00E265A5">
        <w:t xml:space="preserve">es </w:t>
      </w:r>
      <w:r w:rsidR="00203D42">
        <w:t>to see if change has taken place.</w:t>
      </w:r>
    </w:p>
    <w:p w14:paraId="30C91E50" w14:textId="62ADFAF1" w:rsidR="00445B8A" w:rsidRDefault="00FF5B47" w:rsidP="003E672E">
      <w:pPr>
        <w:pStyle w:val="ListParagraph"/>
        <w:numPr>
          <w:ilvl w:val="0"/>
          <w:numId w:val="21"/>
        </w:numPr>
      </w:pPr>
      <w:r>
        <w:t xml:space="preserve">The audit </w:t>
      </w:r>
      <w:r w:rsidR="00445B8A">
        <w:t>is aimed to review existing practice in light of the recently published guidance</w:t>
      </w:r>
      <w:r w:rsidR="00D0542A">
        <w:t xml:space="preserve">: </w:t>
      </w:r>
      <w:hyperlink r:id="rId8" w:history="1">
        <w:r w:rsidR="003E672E" w:rsidRPr="003E672E">
          <w:rPr>
            <w:rStyle w:val="Hyperlink"/>
          </w:rPr>
          <w:t xml:space="preserve">NHS Avoidance of doubt: Provision of phased treatment and </w:t>
        </w:r>
        <w:r w:rsidR="00445B8A" w:rsidRPr="003E672E">
          <w:rPr>
            <w:rStyle w:val="Hyperlink"/>
          </w:rPr>
          <w:t>Delivering phased care for periodontal patients under UDA banding in England: Roadmap to prevention and stabilisation</w:t>
        </w:r>
        <w:r w:rsidR="003E672E" w:rsidRPr="003E672E">
          <w:rPr>
            <w:rStyle w:val="Hyperlink"/>
          </w:rPr>
          <w:t>.</w:t>
        </w:r>
      </w:hyperlink>
    </w:p>
    <w:p w14:paraId="67BFFDD2" w14:textId="59707A95" w:rsidR="00B86140" w:rsidRDefault="005F2D17" w:rsidP="00CD006B">
      <w:pPr>
        <w:pStyle w:val="ListParagraph"/>
        <w:numPr>
          <w:ilvl w:val="0"/>
          <w:numId w:val="21"/>
        </w:numPr>
      </w:pPr>
      <w:r>
        <w:rPr>
          <w:rStyle w:val="Hyperlink"/>
          <w:color w:val="auto"/>
          <w:u w:val="none"/>
        </w:rPr>
        <w:t>The guidance aims to provide support for dental teams to focus more on prevention, rather than intervention after the disease has developed.</w:t>
      </w:r>
    </w:p>
    <w:p w14:paraId="5AC86EF8" w14:textId="2A6C46A4" w:rsidR="00203D42" w:rsidRPr="00D67D0A" w:rsidRDefault="00D67D0A" w:rsidP="00CD006B">
      <w:pPr>
        <w:rPr>
          <w:b/>
          <w:bCs/>
        </w:rPr>
      </w:pPr>
      <w:r w:rsidRPr="00D67D0A">
        <w:rPr>
          <w:b/>
          <w:bCs/>
        </w:rPr>
        <w:t>Who is the audit for?</w:t>
      </w:r>
    </w:p>
    <w:p w14:paraId="19F43FEC" w14:textId="68A8801F" w:rsidR="002D3AFF" w:rsidRPr="002D3AFF" w:rsidRDefault="002D3AFF" w:rsidP="002D3AFF">
      <w:pPr>
        <w:pStyle w:val="ListParagraph"/>
        <w:numPr>
          <w:ilvl w:val="0"/>
          <w:numId w:val="22"/>
        </w:numPr>
      </w:pPr>
      <w:r w:rsidRPr="002D3AFF">
        <w:t xml:space="preserve">This is a voluntary audit and is suitable for </w:t>
      </w:r>
      <w:r w:rsidR="00E62A2C">
        <w:t>dental teams</w:t>
      </w:r>
      <w:r w:rsidRPr="002D3AFF">
        <w:t xml:space="preserve"> wishing to review the governance systems and processes that underpin the delivery of safe and effective periodontal treatment in a primary care, general dental practice setting.</w:t>
      </w:r>
    </w:p>
    <w:p w14:paraId="11972D94" w14:textId="262CA64B" w:rsidR="00D67D0A" w:rsidRDefault="003B04E7" w:rsidP="003E672E">
      <w:pPr>
        <w:pStyle w:val="ListParagraph"/>
        <w:numPr>
          <w:ilvl w:val="0"/>
          <w:numId w:val="22"/>
        </w:numPr>
      </w:pPr>
      <w:r>
        <w:t>Th</w:t>
      </w:r>
      <w:r w:rsidR="005D50A8">
        <w:t>is</w:t>
      </w:r>
      <w:r>
        <w:t xml:space="preserve"> audit </w:t>
      </w:r>
      <w:r w:rsidR="007C5095">
        <w:t xml:space="preserve">is suitable for the </w:t>
      </w:r>
      <w:r w:rsidR="006C1814">
        <w:t xml:space="preserve">review of dental records </w:t>
      </w:r>
      <w:r w:rsidR="00624827">
        <w:t xml:space="preserve">of adult patients </w:t>
      </w:r>
      <w:r w:rsidR="006C1814">
        <w:t xml:space="preserve">who regularly attend the </w:t>
      </w:r>
      <w:r w:rsidR="00807B62">
        <w:t>practice</w:t>
      </w:r>
      <w:r w:rsidR="00BE710C">
        <w:t>,</w:t>
      </w:r>
      <w:r w:rsidR="00807B62">
        <w:t xml:space="preserve"> or patients who are new to the practice and have recently completed a </w:t>
      </w:r>
      <w:r w:rsidR="00E21996">
        <w:t>course of treatment (COT).</w:t>
      </w:r>
    </w:p>
    <w:p w14:paraId="6FBC38BD" w14:textId="5018CE36" w:rsidR="00D67D0A" w:rsidRDefault="000445B8" w:rsidP="00D67D0A">
      <w:pPr>
        <w:rPr>
          <w:b/>
          <w:bCs/>
        </w:rPr>
      </w:pPr>
      <w:r>
        <w:rPr>
          <w:b/>
          <w:bCs/>
        </w:rPr>
        <w:t xml:space="preserve">Before starting the </w:t>
      </w:r>
      <w:r w:rsidR="00D67D0A" w:rsidRPr="003B04E7">
        <w:rPr>
          <w:b/>
          <w:bCs/>
        </w:rPr>
        <w:t>Audit</w:t>
      </w:r>
    </w:p>
    <w:p w14:paraId="62ABC6C8" w14:textId="3EE000A4" w:rsidR="000445B8" w:rsidRPr="000445B8" w:rsidRDefault="000445B8" w:rsidP="003E672E">
      <w:pPr>
        <w:pStyle w:val="ListParagraph"/>
        <w:numPr>
          <w:ilvl w:val="0"/>
          <w:numId w:val="22"/>
        </w:numPr>
      </w:pPr>
      <w:r>
        <w:t xml:space="preserve">Ensure the practice team understand the reason for the audit, who will complete and facilitate it, when the results will be discussed and how recommendations will be implemented and monitored. </w:t>
      </w:r>
    </w:p>
    <w:p w14:paraId="4CB2609E" w14:textId="04C5AC0C" w:rsidR="00E21996" w:rsidRDefault="005D50A8" w:rsidP="003E672E">
      <w:pPr>
        <w:pStyle w:val="ListParagraph"/>
        <w:numPr>
          <w:ilvl w:val="0"/>
          <w:numId w:val="22"/>
        </w:numPr>
      </w:pPr>
      <w:r>
        <w:t xml:space="preserve">All patient and dental team identifiable information should be anonymised by using an appropriate coding system developed by the practice. </w:t>
      </w:r>
    </w:p>
    <w:p w14:paraId="4CCB3EB2" w14:textId="599A4E89" w:rsidR="0056645E" w:rsidRDefault="0056645E" w:rsidP="003E672E">
      <w:pPr>
        <w:pStyle w:val="ListParagraph"/>
        <w:numPr>
          <w:ilvl w:val="0"/>
          <w:numId w:val="22"/>
        </w:numPr>
      </w:pPr>
      <w:r>
        <w:t>No audit data must be recorded on patient record cards.</w:t>
      </w:r>
    </w:p>
    <w:p w14:paraId="0FC3BAAF" w14:textId="615D7495" w:rsidR="000445B8" w:rsidRDefault="003E2F3F" w:rsidP="003E672E">
      <w:pPr>
        <w:pStyle w:val="ListParagraph"/>
        <w:numPr>
          <w:ilvl w:val="0"/>
          <w:numId w:val="22"/>
        </w:numPr>
      </w:pPr>
      <w:r>
        <w:t xml:space="preserve">Familiarise yourself with </w:t>
      </w:r>
      <w:r w:rsidR="00777621">
        <w:t>the audit standards</w:t>
      </w:r>
      <w:r w:rsidR="007D546C">
        <w:t xml:space="preserve"> which adhere to existing good practice guidelines:</w:t>
      </w:r>
    </w:p>
    <w:bookmarkStart w:id="0" w:name="_Hlk77584309"/>
    <w:p w14:paraId="54A04086" w14:textId="4DD2B4DB" w:rsidR="00894788" w:rsidRDefault="00C57163" w:rsidP="00894788">
      <w:pPr>
        <w:pStyle w:val="ListParagraph"/>
        <w:numPr>
          <w:ilvl w:val="0"/>
          <w:numId w:val="8"/>
        </w:numPr>
      </w:pPr>
      <w:r>
        <w:lastRenderedPageBreak/>
        <w:fldChar w:fldCharType="begin"/>
      </w:r>
      <w:r>
        <w:instrText xml:space="preserve"> HYPERLINK "https://www.england.nhs.uk/publication/dental-record-keeping-standards-a-consensus-approach/" </w:instrText>
      </w:r>
      <w:r>
        <w:fldChar w:fldCharType="separate"/>
      </w:r>
      <w:r w:rsidR="00894788" w:rsidRPr="00C57163">
        <w:rPr>
          <w:rStyle w:val="Hyperlink"/>
        </w:rPr>
        <w:t xml:space="preserve">Dental Record Keeping Standards: </w:t>
      </w:r>
      <w:r w:rsidRPr="00C57163">
        <w:rPr>
          <w:rStyle w:val="Hyperlink"/>
        </w:rPr>
        <w:t>A</w:t>
      </w:r>
      <w:r w:rsidR="00894788" w:rsidRPr="00C57163">
        <w:rPr>
          <w:rStyle w:val="Hyperlink"/>
        </w:rPr>
        <w:t xml:space="preserve"> consensus approach</w:t>
      </w:r>
      <w:r>
        <w:fldChar w:fldCharType="end"/>
      </w:r>
    </w:p>
    <w:p w14:paraId="22D83856" w14:textId="72C18F66" w:rsidR="00894788" w:rsidRDefault="00676F29" w:rsidP="00B320B8">
      <w:pPr>
        <w:pStyle w:val="ListParagraph"/>
        <w:numPr>
          <w:ilvl w:val="0"/>
          <w:numId w:val="8"/>
        </w:numPr>
      </w:pPr>
      <w:hyperlink r:id="rId9" w:history="1">
        <w:r w:rsidR="00894788" w:rsidRPr="003E672E">
          <w:rPr>
            <w:rStyle w:val="Hyperlink"/>
          </w:rPr>
          <w:t>BPE Guidelines 2019 (BSP Clinical Guidelines)</w:t>
        </w:r>
      </w:hyperlink>
    </w:p>
    <w:p w14:paraId="5BF6050C" w14:textId="4701C45C" w:rsidR="00894788" w:rsidRDefault="00676F29" w:rsidP="00B320B8">
      <w:pPr>
        <w:pStyle w:val="ListParagraph"/>
        <w:numPr>
          <w:ilvl w:val="0"/>
          <w:numId w:val="8"/>
        </w:numPr>
      </w:pPr>
      <w:hyperlink r:id="rId10" w:history="1">
        <w:r w:rsidR="00894788" w:rsidRPr="003E672E">
          <w:rPr>
            <w:rStyle w:val="Hyperlink"/>
          </w:rPr>
          <w:t>BS</w:t>
        </w:r>
        <w:r w:rsidR="002F461C" w:rsidRPr="003E672E">
          <w:rPr>
            <w:rStyle w:val="Hyperlink"/>
          </w:rPr>
          <w:t xml:space="preserve">P </w:t>
        </w:r>
        <w:r w:rsidR="00894788" w:rsidRPr="003E672E">
          <w:rPr>
            <w:rStyle w:val="Hyperlink"/>
          </w:rPr>
          <w:t>Flowchart Implementation the 2017 Classification</w:t>
        </w:r>
      </w:hyperlink>
    </w:p>
    <w:p w14:paraId="082C73FB" w14:textId="4DDBE7AD" w:rsidR="00894788" w:rsidRDefault="00676F29" w:rsidP="00B320B8">
      <w:pPr>
        <w:pStyle w:val="ListParagraph"/>
        <w:numPr>
          <w:ilvl w:val="0"/>
          <w:numId w:val="8"/>
        </w:numPr>
      </w:pPr>
      <w:hyperlink r:id="rId11" w:history="1">
        <w:r w:rsidR="00894788" w:rsidRPr="003E672E">
          <w:rPr>
            <w:rStyle w:val="Hyperlink"/>
          </w:rPr>
          <w:t>Delivering phased care for periodontal patients under UDA banding in England: Roadmap to prevention and stabilisation</w:t>
        </w:r>
      </w:hyperlink>
    </w:p>
    <w:p w14:paraId="2C6A16C3" w14:textId="10437F60" w:rsidR="00894788" w:rsidRDefault="00676F29" w:rsidP="00B320B8">
      <w:pPr>
        <w:pStyle w:val="ListParagraph"/>
        <w:numPr>
          <w:ilvl w:val="0"/>
          <w:numId w:val="8"/>
        </w:numPr>
      </w:pPr>
      <w:hyperlink r:id="rId12" w:history="1">
        <w:r w:rsidR="003E672E" w:rsidRPr="00C57163">
          <w:rPr>
            <w:rStyle w:val="Hyperlink"/>
          </w:rPr>
          <w:t xml:space="preserve">NHS </w:t>
        </w:r>
        <w:r w:rsidR="00894788" w:rsidRPr="00C57163">
          <w:rPr>
            <w:rStyle w:val="Hyperlink"/>
          </w:rPr>
          <w:t xml:space="preserve">Avoidance of </w:t>
        </w:r>
        <w:r w:rsidR="00C57163" w:rsidRPr="00C57163">
          <w:rPr>
            <w:rStyle w:val="Hyperlink"/>
          </w:rPr>
          <w:t>d</w:t>
        </w:r>
        <w:r w:rsidR="00894788" w:rsidRPr="00C57163">
          <w:rPr>
            <w:rStyle w:val="Hyperlink"/>
          </w:rPr>
          <w:t>oubt</w:t>
        </w:r>
        <w:r w:rsidR="00C57163" w:rsidRPr="00C57163">
          <w:rPr>
            <w:rStyle w:val="Hyperlink"/>
          </w:rPr>
          <w:t>:</w:t>
        </w:r>
        <w:r w:rsidR="00894788" w:rsidRPr="00C57163">
          <w:rPr>
            <w:rStyle w:val="Hyperlink"/>
          </w:rPr>
          <w:t xml:space="preserve"> </w:t>
        </w:r>
        <w:r w:rsidR="00C57163" w:rsidRPr="00C57163">
          <w:rPr>
            <w:rStyle w:val="Hyperlink"/>
          </w:rPr>
          <w:t>Provision of phased treatments</w:t>
        </w:r>
      </w:hyperlink>
    </w:p>
    <w:p w14:paraId="7CF8019D" w14:textId="2B7C8BA2" w:rsidR="00894788" w:rsidRDefault="00676F29" w:rsidP="00B320B8">
      <w:pPr>
        <w:pStyle w:val="ListParagraph"/>
        <w:numPr>
          <w:ilvl w:val="0"/>
          <w:numId w:val="8"/>
        </w:numPr>
      </w:pPr>
      <w:hyperlink r:id="rId13" w:history="1">
        <w:r w:rsidR="00894788" w:rsidRPr="00C57163">
          <w:rPr>
            <w:rStyle w:val="Hyperlink"/>
          </w:rPr>
          <w:t>BSP Guidelines for Periodontal Patients Referral</w:t>
        </w:r>
      </w:hyperlink>
    </w:p>
    <w:p w14:paraId="648F661C" w14:textId="0EFEA4A6" w:rsidR="00894788" w:rsidRDefault="00676F29" w:rsidP="00B320B8">
      <w:pPr>
        <w:pStyle w:val="ListParagraph"/>
        <w:numPr>
          <w:ilvl w:val="0"/>
          <w:numId w:val="8"/>
        </w:numPr>
      </w:pPr>
      <w:hyperlink r:id="rId14" w:history="1">
        <w:r w:rsidR="00894788" w:rsidRPr="00C57163">
          <w:rPr>
            <w:rStyle w:val="Hyperlink"/>
          </w:rPr>
          <w:t xml:space="preserve">Selection </w:t>
        </w:r>
        <w:r w:rsidR="00C57163" w:rsidRPr="00C57163">
          <w:rPr>
            <w:rStyle w:val="Hyperlink"/>
          </w:rPr>
          <w:t>C</w:t>
        </w:r>
        <w:r w:rsidR="00894788" w:rsidRPr="00C57163">
          <w:rPr>
            <w:rStyle w:val="Hyperlink"/>
          </w:rPr>
          <w:t>riteria for Dental Radiography</w:t>
        </w:r>
      </w:hyperlink>
    </w:p>
    <w:p w14:paraId="1FD7BE49" w14:textId="50108175" w:rsidR="00C57163" w:rsidRPr="005F2D17" w:rsidRDefault="00676F29" w:rsidP="00C57163">
      <w:pPr>
        <w:pStyle w:val="ListParagraph"/>
        <w:numPr>
          <w:ilvl w:val="0"/>
          <w:numId w:val="8"/>
        </w:numPr>
        <w:rPr>
          <w:rStyle w:val="Hyperlink"/>
          <w:color w:val="auto"/>
          <w:u w:val="none"/>
        </w:rPr>
      </w:pPr>
      <w:hyperlink r:id="rId15" w:history="1">
        <w:r w:rsidR="00A55D9E" w:rsidRPr="00D0542A">
          <w:rPr>
            <w:rStyle w:val="Hyperlink"/>
            <w:bCs/>
          </w:rPr>
          <w:t>The National Health Service (General Dental Services Contracts) Regulations 2005,</w:t>
        </w:r>
      </w:hyperlink>
      <w:bookmarkEnd w:id="0"/>
    </w:p>
    <w:p w14:paraId="24434EEE" w14:textId="3FC583CC" w:rsidR="005F2D17" w:rsidRPr="005F2D17" w:rsidRDefault="00676F29" w:rsidP="005F2D17">
      <w:pPr>
        <w:pStyle w:val="ListParagraph"/>
        <w:numPr>
          <w:ilvl w:val="0"/>
          <w:numId w:val="8"/>
        </w:numPr>
        <w:rPr>
          <w:rStyle w:val="Hyperlink"/>
          <w:color w:val="auto"/>
          <w:u w:val="none"/>
        </w:rPr>
      </w:pPr>
      <w:hyperlink r:id="rId16" w:history="1">
        <w:r w:rsidR="005F2D17" w:rsidRPr="000728B5">
          <w:rPr>
            <w:rStyle w:val="Hyperlink"/>
            <w:bCs/>
          </w:rPr>
          <w:t>Healthy Gums Do Matter Toolkit</w:t>
        </w:r>
      </w:hyperlink>
    </w:p>
    <w:p w14:paraId="1F369D71" w14:textId="22323A9E" w:rsidR="005D50A8" w:rsidRDefault="005D50A8" w:rsidP="005D50A8">
      <w:r>
        <w:t>The audit data collection looks at the quality of care received by patients. You should consider:</w:t>
      </w:r>
    </w:p>
    <w:p w14:paraId="0D42BE7D" w14:textId="77777777" w:rsidR="005D50A8" w:rsidRDefault="005D50A8" w:rsidP="005D50A8">
      <w:pPr>
        <w:pStyle w:val="ListParagraph"/>
        <w:numPr>
          <w:ilvl w:val="0"/>
          <w:numId w:val="26"/>
        </w:numPr>
      </w:pPr>
      <w:r>
        <w:t>Was there an appropriate assessment of the patient and record of current periodontal diagnostic statement?</w:t>
      </w:r>
    </w:p>
    <w:p w14:paraId="54926AFF" w14:textId="799ABBC1" w:rsidR="005D50A8" w:rsidRDefault="005D50A8" w:rsidP="005D50A8">
      <w:pPr>
        <w:pStyle w:val="ListParagraph"/>
        <w:numPr>
          <w:ilvl w:val="0"/>
          <w:numId w:val="26"/>
        </w:numPr>
      </w:pPr>
      <w:r>
        <w:t>Was the treatment provided in line with</w:t>
      </w:r>
      <w:r w:rsidR="005F2D17">
        <w:t xml:space="preserve"> up</w:t>
      </w:r>
      <w:r w:rsidR="005B4149">
        <w:t>-</w:t>
      </w:r>
      <w:r w:rsidR="005F2D17">
        <w:t>to</w:t>
      </w:r>
      <w:r w:rsidR="005B4149">
        <w:t>-</w:t>
      </w:r>
      <w:r w:rsidR="005F2D17">
        <w:t>date</w:t>
      </w:r>
      <w:r>
        <w:t xml:space="preserve"> BPS guidance</w:t>
      </w:r>
      <w:r w:rsidR="005F2D17">
        <w:t xml:space="preserve"> at the time</w:t>
      </w:r>
      <w:r>
        <w:t>?</w:t>
      </w:r>
    </w:p>
    <w:p w14:paraId="101F8B36" w14:textId="4021E4C2" w:rsidR="005D50A8" w:rsidRDefault="005D50A8" w:rsidP="005D50A8">
      <w:pPr>
        <w:pStyle w:val="ListParagraph"/>
        <w:numPr>
          <w:ilvl w:val="0"/>
          <w:numId w:val="26"/>
        </w:numPr>
      </w:pPr>
      <w:r>
        <w:t>Was the treatment provided and COT details entered onto the FP17</w:t>
      </w:r>
      <w:r w:rsidR="001D768E">
        <w:t xml:space="preserve"> </w:t>
      </w:r>
      <w:r>
        <w:t>correctly and submitted in line with NHS GDS Regulations?</w:t>
      </w:r>
    </w:p>
    <w:p w14:paraId="503A57D5" w14:textId="1D106F2C" w:rsidR="002D3AFF" w:rsidRDefault="00E62A2C" w:rsidP="002D3AFF">
      <w:r>
        <w:t>The team should r</w:t>
      </w:r>
      <w:r w:rsidR="002D3AFF">
        <w:t>each a consensus on the audit standards to be adopted based on internal (current practice) and external (good practice guidelines) criteria. The team should consider the level at which the standards should be set. To reflect:</w:t>
      </w:r>
    </w:p>
    <w:p w14:paraId="5CDC2820" w14:textId="77777777" w:rsidR="002D3AFF" w:rsidRDefault="002D3AFF" w:rsidP="002D3AFF">
      <w:pPr>
        <w:pStyle w:val="ListParagraph"/>
        <w:numPr>
          <w:ilvl w:val="0"/>
          <w:numId w:val="28"/>
        </w:numPr>
      </w:pPr>
      <w:r>
        <w:t>A minimum standard – the lowest acceptable standard of treatment provided which distinguishes between acceptable and unacceptable practice.</w:t>
      </w:r>
    </w:p>
    <w:p w14:paraId="04FC4C90" w14:textId="77777777" w:rsidR="002D3AFF" w:rsidRDefault="002D3AFF" w:rsidP="002D3AFF">
      <w:pPr>
        <w:pStyle w:val="ListParagraph"/>
        <w:numPr>
          <w:ilvl w:val="0"/>
          <w:numId w:val="28"/>
        </w:numPr>
      </w:pPr>
      <w:r>
        <w:t>An ideal standard – the standard of treatment that could be provided under ideal conditions when there are no constraints to care delivery.</w:t>
      </w:r>
    </w:p>
    <w:p w14:paraId="5E11EA3B" w14:textId="396AE8E1" w:rsidR="002D3AFF" w:rsidRDefault="002D3AFF" w:rsidP="002D3AFF">
      <w:pPr>
        <w:pStyle w:val="ListParagraph"/>
        <w:numPr>
          <w:ilvl w:val="0"/>
          <w:numId w:val="28"/>
        </w:numPr>
      </w:pPr>
      <w:r>
        <w:t>An optimal standard – this requires discussion to ensure it represents a standard of care that can be achieved under normal practice conditions and represents a favourable outcome for the individual patient and equity for patients in terms of available resources.</w:t>
      </w:r>
    </w:p>
    <w:p w14:paraId="76E1609B" w14:textId="40CD31BE" w:rsidR="005D50A8" w:rsidRPr="00D0542A" w:rsidRDefault="005D50A8" w:rsidP="005D50A8">
      <w:r>
        <w:t>Additional guidance on completion of the data collection is available on the Excel spreadsheet.</w:t>
      </w:r>
    </w:p>
    <w:p w14:paraId="31789A5D" w14:textId="4783A181" w:rsidR="00E871B7" w:rsidRPr="00C57163" w:rsidRDefault="00E871B7" w:rsidP="00C57163">
      <w:pPr>
        <w:rPr>
          <w:b/>
          <w:bCs/>
        </w:rPr>
      </w:pPr>
      <w:r w:rsidRPr="00C57163">
        <w:rPr>
          <w:b/>
          <w:bCs/>
        </w:rPr>
        <w:t>How to use this audit:</w:t>
      </w:r>
    </w:p>
    <w:p w14:paraId="7379B9B1" w14:textId="0B957CCD" w:rsidR="00C57163" w:rsidRDefault="002A749E" w:rsidP="00C57163">
      <w:pPr>
        <w:pStyle w:val="ListParagraph"/>
        <w:numPr>
          <w:ilvl w:val="0"/>
          <w:numId w:val="23"/>
        </w:numPr>
      </w:pPr>
      <w:r w:rsidRPr="00E015EA">
        <w:t xml:space="preserve">The audit </w:t>
      </w:r>
      <w:r w:rsidR="00D0542A">
        <w:t>should be</w:t>
      </w:r>
      <w:r w:rsidRPr="00E015EA">
        <w:t xml:space="preserve"> </w:t>
      </w:r>
      <w:r w:rsidR="00D0542A" w:rsidRPr="00E015EA">
        <w:t>complete</w:t>
      </w:r>
      <w:r w:rsidR="00D0542A">
        <w:t>d</w:t>
      </w:r>
      <w:r w:rsidRPr="00E015EA">
        <w:t xml:space="preserve"> by clinical dental team members </w:t>
      </w:r>
      <w:r w:rsidR="00652E02" w:rsidRPr="00E015EA">
        <w:t xml:space="preserve">that have read and understand the </w:t>
      </w:r>
      <w:r w:rsidR="00F542DA" w:rsidRPr="00E015EA">
        <w:t xml:space="preserve">audit standards </w:t>
      </w:r>
      <w:r w:rsidR="00184600" w:rsidRPr="00E015EA">
        <w:t xml:space="preserve">and the existing good practice </w:t>
      </w:r>
      <w:r w:rsidR="00E015EA" w:rsidRPr="00E015EA">
        <w:t>guidelines.</w:t>
      </w:r>
    </w:p>
    <w:p w14:paraId="1E8FDB11" w14:textId="55B22287" w:rsidR="00C57163" w:rsidRDefault="00BE710C" w:rsidP="00C57163">
      <w:pPr>
        <w:pStyle w:val="ListParagraph"/>
        <w:numPr>
          <w:ilvl w:val="0"/>
          <w:numId w:val="23"/>
        </w:numPr>
      </w:pPr>
      <w:r>
        <w:t>F</w:t>
      </w:r>
      <w:r w:rsidRPr="00E015EA">
        <w:t>or each practitioner</w:t>
      </w:r>
      <w:r>
        <w:t>, s</w:t>
      </w:r>
      <w:r w:rsidR="001E402A" w:rsidRPr="00E015EA">
        <w:t xml:space="preserve">elect </w:t>
      </w:r>
      <w:r w:rsidR="00C57163">
        <w:t xml:space="preserve">10 </w:t>
      </w:r>
      <w:r w:rsidR="00E5468D" w:rsidRPr="00E015EA">
        <w:t xml:space="preserve">adult </w:t>
      </w:r>
      <w:r w:rsidR="001E402A" w:rsidRPr="00E015EA">
        <w:t xml:space="preserve">patients </w:t>
      </w:r>
      <w:r w:rsidR="00E5468D" w:rsidRPr="00E015EA">
        <w:t xml:space="preserve">that have </w:t>
      </w:r>
      <w:r w:rsidR="00C72218" w:rsidRPr="00E015EA">
        <w:t xml:space="preserve">regularly </w:t>
      </w:r>
      <w:r w:rsidR="00E015EA">
        <w:t>attended the practice or</w:t>
      </w:r>
      <w:r w:rsidR="00B06E8A">
        <w:t xml:space="preserve"> who </w:t>
      </w:r>
      <w:r>
        <w:t xml:space="preserve">are </w:t>
      </w:r>
      <w:r w:rsidR="00B06E8A">
        <w:t>new to the practice</w:t>
      </w:r>
      <w:r>
        <w:t xml:space="preserve"> but</w:t>
      </w:r>
      <w:r w:rsidR="00B06E8A">
        <w:t xml:space="preserve"> </w:t>
      </w:r>
      <w:r>
        <w:t>have</w:t>
      </w:r>
      <w:r w:rsidR="00B06E8A">
        <w:t xml:space="preserve"> completed </w:t>
      </w:r>
      <w:r w:rsidR="00D0542A">
        <w:t xml:space="preserve">at least </w:t>
      </w:r>
      <w:r w:rsidR="00812848">
        <w:t>one COT</w:t>
      </w:r>
      <w:r w:rsidR="00C57163">
        <w:t>.</w:t>
      </w:r>
    </w:p>
    <w:p w14:paraId="7783A69F" w14:textId="77777777" w:rsidR="00C57163" w:rsidRDefault="00C57163" w:rsidP="00C57163">
      <w:pPr>
        <w:pStyle w:val="ListParagraph"/>
        <w:numPr>
          <w:ilvl w:val="0"/>
          <w:numId w:val="23"/>
        </w:numPr>
      </w:pPr>
      <w:r>
        <w:t>Enter</w:t>
      </w:r>
      <w:r w:rsidR="005413EA">
        <w:t xml:space="preserve"> the patient </w:t>
      </w:r>
      <w:r w:rsidR="00443038">
        <w:t>information</w:t>
      </w:r>
      <w:r>
        <w:t xml:space="preserve"> on the Excel spreadsheet.</w:t>
      </w:r>
    </w:p>
    <w:p w14:paraId="2CDB82BE" w14:textId="77777777" w:rsidR="00C57163" w:rsidRDefault="002F2FD0" w:rsidP="00C57163">
      <w:pPr>
        <w:pStyle w:val="ListParagraph"/>
        <w:numPr>
          <w:ilvl w:val="0"/>
          <w:numId w:val="23"/>
        </w:numPr>
      </w:pPr>
      <w:r>
        <w:t>Use the information already existing in the record card to complete the data collection</w:t>
      </w:r>
      <w:r w:rsidR="00C57163">
        <w:t xml:space="preserve"> process.</w:t>
      </w:r>
    </w:p>
    <w:p w14:paraId="35AB6178" w14:textId="2DE3721B" w:rsidR="00A55D9E" w:rsidRDefault="00F20FA8" w:rsidP="00A55D9E">
      <w:pPr>
        <w:pStyle w:val="ListParagraph"/>
        <w:numPr>
          <w:ilvl w:val="0"/>
          <w:numId w:val="23"/>
        </w:numPr>
      </w:pPr>
      <w:r>
        <w:t xml:space="preserve">For each </w:t>
      </w:r>
      <w:r w:rsidR="00BE710C">
        <w:t>COT</w:t>
      </w:r>
      <w:r>
        <w:t xml:space="preserve"> column</w:t>
      </w:r>
      <w:r w:rsidR="00443038">
        <w:t xml:space="preserve">, complete the dropdown </w:t>
      </w:r>
      <w:r w:rsidR="00A96C54">
        <w:t>options, starting with medical history.</w:t>
      </w:r>
    </w:p>
    <w:p w14:paraId="5E15CA21" w14:textId="77777777" w:rsidR="00A55D9E" w:rsidRDefault="003109D1" w:rsidP="00A55D9E">
      <w:pPr>
        <w:pStyle w:val="ListParagraph"/>
        <w:numPr>
          <w:ilvl w:val="0"/>
          <w:numId w:val="23"/>
        </w:numPr>
      </w:pPr>
      <w:r>
        <w:t xml:space="preserve">Use the guidance notes to </w:t>
      </w:r>
      <w:r w:rsidR="00D479D7">
        <w:t xml:space="preserve">select the most appropriate </w:t>
      </w:r>
      <w:r w:rsidR="00A55D9E">
        <w:t>answer.</w:t>
      </w:r>
      <w:r w:rsidR="00D479D7">
        <w:t xml:space="preserve"> </w:t>
      </w:r>
    </w:p>
    <w:p w14:paraId="32A9EA73" w14:textId="7D8C1246" w:rsidR="00A55D9E" w:rsidRDefault="00F34547" w:rsidP="00A55D9E">
      <w:pPr>
        <w:pStyle w:val="ListParagraph"/>
        <w:numPr>
          <w:ilvl w:val="0"/>
          <w:numId w:val="23"/>
        </w:numPr>
      </w:pPr>
      <w:r>
        <w:lastRenderedPageBreak/>
        <w:t>On completion of the data collection</w:t>
      </w:r>
      <w:r w:rsidR="00BE710C">
        <w:t>,</w:t>
      </w:r>
      <w:r>
        <w:t xml:space="preserve"> </w:t>
      </w:r>
      <w:r w:rsidR="005B2E6E">
        <w:t xml:space="preserve">a % </w:t>
      </w:r>
      <w:r w:rsidR="0016166D">
        <w:t xml:space="preserve">compliance achieved score will be </w:t>
      </w:r>
      <w:r w:rsidR="006339B9">
        <w:t xml:space="preserve">available. </w:t>
      </w:r>
      <w:r w:rsidR="002D3AFF">
        <w:t>The Excel spreadsheet is currently set to show</w:t>
      </w:r>
    </w:p>
    <w:p w14:paraId="3A1EE96E" w14:textId="7D65010F" w:rsidR="00A55D9E" w:rsidRDefault="00A55D9E" w:rsidP="00A55D9E">
      <w:pPr>
        <w:pStyle w:val="ListParagraph"/>
        <w:numPr>
          <w:ilvl w:val="0"/>
          <w:numId w:val="24"/>
        </w:numPr>
      </w:pPr>
      <w:r>
        <w:t xml:space="preserve">0 </w:t>
      </w:r>
      <w:r w:rsidR="008A0E65">
        <w:t>-</w:t>
      </w:r>
      <w:r>
        <w:t xml:space="preserve"> </w:t>
      </w:r>
      <w:r w:rsidR="008A0E65">
        <w:t>60</w:t>
      </w:r>
      <w:r>
        <w:t xml:space="preserve">% </w:t>
      </w:r>
      <w:r w:rsidR="002D3AFF">
        <w:t>minimal standard</w:t>
      </w:r>
      <w:r w:rsidR="00D0542A">
        <w:t xml:space="preserve"> </w:t>
      </w:r>
    </w:p>
    <w:p w14:paraId="7A64F5C6" w14:textId="674FF2E8" w:rsidR="00A55D9E" w:rsidRDefault="008A0E65" w:rsidP="00A55D9E">
      <w:pPr>
        <w:pStyle w:val="ListParagraph"/>
        <w:numPr>
          <w:ilvl w:val="0"/>
          <w:numId w:val="24"/>
        </w:numPr>
      </w:pPr>
      <w:r>
        <w:t>60 -</w:t>
      </w:r>
      <w:r w:rsidR="00A55D9E">
        <w:t xml:space="preserve"> </w:t>
      </w:r>
      <w:r>
        <w:t>80</w:t>
      </w:r>
      <w:r w:rsidR="00A55D9E">
        <w:t xml:space="preserve"> % </w:t>
      </w:r>
      <w:r w:rsidR="002D3AFF">
        <w:t>optimal standard</w:t>
      </w:r>
    </w:p>
    <w:p w14:paraId="452E9BB8" w14:textId="4DECBA18" w:rsidR="002D3AFF" w:rsidRDefault="008A0E65" w:rsidP="002D3AFF">
      <w:pPr>
        <w:pStyle w:val="ListParagraph"/>
        <w:numPr>
          <w:ilvl w:val="0"/>
          <w:numId w:val="24"/>
        </w:numPr>
      </w:pPr>
      <w:r>
        <w:t xml:space="preserve">80 </w:t>
      </w:r>
      <w:r w:rsidR="00A55D9E">
        <w:t>-</w:t>
      </w:r>
      <w:r>
        <w:t xml:space="preserve"> </w:t>
      </w:r>
      <w:r w:rsidR="00A55D9E">
        <w:t xml:space="preserve">100% </w:t>
      </w:r>
      <w:r w:rsidR="002D3AFF">
        <w:t>ideal s</w:t>
      </w:r>
      <w:r w:rsidR="00D0542A">
        <w:t>t</w:t>
      </w:r>
      <w:r w:rsidR="002D3AFF">
        <w:t>andard</w:t>
      </w:r>
    </w:p>
    <w:p w14:paraId="1C9FA8C9" w14:textId="77777777" w:rsidR="00A55D9E" w:rsidRDefault="00DD5A86" w:rsidP="00A55D9E">
      <w:pPr>
        <w:pStyle w:val="ListParagraph"/>
        <w:numPr>
          <w:ilvl w:val="0"/>
          <w:numId w:val="23"/>
        </w:numPr>
      </w:pPr>
      <w:r>
        <w:t>Compare existing practice with the current standards.</w:t>
      </w:r>
    </w:p>
    <w:p w14:paraId="746336CF" w14:textId="0A75D008" w:rsidR="00A55D9E" w:rsidRDefault="006339B9" w:rsidP="00A55D9E">
      <w:pPr>
        <w:pStyle w:val="ListParagraph"/>
        <w:numPr>
          <w:ilvl w:val="0"/>
          <w:numId w:val="23"/>
        </w:numPr>
      </w:pPr>
      <w:r>
        <w:t>Identify</w:t>
      </w:r>
      <w:r w:rsidR="00DD5A86">
        <w:t xml:space="preserve"> strengths and weaknesses</w:t>
      </w:r>
      <w:r w:rsidR="00A55D9E">
        <w:t>.</w:t>
      </w:r>
    </w:p>
    <w:p w14:paraId="64BA73AF" w14:textId="18B2BBEE" w:rsidR="00E34807" w:rsidRDefault="00E34807" w:rsidP="00E34807">
      <w:pPr>
        <w:pStyle w:val="ListParagraph"/>
        <w:numPr>
          <w:ilvl w:val="0"/>
          <w:numId w:val="23"/>
        </w:numPr>
      </w:pPr>
      <w:r>
        <w:t>List areas where agreed standards have been achieved.</w:t>
      </w:r>
    </w:p>
    <w:p w14:paraId="15980860" w14:textId="70B53F9D" w:rsidR="00417B63" w:rsidRDefault="00DD5A86" w:rsidP="00A55D9E">
      <w:pPr>
        <w:pStyle w:val="ListParagraph"/>
        <w:numPr>
          <w:ilvl w:val="0"/>
          <w:numId w:val="23"/>
        </w:numPr>
      </w:pPr>
      <w:r>
        <w:t>List</w:t>
      </w:r>
      <w:r w:rsidR="002F7FDA">
        <w:t xml:space="preserve"> any areas that may require improvement. </w:t>
      </w:r>
      <w:r w:rsidR="00417B63">
        <w:t xml:space="preserve">This may include some or </w:t>
      </w:r>
      <w:proofErr w:type="gramStart"/>
      <w:r w:rsidR="00417B63">
        <w:t>all of</w:t>
      </w:r>
      <w:proofErr w:type="gramEnd"/>
      <w:r w:rsidR="00417B63">
        <w:t xml:space="preserve"> the following:</w:t>
      </w:r>
    </w:p>
    <w:p w14:paraId="404BB3C4" w14:textId="72ABA081" w:rsidR="00F20FA8" w:rsidRDefault="00417B63" w:rsidP="00417B63">
      <w:pPr>
        <w:pStyle w:val="ListParagraph"/>
        <w:numPr>
          <w:ilvl w:val="0"/>
          <w:numId w:val="18"/>
        </w:numPr>
      </w:pPr>
      <w:r>
        <w:t>General record keeping</w:t>
      </w:r>
      <w:r w:rsidR="00AF20A9">
        <w:t xml:space="preserve"> </w:t>
      </w:r>
    </w:p>
    <w:p w14:paraId="3EE2E06F" w14:textId="0A78568D" w:rsidR="00417B63" w:rsidRDefault="00BD278B" w:rsidP="00417B63">
      <w:pPr>
        <w:pStyle w:val="ListParagraph"/>
        <w:numPr>
          <w:ilvl w:val="0"/>
          <w:numId w:val="18"/>
        </w:numPr>
      </w:pPr>
      <w:r>
        <w:t xml:space="preserve">Diagnosis of periodontal disease for adults </w:t>
      </w:r>
    </w:p>
    <w:p w14:paraId="6DB7C43E" w14:textId="12B854A4" w:rsidR="00AF20A9" w:rsidRDefault="00AF20A9" w:rsidP="00417B63">
      <w:pPr>
        <w:pStyle w:val="ListParagraph"/>
        <w:numPr>
          <w:ilvl w:val="0"/>
          <w:numId w:val="18"/>
        </w:numPr>
      </w:pPr>
      <w:r>
        <w:t>Recording of risk factors</w:t>
      </w:r>
      <w:r w:rsidR="005C5965">
        <w:t xml:space="preserve"> and appropriate advice delivered</w:t>
      </w:r>
    </w:p>
    <w:p w14:paraId="7C506E7A" w14:textId="47CF74A8" w:rsidR="0084399B" w:rsidRDefault="006925DD" w:rsidP="002F2FD0">
      <w:pPr>
        <w:pStyle w:val="ListParagraph"/>
        <w:numPr>
          <w:ilvl w:val="0"/>
          <w:numId w:val="18"/>
        </w:numPr>
      </w:pPr>
      <w:r>
        <w:t>Periodontal assessment including BPE, plaque and bleeding scores</w:t>
      </w:r>
    </w:p>
    <w:p w14:paraId="2BE5DB83" w14:textId="319AF476" w:rsidR="006925DD" w:rsidRDefault="00183C20" w:rsidP="00417B63">
      <w:pPr>
        <w:pStyle w:val="ListParagraph"/>
        <w:numPr>
          <w:ilvl w:val="0"/>
          <w:numId w:val="18"/>
        </w:numPr>
      </w:pPr>
      <w:r>
        <w:t>Radiographic assessment</w:t>
      </w:r>
    </w:p>
    <w:p w14:paraId="20A12DD5" w14:textId="4965D983" w:rsidR="00183C20" w:rsidRDefault="00E76972" w:rsidP="00417B63">
      <w:pPr>
        <w:pStyle w:val="ListParagraph"/>
        <w:numPr>
          <w:ilvl w:val="0"/>
          <w:numId w:val="18"/>
        </w:numPr>
      </w:pPr>
      <w:r>
        <w:t>Treatment options and Consent</w:t>
      </w:r>
    </w:p>
    <w:p w14:paraId="63566508" w14:textId="11BF50C0" w:rsidR="00CB1660" w:rsidRDefault="005627AF" w:rsidP="00417B63">
      <w:pPr>
        <w:pStyle w:val="ListParagraph"/>
        <w:numPr>
          <w:ilvl w:val="0"/>
          <w:numId w:val="18"/>
        </w:numPr>
      </w:pPr>
      <w:r>
        <w:t xml:space="preserve">Monitoring and recording of </w:t>
      </w:r>
      <w:r w:rsidR="00435568">
        <w:t>rate of progression and stability</w:t>
      </w:r>
    </w:p>
    <w:p w14:paraId="0E3BBAA4" w14:textId="4E0FB00D" w:rsidR="00E76972" w:rsidRDefault="00AA357B" w:rsidP="00417B63">
      <w:pPr>
        <w:pStyle w:val="ListParagraph"/>
        <w:numPr>
          <w:ilvl w:val="0"/>
          <w:numId w:val="18"/>
        </w:numPr>
      </w:pPr>
      <w:r>
        <w:t>Prevention</w:t>
      </w:r>
    </w:p>
    <w:p w14:paraId="4AE1B452" w14:textId="73899570" w:rsidR="00AA357B" w:rsidRDefault="00CB1660" w:rsidP="00417B63">
      <w:pPr>
        <w:pStyle w:val="ListParagraph"/>
        <w:numPr>
          <w:ilvl w:val="0"/>
          <w:numId w:val="18"/>
        </w:numPr>
      </w:pPr>
      <w:r>
        <w:t>Referral of complex cases</w:t>
      </w:r>
    </w:p>
    <w:p w14:paraId="0036D2AB" w14:textId="0DABF6C6" w:rsidR="00435568" w:rsidRDefault="00DC718C" w:rsidP="00417B63">
      <w:pPr>
        <w:pStyle w:val="ListParagraph"/>
        <w:numPr>
          <w:ilvl w:val="0"/>
          <w:numId w:val="18"/>
        </w:numPr>
      </w:pPr>
      <w:r>
        <w:t>Appropriate r</w:t>
      </w:r>
      <w:r w:rsidR="00C27272">
        <w:t xml:space="preserve">ecall intervals </w:t>
      </w:r>
    </w:p>
    <w:p w14:paraId="645A56B6" w14:textId="77777777" w:rsidR="00A55D9E" w:rsidRDefault="00AF0B00" w:rsidP="00A55D9E">
      <w:pPr>
        <w:pStyle w:val="ListParagraph"/>
        <w:numPr>
          <w:ilvl w:val="0"/>
          <w:numId w:val="25"/>
        </w:numPr>
      </w:pPr>
      <w:r>
        <w:t>Describe what changes are required to improve existing pract</w:t>
      </w:r>
      <w:r w:rsidR="00A55D9E">
        <w:t>i</w:t>
      </w:r>
      <w:r>
        <w:t>ses</w:t>
      </w:r>
      <w:r w:rsidR="00F31CAF">
        <w:t xml:space="preserve">, these could be educational as well as </w:t>
      </w:r>
      <w:r w:rsidR="00851117">
        <w:t>organisational</w:t>
      </w:r>
      <w:r w:rsidR="00A55D9E">
        <w:t>.</w:t>
      </w:r>
    </w:p>
    <w:p w14:paraId="48723DB2" w14:textId="39DC371D" w:rsidR="00A55D9E" w:rsidRDefault="00AA5B24" w:rsidP="00A55D9E">
      <w:pPr>
        <w:pStyle w:val="ListParagraph"/>
        <w:numPr>
          <w:ilvl w:val="0"/>
          <w:numId w:val="25"/>
        </w:numPr>
      </w:pPr>
      <w:r>
        <w:t>Present and discuss the audit result</w:t>
      </w:r>
      <w:r w:rsidR="00BE710C">
        <w:t>s</w:t>
      </w:r>
      <w:r>
        <w:t xml:space="preserve"> </w:t>
      </w:r>
      <w:r w:rsidR="00A55D9E">
        <w:t>to</w:t>
      </w:r>
      <w:r>
        <w:t xml:space="preserve"> the </w:t>
      </w:r>
      <w:r w:rsidR="00BE710C">
        <w:t xml:space="preserve">rest of the </w:t>
      </w:r>
      <w:r w:rsidR="008E7B18">
        <w:t xml:space="preserve">dental team. </w:t>
      </w:r>
    </w:p>
    <w:p w14:paraId="1D41521A" w14:textId="1BE046A5" w:rsidR="00A55D9E" w:rsidRDefault="008E7B18" w:rsidP="00A55D9E">
      <w:pPr>
        <w:pStyle w:val="ListParagraph"/>
        <w:numPr>
          <w:ilvl w:val="0"/>
          <w:numId w:val="25"/>
        </w:numPr>
      </w:pPr>
      <w:r>
        <w:t>Following feedback</w:t>
      </w:r>
      <w:r w:rsidR="00BE710C">
        <w:t>,</w:t>
      </w:r>
      <w:r>
        <w:t xml:space="preserve"> </w:t>
      </w:r>
      <w:r w:rsidR="00D90ACA">
        <w:t>develop an action plan for the implementation of suggested changes</w:t>
      </w:r>
      <w:r w:rsidR="002F2FD0">
        <w:t xml:space="preserve">. </w:t>
      </w:r>
      <w:r w:rsidR="000256F4">
        <w:t>This should include an agreed timescale in which to implement the changes.</w:t>
      </w:r>
    </w:p>
    <w:p w14:paraId="0602EFBA" w14:textId="61FF1C57" w:rsidR="00E34807" w:rsidRDefault="00E34807" w:rsidP="00A55D9E">
      <w:pPr>
        <w:pStyle w:val="ListParagraph"/>
        <w:numPr>
          <w:ilvl w:val="0"/>
          <w:numId w:val="25"/>
        </w:numPr>
      </w:pPr>
      <w:r>
        <w:t xml:space="preserve">Review the audit standards and consider if the benchmarks are realistic, achievable and provide a sufficient challenge </w:t>
      </w:r>
      <w:r w:rsidR="00E62A2C">
        <w:t>and</w:t>
      </w:r>
      <w:r>
        <w:t xml:space="preserve"> will enhance the quality of treatment provided.</w:t>
      </w:r>
    </w:p>
    <w:p w14:paraId="59309607" w14:textId="3895C558" w:rsidR="00A55D9E" w:rsidRDefault="00804356" w:rsidP="00A55D9E">
      <w:pPr>
        <w:pStyle w:val="ListParagraph"/>
        <w:numPr>
          <w:ilvl w:val="0"/>
          <w:numId w:val="25"/>
        </w:numPr>
      </w:pPr>
      <w:r>
        <w:t>Repeat the audit in full or focus on the areas that required improvement.</w:t>
      </w:r>
    </w:p>
    <w:p w14:paraId="53C64FEE" w14:textId="77777777" w:rsidR="00E66D39" w:rsidRPr="006413FE" w:rsidRDefault="00E66D39" w:rsidP="00B245A5"/>
    <w:p w14:paraId="30998AB7" w14:textId="77777777" w:rsidR="00BA2193" w:rsidRPr="00FF4DD6" w:rsidRDefault="00BA2193" w:rsidP="00BA2193">
      <w:pPr>
        <w:rPr>
          <w:b/>
          <w:bCs/>
        </w:rPr>
      </w:pPr>
    </w:p>
    <w:p w14:paraId="3F8EF1FA" w14:textId="77777777" w:rsidR="00A66E24" w:rsidRPr="00A66E24" w:rsidRDefault="00A66E24">
      <w:pPr>
        <w:rPr>
          <w:b/>
          <w:bCs/>
        </w:rPr>
      </w:pPr>
    </w:p>
    <w:sectPr w:rsidR="00A66E24" w:rsidRPr="00A66E24">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3E4A3" w14:textId="77777777" w:rsidR="00676F29" w:rsidRDefault="00676F29" w:rsidP="00D0542A">
      <w:pPr>
        <w:spacing w:after="0" w:line="240" w:lineRule="auto"/>
      </w:pPr>
      <w:r>
        <w:separator/>
      </w:r>
    </w:p>
  </w:endnote>
  <w:endnote w:type="continuationSeparator" w:id="0">
    <w:p w14:paraId="3E863623" w14:textId="77777777" w:rsidR="00676F29" w:rsidRDefault="00676F29" w:rsidP="00D05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8437" w14:textId="77777777" w:rsidR="00676F29" w:rsidRDefault="00676F29" w:rsidP="00D0542A">
      <w:pPr>
        <w:spacing w:after="0" w:line="240" w:lineRule="auto"/>
      </w:pPr>
      <w:r>
        <w:separator/>
      </w:r>
    </w:p>
  </w:footnote>
  <w:footnote w:type="continuationSeparator" w:id="0">
    <w:p w14:paraId="63F05EB0" w14:textId="77777777" w:rsidR="00676F29" w:rsidRDefault="00676F29" w:rsidP="00D05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A110" w14:textId="0193BF95" w:rsidR="00D0542A" w:rsidRDefault="00D0542A">
    <w:pPr>
      <w:pStyle w:val="Header"/>
    </w:pPr>
    <w:r>
      <w:rPr>
        <w:rFonts w:ascii="Times New Roman" w:hAnsi="Times New Roman" w:cs="Times New Roman"/>
        <w:noProof/>
        <w:sz w:val="20"/>
        <w:szCs w:val="20"/>
      </w:rPr>
      <w:drawing>
        <wp:inline distT="0" distB="0" distL="0" distR="0" wp14:anchorId="52B36D67" wp14:editId="2B05B4FB">
          <wp:extent cx="5731510" cy="11049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04900"/>
                  </a:xfrm>
                  <a:prstGeom prst="rect">
                    <a:avLst/>
                  </a:prstGeom>
                  <a:noFill/>
                  <a:ln>
                    <a:noFill/>
                  </a:ln>
                </pic:spPr>
              </pic:pic>
            </a:graphicData>
          </a:graphic>
        </wp:inline>
      </w:drawing>
    </w:r>
  </w:p>
  <w:p w14:paraId="1BC81B58" w14:textId="77777777" w:rsidR="00D0542A" w:rsidRDefault="00D054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2305"/>
    <w:multiLevelType w:val="hybridMultilevel"/>
    <w:tmpl w:val="C5E2E288"/>
    <w:lvl w:ilvl="0" w:tplc="08090003">
      <w:start w:val="1"/>
      <w:numFmt w:val="bullet"/>
      <w:lvlText w:val="o"/>
      <w:lvlJc w:val="left"/>
      <w:pPr>
        <w:ind w:left="1500" w:hanging="360"/>
      </w:pPr>
      <w:rPr>
        <w:rFonts w:ascii="Courier New" w:hAnsi="Courier New" w:cs="Courier New" w:hint="default"/>
      </w:rPr>
    </w:lvl>
    <w:lvl w:ilvl="1" w:tplc="08090003">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 w15:restartNumberingAfterBreak="0">
    <w:nsid w:val="07AA26F6"/>
    <w:multiLevelType w:val="hybridMultilevel"/>
    <w:tmpl w:val="AAF4C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6378D"/>
    <w:multiLevelType w:val="hybridMultilevel"/>
    <w:tmpl w:val="3CECA3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8007C9"/>
    <w:multiLevelType w:val="hybridMultilevel"/>
    <w:tmpl w:val="9878B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5458B"/>
    <w:multiLevelType w:val="hybridMultilevel"/>
    <w:tmpl w:val="D46E0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04C0F"/>
    <w:multiLevelType w:val="hybridMultilevel"/>
    <w:tmpl w:val="59AC8906"/>
    <w:lvl w:ilvl="0" w:tplc="B5260B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5C5DDA"/>
    <w:multiLevelType w:val="hybridMultilevel"/>
    <w:tmpl w:val="8D126B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343DD4"/>
    <w:multiLevelType w:val="hybridMultilevel"/>
    <w:tmpl w:val="45DA0C2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0F6349B"/>
    <w:multiLevelType w:val="hybridMultilevel"/>
    <w:tmpl w:val="F6B8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0350B"/>
    <w:multiLevelType w:val="hybridMultilevel"/>
    <w:tmpl w:val="245E9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EE04FB"/>
    <w:multiLevelType w:val="hybridMultilevel"/>
    <w:tmpl w:val="96023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024048"/>
    <w:multiLevelType w:val="hybridMultilevel"/>
    <w:tmpl w:val="94A4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4014C7"/>
    <w:multiLevelType w:val="hybridMultilevel"/>
    <w:tmpl w:val="95929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8576FF"/>
    <w:multiLevelType w:val="hybridMultilevel"/>
    <w:tmpl w:val="D77E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975689"/>
    <w:multiLevelType w:val="hybridMultilevel"/>
    <w:tmpl w:val="1100A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476611"/>
    <w:multiLevelType w:val="hybridMultilevel"/>
    <w:tmpl w:val="C79AF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47120F"/>
    <w:multiLevelType w:val="hybridMultilevel"/>
    <w:tmpl w:val="F6E4337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49BD18B3"/>
    <w:multiLevelType w:val="hybridMultilevel"/>
    <w:tmpl w:val="77184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9D02D1"/>
    <w:multiLevelType w:val="hybridMultilevel"/>
    <w:tmpl w:val="1F36E4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B5531E"/>
    <w:multiLevelType w:val="hybridMultilevel"/>
    <w:tmpl w:val="CF187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A45C84"/>
    <w:multiLevelType w:val="hybridMultilevel"/>
    <w:tmpl w:val="A9442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2252B5"/>
    <w:multiLevelType w:val="hybridMultilevel"/>
    <w:tmpl w:val="5F36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B63ADF"/>
    <w:multiLevelType w:val="hybridMultilevel"/>
    <w:tmpl w:val="6A0E3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740675"/>
    <w:multiLevelType w:val="hybridMultilevel"/>
    <w:tmpl w:val="B706E6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7210E2"/>
    <w:multiLevelType w:val="hybridMultilevel"/>
    <w:tmpl w:val="1C1263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344078"/>
    <w:multiLevelType w:val="hybridMultilevel"/>
    <w:tmpl w:val="FCC0F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124E1E"/>
    <w:multiLevelType w:val="hybridMultilevel"/>
    <w:tmpl w:val="5178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267279"/>
    <w:multiLevelType w:val="hybridMultilevel"/>
    <w:tmpl w:val="9A6ED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4083253">
    <w:abstractNumId w:val="12"/>
  </w:num>
  <w:num w:numId="2" w16cid:durableId="672613675">
    <w:abstractNumId w:val="10"/>
  </w:num>
  <w:num w:numId="3" w16cid:durableId="587735584">
    <w:abstractNumId w:val="25"/>
  </w:num>
  <w:num w:numId="4" w16cid:durableId="731927338">
    <w:abstractNumId w:val="24"/>
  </w:num>
  <w:num w:numId="5" w16cid:durableId="608465508">
    <w:abstractNumId w:val="6"/>
  </w:num>
  <w:num w:numId="6" w16cid:durableId="1359891399">
    <w:abstractNumId w:val="17"/>
  </w:num>
  <w:num w:numId="7" w16cid:durableId="640112561">
    <w:abstractNumId w:val="15"/>
  </w:num>
  <w:num w:numId="8" w16cid:durableId="971909582">
    <w:abstractNumId w:val="7"/>
  </w:num>
  <w:num w:numId="9" w16cid:durableId="440690826">
    <w:abstractNumId w:val="18"/>
  </w:num>
  <w:num w:numId="10" w16cid:durableId="463274450">
    <w:abstractNumId w:val="2"/>
  </w:num>
  <w:num w:numId="11" w16cid:durableId="1972124547">
    <w:abstractNumId w:val="20"/>
  </w:num>
  <w:num w:numId="12" w16cid:durableId="235552811">
    <w:abstractNumId w:val="26"/>
  </w:num>
  <w:num w:numId="13" w16cid:durableId="46924188">
    <w:abstractNumId w:val="27"/>
  </w:num>
  <w:num w:numId="14" w16cid:durableId="589118057">
    <w:abstractNumId w:val="14"/>
  </w:num>
  <w:num w:numId="15" w16cid:durableId="80877658">
    <w:abstractNumId w:val="13"/>
  </w:num>
  <w:num w:numId="16" w16cid:durableId="709689803">
    <w:abstractNumId w:val="9"/>
  </w:num>
  <w:num w:numId="17" w16cid:durableId="1868980901">
    <w:abstractNumId w:val="23"/>
  </w:num>
  <w:num w:numId="18" w16cid:durableId="1150710100">
    <w:abstractNumId w:val="0"/>
  </w:num>
  <w:num w:numId="19" w16cid:durableId="1584608722">
    <w:abstractNumId w:val="5"/>
  </w:num>
  <w:num w:numId="20" w16cid:durableId="226840708">
    <w:abstractNumId w:val="11"/>
  </w:num>
  <w:num w:numId="21" w16cid:durableId="351151900">
    <w:abstractNumId w:val="8"/>
  </w:num>
  <w:num w:numId="22" w16cid:durableId="1639337395">
    <w:abstractNumId w:val="4"/>
  </w:num>
  <w:num w:numId="23" w16cid:durableId="915170347">
    <w:abstractNumId w:val="21"/>
  </w:num>
  <w:num w:numId="24" w16cid:durableId="1128400580">
    <w:abstractNumId w:val="16"/>
  </w:num>
  <w:num w:numId="25" w16cid:durableId="762456173">
    <w:abstractNumId w:val="3"/>
  </w:num>
  <w:num w:numId="26" w16cid:durableId="5864132">
    <w:abstractNumId w:val="1"/>
  </w:num>
  <w:num w:numId="27" w16cid:durableId="1214661243">
    <w:abstractNumId w:val="19"/>
  </w:num>
  <w:num w:numId="28" w16cid:durableId="4276999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E24"/>
    <w:rsid w:val="00010AC2"/>
    <w:rsid w:val="00014CDA"/>
    <w:rsid w:val="00014E35"/>
    <w:rsid w:val="000256F4"/>
    <w:rsid w:val="000267B5"/>
    <w:rsid w:val="00036F68"/>
    <w:rsid w:val="000439C6"/>
    <w:rsid w:val="000445B8"/>
    <w:rsid w:val="0009361A"/>
    <w:rsid w:val="000A0FDE"/>
    <w:rsid w:val="000B09D6"/>
    <w:rsid w:val="000B65EF"/>
    <w:rsid w:val="000D6E9B"/>
    <w:rsid w:val="000F4E26"/>
    <w:rsid w:val="0012231B"/>
    <w:rsid w:val="00124844"/>
    <w:rsid w:val="001468E8"/>
    <w:rsid w:val="0015722D"/>
    <w:rsid w:val="00157CEA"/>
    <w:rsid w:val="0016166D"/>
    <w:rsid w:val="00167664"/>
    <w:rsid w:val="00167D4F"/>
    <w:rsid w:val="00177846"/>
    <w:rsid w:val="00183C20"/>
    <w:rsid w:val="00184600"/>
    <w:rsid w:val="00190166"/>
    <w:rsid w:val="001D768E"/>
    <w:rsid w:val="001E402A"/>
    <w:rsid w:val="00203D42"/>
    <w:rsid w:val="0021054D"/>
    <w:rsid w:val="002153A1"/>
    <w:rsid w:val="00216003"/>
    <w:rsid w:val="002207C2"/>
    <w:rsid w:val="00220AB6"/>
    <w:rsid w:val="0022569C"/>
    <w:rsid w:val="00226A9F"/>
    <w:rsid w:val="002357D3"/>
    <w:rsid w:val="0029383F"/>
    <w:rsid w:val="00295CA3"/>
    <w:rsid w:val="002A1F54"/>
    <w:rsid w:val="002A6108"/>
    <w:rsid w:val="002A749E"/>
    <w:rsid w:val="002B4403"/>
    <w:rsid w:val="002C4904"/>
    <w:rsid w:val="002C4D60"/>
    <w:rsid w:val="002D048C"/>
    <w:rsid w:val="002D3AFF"/>
    <w:rsid w:val="002D7A05"/>
    <w:rsid w:val="002D7A0D"/>
    <w:rsid w:val="002E10C8"/>
    <w:rsid w:val="002E6047"/>
    <w:rsid w:val="002F2FD0"/>
    <w:rsid w:val="002F461C"/>
    <w:rsid w:val="002F7FDA"/>
    <w:rsid w:val="0030061F"/>
    <w:rsid w:val="003031C0"/>
    <w:rsid w:val="003109D1"/>
    <w:rsid w:val="00322C86"/>
    <w:rsid w:val="0032757C"/>
    <w:rsid w:val="003553BD"/>
    <w:rsid w:val="00363921"/>
    <w:rsid w:val="00380F85"/>
    <w:rsid w:val="003919B6"/>
    <w:rsid w:val="00395545"/>
    <w:rsid w:val="00395CF6"/>
    <w:rsid w:val="003A04AB"/>
    <w:rsid w:val="003A70F1"/>
    <w:rsid w:val="003B04E7"/>
    <w:rsid w:val="003B6F66"/>
    <w:rsid w:val="003D2DE1"/>
    <w:rsid w:val="003E2F3F"/>
    <w:rsid w:val="003E672E"/>
    <w:rsid w:val="003F29E3"/>
    <w:rsid w:val="00400D22"/>
    <w:rsid w:val="00412489"/>
    <w:rsid w:val="00417B63"/>
    <w:rsid w:val="004278EC"/>
    <w:rsid w:val="00435568"/>
    <w:rsid w:val="0044175E"/>
    <w:rsid w:val="00442866"/>
    <w:rsid w:val="00443038"/>
    <w:rsid w:val="00445B8A"/>
    <w:rsid w:val="00453848"/>
    <w:rsid w:val="00462424"/>
    <w:rsid w:val="00487084"/>
    <w:rsid w:val="004907EA"/>
    <w:rsid w:val="004953C6"/>
    <w:rsid w:val="004A6F01"/>
    <w:rsid w:val="004A7A3B"/>
    <w:rsid w:val="004B6D2C"/>
    <w:rsid w:val="004E478C"/>
    <w:rsid w:val="00501CC3"/>
    <w:rsid w:val="00514C61"/>
    <w:rsid w:val="005206FA"/>
    <w:rsid w:val="00523D57"/>
    <w:rsid w:val="0052641B"/>
    <w:rsid w:val="00527919"/>
    <w:rsid w:val="005341EA"/>
    <w:rsid w:val="00536AD9"/>
    <w:rsid w:val="005408E7"/>
    <w:rsid w:val="005413EA"/>
    <w:rsid w:val="005449E1"/>
    <w:rsid w:val="00547FAE"/>
    <w:rsid w:val="00552068"/>
    <w:rsid w:val="00556184"/>
    <w:rsid w:val="00560C07"/>
    <w:rsid w:val="005627AF"/>
    <w:rsid w:val="00563837"/>
    <w:rsid w:val="0056645E"/>
    <w:rsid w:val="00576AF9"/>
    <w:rsid w:val="005842C0"/>
    <w:rsid w:val="005A1777"/>
    <w:rsid w:val="005B2E6E"/>
    <w:rsid w:val="005B4149"/>
    <w:rsid w:val="005B6F12"/>
    <w:rsid w:val="005C5965"/>
    <w:rsid w:val="005D50A8"/>
    <w:rsid w:val="005E5201"/>
    <w:rsid w:val="005E71FD"/>
    <w:rsid w:val="005F21A0"/>
    <w:rsid w:val="005F2D17"/>
    <w:rsid w:val="00600B68"/>
    <w:rsid w:val="00600E61"/>
    <w:rsid w:val="00624827"/>
    <w:rsid w:val="006339B9"/>
    <w:rsid w:val="006413FE"/>
    <w:rsid w:val="006451A7"/>
    <w:rsid w:val="00652E02"/>
    <w:rsid w:val="00676F29"/>
    <w:rsid w:val="006925DD"/>
    <w:rsid w:val="00697765"/>
    <w:rsid w:val="006C1814"/>
    <w:rsid w:val="006C739F"/>
    <w:rsid w:val="006D0155"/>
    <w:rsid w:val="006D0F1D"/>
    <w:rsid w:val="006F0798"/>
    <w:rsid w:val="006F375C"/>
    <w:rsid w:val="00727E7E"/>
    <w:rsid w:val="007317C9"/>
    <w:rsid w:val="0075490A"/>
    <w:rsid w:val="00777621"/>
    <w:rsid w:val="0078386F"/>
    <w:rsid w:val="00793474"/>
    <w:rsid w:val="007C5095"/>
    <w:rsid w:val="007C58B8"/>
    <w:rsid w:val="007D546C"/>
    <w:rsid w:val="007E183B"/>
    <w:rsid w:val="00804356"/>
    <w:rsid w:val="008057ED"/>
    <w:rsid w:val="00807A70"/>
    <w:rsid w:val="00807B62"/>
    <w:rsid w:val="00812848"/>
    <w:rsid w:val="008145B4"/>
    <w:rsid w:val="00816445"/>
    <w:rsid w:val="00822146"/>
    <w:rsid w:val="008246D8"/>
    <w:rsid w:val="00830A00"/>
    <w:rsid w:val="00834AE8"/>
    <w:rsid w:val="0084399B"/>
    <w:rsid w:val="00846DB9"/>
    <w:rsid w:val="00851117"/>
    <w:rsid w:val="008531A3"/>
    <w:rsid w:val="008661AB"/>
    <w:rsid w:val="00870647"/>
    <w:rsid w:val="008709CF"/>
    <w:rsid w:val="00894788"/>
    <w:rsid w:val="00896400"/>
    <w:rsid w:val="00896846"/>
    <w:rsid w:val="008A0E65"/>
    <w:rsid w:val="008A684B"/>
    <w:rsid w:val="008B0497"/>
    <w:rsid w:val="008B177B"/>
    <w:rsid w:val="008B220E"/>
    <w:rsid w:val="008C1894"/>
    <w:rsid w:val="008C3DF9"/>
    <w:rsid w:val="008C62E0"/>
    <w:rsid w:val="008D0CFB"/>
    <w:rsid w:val="008D35E2"/>
    <w:rsid w:val="008D57F9"/>
    <w:rsid w:val="008E2181"/>
    <w:rsid w:val="008E7B18"/>
    <w:rsid w:val="008F2B79"/>
    <w:rsid w:val="008F466C"/>
    <w:rsid w:val="00903732"/>
    <w:rsid w:val="009235F9"/>
    <w:rsid w:val="009323DB"/>
    <w:rsid w:val="00945719"/>
    <w:rsid w:val="00950412"/>
    <w:rsid w:val="0095140D"/>
    <w:rsid w:val="00955BDE"/>
    <w:rsid w:val="00962973"/>
    <w:rsid w:val="009A5A44"/>
    <w:rsid w:val="009B2006"/>
    <w:rsid w:val="009C2A7F"/>
    <w:rsid w:val="009D0674"/>
    <w:rsid w:val="009D1372"/>
    <w:rsid w:val="009D624B"/>
    <w:rsid w:val="00A002E6"/>
    <w:rsid w:val="00A00A00"/>
    <w:rsid w:val="00A068E3"/>
    <w:rsid w:val="00A12394"/>
    <w:rsid w:val="00A24B76"/>
    <w:rsid w:val="00A545E7"/>
    <w:rsid w:val="00A55D9E"/>
    <w:rsid w:val="00A645C9"/>
    <w:rsid w:val="00A65531"/>
    <w:rsid w:val="00A66E24"/>
    <w:rsid w:val="00A71EF8"/>
    <w:rsid w:val="00A7235A"/>
    <w:rsid w:val="00A96C54"/>
    <w:rsid w:val="00A971AA"/>
    <w:rsid w:val="00AA357B"/>
    <w:rsid w:val="00AA5B24"/>
    <w:rsid w:val="00AB6D03"/>
    <w:rsid w:val="00AD1067"/>
    <w:rsid w:val="00AD581F"/>
    <w:rsid w:val="00AD5D44"/>
    <w:rsid w:val="00AF0B00"/>
    <w:rsid w:val="00AF20A9"/>
    <w:rsid w:val="00AF3D40"/>
    <w:rsid w:val="00AF41CF"/>
    <w:rsid w:val="00B04245"/>
    <w:rsid w:val="00B06E8A"/>
    <w:rsid w:val="00B103FA"/>
    <w:rsid w:val="00B245A5"/>
    <w:rsid w:val="00B32046"/>
    <w:rsid w:val="00B320B8"/>
    <w:rsid w:val="00B51F1F"/>
    <w:rsid w:val="00B61E7F"/>
    <w:rsid w:val="00B66C5B"/>
    <w:rsid w:val="00B736FD"/>
    <w:rsid w:val="00B7667B"/>
    <w:rsid w:val="00B826C7"/>
    <w:rsid w:val="00B86140"/>
    <w:rsid w:val="00B87DEC"/>
    <w:rsid w:val="00B93E50"/>
    <w:rsid w:val="00BA2193"/>
    <w:rsid w:val="00BB3A07"/>
    <w:rsid w:val="00BB42C7"/>
    <w:rsid w:val="00BB576E"/>
    <w:rsid w:val="00BD278B"/>
    <w:rsid w:val="00BD4A61"/>
    <w:rsid w:val="00BE66C1"/>
    <w:rsid w:val="00BE710C"/>
    <w:rsid w:val="00BF517E"/>
    <w:rsid w:val="00BF5E31"/>
    <w:rsid w:val="00C04D0E"/>
    <w:rsid w:val="00C0626B"/>
    <w:rsid w:val="00C22518"/>
    <w:rsid w:val="00C25B92"/>
    <w:rsid w:val="00C27272"/>
    <w:rsid w:val="00C323A1"/>
    <w:rsid w:val="00C346B6"/>
    <w:rsid w:val="00C366FC"/>
    <w:rsid w:val="00C57163"/>
    <w:rsid w:val="00C72218"/>
    <w:rsid w:val="00C90965"/>
    <w:rsid w:val="00C9269C"/>
    <w:rsid w:val="00CA1303"/>
    <w:rsid w:val="00CA3D28"/>
    <w:rsid w:val="00CB1660"/>
    <w:rsid w:val="00CD006B"/>
    <w:rsid w:val="00CD59D6"/>
    <w:rsid w:val="00CE1352"/>
    <w:rsid w:val="00CF59AB"/>
    <w:rsid w:val="00CF79E4"/>
    <w:rsid w:val="00D0542A"/>
    <w:rsid w:val="00D10AA3"/>
    <w:rsid w:val="00D14C14"/>
    <w:rsid w:val="00D228F6"/>
    <w:rsid w:val="00D25628"/>
    <w:rsid w:val="00D2567C"/>
    <w:rsid w:val="00D256DC"/>
    <w:rsid w:val="00D27DD8"/>
    <w:rsid w:val="00D41044"/>
    <w:rsid w:val="00D417B4"/>
    <w:rsid w:val="00D479D7"/>
    <w:rsid w:val="00D5180A"/>
    <w:rsid w:val="00D5255A"/>
    <w:rsid w:val="00D54ABA"/>
    <w:rsid w:val="00D67D0A"/>
    <w:rsid w:val="00D732EB"/>
    <w:rsid w:val="00D80DBA"/>
    <w:rsid w:val="00D83A97"/>
    <w:rsid w:val="00D85055"/>
    <w:rsid w:val="00D878C0"/>
    <w:rsid w:val="00D90ACA"/>
    <w:rsid w:val="00D93CBF"/>
    <w:rsid w:val="00D93FC2"/>
    <w:rsid w:val="00DB3432"/>
    <w:rsid w:val="00DC718C"/>
    <w:rsid w:val="00DD5A86"/>
    <w:rsid w:val="00DE58B7"/>
    <w:rsid w:val="00DF48B4"/>
    <w:rsid w:val="00E015EA"/>
    <w:rsid w:val="00E21996"/>
    <w:rsid w:val="00E265A5"/>
    <w:rsid w:val="00E34807"/>
    <w:rsid w:val="00E5468D"/>
    <w:rsid w:val="00E62A2C"/>
    <w:rsid w:val="00E66D39"/>
    <w:rsid w:val="00E74505"/>
    <w:rsid w:val="00E76972"/>
    <w:rsid w:val="00E76B4A"/>
    <w:rsid w:val="00E77246"/>
    <w:rsid w:val="00E81D78"/>
    <w:rsid w:val="00E871B7"/>
    <w:rsid w:val="00E93C0F"/>
    <w:rsid w:val="00E95C70"/>
    <w:rsid w:val="00E96603"/>
    <w:rsid w:val="00EA4BD5"/>
    <w:rsid w:val="00EA5DB2"/>
    <w:rsid w:val="00EA605E"/>
    <w:rsid w:val="00EB15F6"/>
    <w:rsid w:val="00EB24BE"/>
    <w:rsid w:val="00EB5D4F"/>
    <w:rsid w:val="00EE19A2"/>
    <w:rsid w:val="00EF5E34"/>
    <w:rsid w:val="00F00AAD"/>
    <w:rsid w:val="00F03543"/>
    <w:rsid w:val="00F03CEB"/>
    <w:rsid w:val="00F104E2"/>
    <w:rsid w:val="00F1311F"/>
    <w:rsid w:val="00F20FA8"/>
    <w:rsid w:val="00F3050D"/>
    <w:rsid w:val="00F31CAF"/>
    <w:rsid w:val="00F33B5C"/>
    <w:rsid w:val="00F34547"/>
    <w:rsid w:val="00F5215B"/>
    <w:rsid w:val="00F542DA"/>
    <w:rsid w:val="00F56AD1"/>
    <w:rsid w:val="00F64DA2"/>
    <w:rsid w:val="00F65B8D"/>
    <w:rsid w:val="00F87060"/>
    <w:rsid w:val="00F90A1D"/>
    <w:rsid w:val="00F93832"/>
    <w:rsid w:val="00FC12A8"/>
    <w:rsid w:val="00FC1DDA"/>
    <w:rsid w:val="00FC35FC"/>
    <w:rsid w:val="00FC7D2A"/>
    <w:rsid w:val="00FD16A0"/>
    <w:rsid w:val="00FD303D"/>
    <w:rsid w:val="00FE4532"/>
    <w:rsid w:val="00FF4DD6"/>
    <w:rsid w:val="00FF5B47"/>
    <w:rsid w:val="00FF6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4A482"/>
  <w15:chartTrackingRefBased/>
  <w15:docId w15:val="{95249821-E957-4693-93FB-756486D5C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7ED"/>
    <w:pPr>
      <w:ind w:left="720"/>
      <w:contextualSpacing/>
    </w:pPr>
  </w:style>
  <w:style w:type="character" w:styleId="Hyperlink">
    <w:name w:val="Hyperlink"/>
    <w:basedOn w:val="DefaultParagraphFont"/>
    <w:uiPriority w:val="99"/>
    <w:unhideWhenUsed/>
    <w:rsid w:val="003E672E"/>
    <w:rPr>
      <w:color w:val="0563C1" w:themeColor="hyperlink"/>
      <w:u w:val="single"/>
    </w:rPr>
  </w:style>
  <w:style w:type="character" w:styleId="UnresolvedMention">
    <w:name w:val="Unresolved Mention"/>
    <w:basedOn w:val="DefaultParagraphFont"/>
    <w:uiPriority w:val="99"/>
    <w:semiHidden/>
    <w:unhideWhenUsed/>
    <w:rsid w:val="003E672E"/>
    <w:rPr>
      <w:color w:val="605E5C"/>
      <w:shd w:val="clear" w:color="auto" w:fill="E1DFDD"/>
    </w:rPr>
  </w:style>
  <w:style w:type="character" w:styleId="FollowedHyperlink">
    <w:name w:val="FollowedHyperlink"/>
    <w:basedOn w:val="DefaultParagraphFont"/>
    <w:uiPriority w:val="99"/>
    <w:semiHidden/>
    <w:unhideWhenUsed/>
    <w:rsid w:val="00C57163"/>
    <w:rPr>
      <w:color w:val="954F72" w:themeColor="followedHyperlink"/>
      <w:u w:val="single"/>
    </w:rPr>
  </w:style>
  <w:style w:type="paragraph" w:styleId="Header">
    <w:name w:val="header"/>
    <w:basedOn w:val="Normal"/>
    <w:link w:val="HeaderChar"/>
    <w:uiPriority w:val="99"/>
    <w:unhideWhenUsed/>
    <w:rsid w:val="00D054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42A"/>
  </w:style>
  <w:style w:type="paragraph" w:styleId="Footer">
    <w:name w:val="footer"/>
    <w:basedOn w:val="Normal"/>
    <w:link w:val="FooterChar"/>
    <w:uiPriority w:val="99"/>
    <w:unhideWhenUsed/>
    <w:rsid w:val="00D054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sperio.org.uk/professionals/publications" TargetMode="External"/><Relationship Id="rId13" Type="http://schemas.openxmlformats.org/officeDocument/2006/relationships/hyperlink" Target="https://www.bsperio.org.uk/professionals/publicatio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sperio.org.uk/professionals/publication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sperio.org.uk/professionals/healthy-gums-do-matter-toolk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sperio.org.uk/professionals/publications" TargetMode="External"/><Relationship Id="rId5" Type="http://schemas.openxmlformats.org/officeDocument/2006/relationships/webSettings" Target="webSettings.xml"/><Relationship Id="rId15" Type="http://schemas.openxmlformats.org/officeDocument/2006/relationships/hyperlink" Target="https://www.legislation.gov.uk/uksi/2005/3361/regulation/22/made" TargetMode="External"/><Relationship Id="rId10" Type="http://schemas.openxmlformats.org/officeDocument/2006/relationships/hyperlink" Target="https://www.bsperio.org.uk/professionals/publicat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sperio.org.uk/professionals/publications" TargetMode="External"/><Relationship Id="rId14" Type="http://schemas.openxmlformats.org/officeDocument/2006/relationships/hyperlink" Target="https://cgdent.uk/wp-content/uploads/2021/08/FGDP-SCDR-ALL-We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0FB81-7C48-4C3E-A27A-2A15E7F0E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Windle</dc:creator>
  <cp:keywords/>
  <dc:description/>
  <cp:lastModifiedBy>Jenny Houghton</cp:lastModifiedBy>
  <cp:revision>2</cp:revision>
  <dcterms:created xsi:type="dcterms:W3CDTF">2022-05-26T14:03:00Z</dcterms:created>
  <dcterms:modified xsi:type="dcterms:W3CDTF">2022-05-26T14:03:00Z</dcterms:modified>
</cp:coreProperties>
</file>