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E75E" w14:textId="54F7C8B6" w:rsidR="000948AF" w:rsidRPr="000D2F7F" w:rsidRDefault="000948AF" w:rsidP="001501B0">
      <w:pPr>
        <w:tabs>
          <w:tab w:val="left" w:pos="1134"/>
          <w:tab w:val="left" w:pos="1560"/>
          <w:tab w:val="left" w:pos="2127"/>
        </w:tabs>
        <w:spacing w:after="0"/>
        <w:rPr>
          <w:rFonts w:ascii="Arial" w:eastAsia="BatangChe" w:hAnsi="Arial" w:cs="Arial"/>
          <w:szCs w:val="24"/>
          <w:lang w:val="en-US"/>
        </w:rPr>
      </w:pPr>
    </w:p>
    <w:p w14:paraId="44C7D033" w14:textId="14BB18B1" w:rsidR="000C3585" w:rsidRDefault="000C3585" w:rsidP="001501B0">
      <w:pPr>
        <w:pStyle w:val="Title"/>
        <w:tabs>
          <w:tab w:val="left" w:pos="1134"/>
          <w:tab w:val="left" w:pos="1560"/>
          <w:tab w:val="left" w:pos="2127"/>
        </w:tabs>
        <w:rPr>
          <w:rFonts w:eastAsia="BatangChe"/>
          <w:sz w:val="56"/>
          <w:szCs w:val="56"/>
        </w:rPr>
      </w:pPr>
      <w:bookmarkStart w:id="0" w:name="_Toc417483164"/>
    </w:p>
    <w:p w14:paraId="408B0035" w14:textId="77777777" w:rsidR="007D3194" w:rsidRPr="00852327" w:rsidRDefault="000C3585" w:rsidP="001501B0">
      <w:pPr>
        <w:pStyle w:val="Title"/>
        <w:tabs>
          <w:tab w:val="left" w:pos="1134"/>
          <w:tab w:val="left" w:pos="1560"/>
          <w:tab w:val="left" w:pos="2127"/>
        </w:tabs>
        <w:rPr>
          <w:rFonts w:eastAsia="BatangChe"/>
          <w:sz w:val="56"/>
          <w:szCs w:val="56"/>
        </w:rPr>
      </w:pPr>
      <w:bookmarkStart w:id="1" w:name="_Toc430336769"/>
      <w:bookmarkStart w:id="2" w:name="_Toc492453608"/>
      <w:r w:rsidRPr="00852327">
        <w:rPr>
          <w:rFonts w:eastAsia="BatangChe"/>
          <w:sz w:val="56"/>
          <w:szCs w:val="56"/>
        </w:rPr>
        <w:t>NHS Pension</w:t>
      </w:r>
      <w:bookmarkEnd w:id="0"/>
      <w:bookmarkEnd w:id="1"/>
      <w:bookmarkEnd w:id="2"/>
      <w:r w:rsidR="000B6B1F" w:rsidRPr="00852327">
        <w:rPr>
          <w:rFonts w:eastAsia="BatangChe"/>
          <w:sz w:val="56"/>
          <w:szCs w:val="56"/>
        </w:rPr>
        <w:t>s</w:t>
      </w:r>
    </w:p>
    <w:p w14:paraId="2F93B644" w14:textId="097261ED" w:rsidR="002015E0" w:rsidRPr="000D2F7F" w:rsidRDefault="0075209B" w:rsidP="001501B0">
      <w:pPr>
        <w:tabs>
          <w:tab w:val="left" w:pos="1134"/>
          <w:tab w:val="left" w:pos="1560"/>
          <w:tab w:val="left" w:pos="2127"/>
        </w:tabs>
        <w:spacing w:after="0"/>
        <w:rPr>
          <w:rFonts w:ascii="Arial" w:eastAsia="BatangChe" w:hAnsi="Arial" w:cs="Arial"/>
          <w:color w:val="404040"/>
          <w:sz w:val="24"/>
          <w:szCs w:val="24"/>
          <w:lang w:val="en-US"/>
        </w:rPr>
      </w:pPr>
      <w:r w:rsidRPr="00B8045A">
        <w:rPr>
          <w:rFonts w:ascii="Arial" w:eastAsia="BatangChe" w:hAnsi="Arial" w:cs="Arial"/>
          <w:b/>
          <w:sz w:val="44"/>
          <w:szCs w:val="44"/>
        </w:rPr>
        <w:t xml:space="preserve">Abatement </w:t>
      </w:r>
      <w:r w:rsidR="001374D1" w:rsidRPr="00B8045A">
        <w:rPr>
          <w:rFonts w:ascii="Arial" w:eastAsia="BatangChe" w:hAnsi="Arial" w:cs="Arial"/>
          <w:b/>
          <w:sz w:val="44"/>
          <w:szCs w:val="44"/>
        </w:rPr>
        <w:t>-</w:t>
      </w:r>
      <w:r w:rsidR="001374D1">
        <w:rPr>
          <w:rFonts w:ascii="Arial" w:eastAsia="BatangChe" w:hAnsi="Arial" w:cs="Arial"/>
          <w:b/>
          <w:sz w:val="36"/>
          <w:szCs w:val="36"/>
        </w:rPr>
        <w:t xml:space="preserve"> </w:t>
      </w:r>
      <w:r w:rsidR="001374D1" w:rsidRPr="00B8045A">
        <w:rPr>
          <w:rFonts w:ascii="Arial" w:eastAsia="BatangChe" w:hAnsi="Arial" w:cs="Arial"/>
          <w:sz w:val="36"/>
          <w:szCs w:val="36"/>
        </w:rPr>
        <w:t>Basic overview</w:t>
      </w:r>
      <w:r w:rsidR="00967D30" w:rsidRPr="00B8045A">
        <w:rPr>
          <w:rFonts w:ascii="Arial" w:eastAsia="BatangChe" w:hAnsi="Arial" w:cs="Arial"/>
          <w:sz w:val="36"/>
          <w:szCs w:val="36"/>
        </w:rPr>
        <w:t xml:space="preserve"> </w:t>
      </w:r>
      <w:r w:rsidR="009976E4" w:rsidRPr="00B8045A">
        <w:rPr>
          <w:rFonts w:ascii="Arial" w:eastAsia="BatangChe" w:hAnsi="Arial" w:cs="Arial"/>
          <w:sz w:val="36"/>
          <w:szCs w:val="36"/>
        </w:rPr>
        <w:t>for employers</w:t>
      </w:r>
    </w:p>
    <w:sdt>
      <w:sdtPr>
        <w:rPr>
          <w:b/>
          <w:bCs/>
          <w:color w:val="0070C0"/>
        </w:rPr>
        <w:id w:val="441502499"/>
        <w:docPartObj>
          <w:docPartGallery w:val="Table of Contents"/>
          <w:docPartUnique/>
        </w:docPartObj>
      </w:sdtPr>
      <w:sdtEndPr>
        <w:rPr>
          <w:b w:val="0"/>
          <w:bCs w:val="0"/>
          <w:noProof/>
          <w:color w:val="auto"/>
        </w:rPr>
      </w:sdtEndPr>
      <w:sdtContent>
        <w:p w14:paraId="2AA3DAB4" w14:textId="2A48EC41" w:rsidR="001A0BC8" w:rsidRPr="00BF2BE5" w:rsidRDefault="001A0BC8" w:rsidP="008F3332">
          <w:pPr>
            <w:tabs>
              <w:tab w:val="left" w:pos="1134"/>
              <w:tab w:val="left" w:pos="1560"/>
              <w:tab w:val="left" w:pos="2127"/>
            </w:tabs>
            <w:spacing w:after="0"/>
            <w:rPr>
              <w:rStyle w:val="Heading1Char"/>
              <w:bCs w:val="0"/>
            </w:rPr>
          </w:pPr>
          <w:r w:rsidRPr="00852327">
            <w:rPr>
              <w:rStyle w:val="Heading1Char"/>
            </w:rPr>
            <w:t>Contents</w:t>
          </w:r>
        </w:p>
        <w:p w14:paraId="6B09E4B5" w14:textId="4749464E" w:rsidR="00F92408" w:rsidRPr="00F92408" w:rsidRDefault="001A0BC8">
          <w:pPr>
            <w:pStyle w:val="TOC1"/>
            <w:rPr>
              <w:rFonts w:ascii="Arial" w:eastAsiaTheme="minorEastAsia" w:hAnsi="Arial" w:cs="Arial"/>
              <w:noProof/>
              <w:lang w:eastAsia="en-GB"/>
            </w:rPr>
          </w:pPr>
          <w:r w:rsidRPr="00F92408">
            <w:rPr>
              <w:rFonts w:ascii="Arial" w:hAnsi="Arial" w:cs="Arial"/>
            </w:rPr>
            <w:fldChar w:fldCharType="begin"/>
          </w:r>
          <w:r w:rsidRPr="00F92408">
            <w:rPr>
              <w:rFonts w:ascii="Arial" w:hAnsi="Arial" w:cs="Arial"/>
            </w:rPr>
            <w:instrText xml:space="preserve"> TOC \o "1-3" \h \z \u </w:instrText>
          </w:r>
          <w:r w:rsidRPr="00F92408">
            <w:rPr>
              <w:rFonts w:ascii="Arial" w:hAnsi="Arial" w:cs="Arial"/>
            </w:rPr>
            <w:fldChar w:fldCharType="separate"/>
          </w:r>
          <w:hyperlink w:anchor="_Toc492453608" w:history="1"/>
        </w:p>
        <w:p w14:paraId="7597F23B" w14:textId="33F05356" w:rsidR="00F92408" w:rsidRPr="00F92408" w:rsidRDefault="00000000">
          <w:pPr>
            <w:pStyle w:val="TOC1"/>
            <w:rPr>
              <w:rFonts w:ascii="Arial" w:eastAsiaTheme="minorEastAsia" w:hAnsi="Arial" w:cs="Arial"/>
              <w:noProof/>
              <w:lang w:eastAsia="en-GB"/>
            </w:rPr>
          </w:pPr>
          <w:hyperlink w:anchor="_Toc492453609" w:history="1">
            <w:r w:rsidR="00F92408" w:rsidRPr="00F92408">
              <w:rPr>
                <w:rStyle w:val="Hyperlink"/>
                <w:rFonts w:ascii="Arial" w:hAnsi="Arial" w:cs="Arial"/>
                <w:noProof/>
                <w:lang w:val="en-US"/>
              </w:rPr>
              <w:t>Background</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_Toc492453609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2</w:t>
            </w:r>
            <w:r w:rsidR="00F92408" w:rsidRPr="00F92408">
              <w:rPr>
                <w:rFonts w:ascii="Arial" w:hAnsi="Arial" w:cs="Arial"/>
                <w:noProof/>
                <w:webHidden/>
              </w:rPr>
              <w:fldChar w:fldCharType="end"/>
            </w:r>
          </w:hyperlink>
        </w:p>
        <w:p w14:paraId="6134B2A6" w14:textId="58FA97E3" w:rsidR="00F92408" w:rsidRPr="00F92408" w:rsidRDefault="00000000">
          <w:pPr>
            <w:pStyle w:val="TOC1"/>
            <w:rPr>
              <w:rFonts w:ascii="Arial" w:eastAsiaTheme="minorEastAsia" w:hAnsi="Arial" w:cs="Arial"/>
              <w:noProof/>
              <w:lang w:eastAsia="en-GB"/>
            </w:rPr>
          </w:pPr>
          <w:hyperlink w:anchor="_Toc492453610" w:history="1">
            <w:r w:rsidR="00F92408" w:rsidRPr="00F92408">
              <w:rPr>
                <w:rStyle w:val="Hyperlink"/>
                <w:rFonts w:ascii="Arial" w:hAnsi="Arial" w:cs="Arial"/>
                <w:noProof/>
              </w:rPr>
              <w:t>1995 Section – pensions subject to the previous abatement formula</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_Toc492453610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4</w:t>
            </w:r>
            <w:r w:rsidR="00F92408" w:rsidRPr="00F92408">
              <w:rPr>
                <w:rFonts w:ascii="Arial" w:hAnsi="Arial" w:cs="Arial"/>
                <w:noProof/>
                <w:webHidden/>
              </w:rPr>
              <w:fldChar w:fldCharType="end"/>
            </w:r>
          </w:hyperlink>
        </w:p>
        <w:p w14:paraId="3DB675D4" w14:textId="763DA34A" w:rsidR="00F92408" w:rsidRPr="00F92408" w:rsidRDefault="00000000">
          <w:pPr>
            <w:pStyle w:val="TOC1"/>
            <w:rPr>
              <w:rFonts w:ascii="Arial" w:eastAsiaTheme="minorEastAsia" w:hAnsi="Arial" w:cs="Arial"/>
              <w:noProof/>
              <w:lang w:eastAsia="en-GB"/>
            </w:rPr>
          </w:pPr>
          <w:hyperlink w:anchor="_Toc492453611" w:history="1">
            <w:r w:rsidR="00F92408" w:rsidRPr="00F92408">
              <w:rPr>
                <w:rStyle w:val="Hyperlink"/>
                <w:rFonts w:ascii="Arial" w:hAnsi="Arial" w:cs="Arial"/>
                <w:noProof/>
              </w:rPr>
              <w:t>How is abatement calculated under the new formula?</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_Toc492453611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5</w:t>
            </w:r>
            <w:r w:rsidR="00F92408" w:rsidRPr="00F92408">
              <w:rPr>
                <w:rFonts w:ascii="Arial" w:hAnsi="Arial" w:cs="Arial"/>
                <w:noProof/>
                <w:webHidden/>
              </w:rPr>
              <w:fldChar w:fldCharType="end"/>
            </w:r>
          </w:hyperlink>
        </w:p>
        <w:p w14:paraId="1BD31298" w14:textId="7C130702" w:rsidR="00F92408" w:rsidRPr="00F92408" w:rsidRDefault="00000000">
          <w:pPr>
            <w:pStyle w:val="TOC2"/>
            <w:tabs>
              <w:tab w:val="right" w:leader="dot" w:pos="9742"/>
            </w:tabs>
            <w:rPr>
              <w:rFonts w:ascii="Arial" w:eastAsiaTheme="minorEastAsia" w:hAnsi="Arial" w:cs="Arial"/>
              <w:noProof/>
              <w:lang w:eastAsia="en-GB"/>
            </w:rPr>
          </w:pPr>
          <w:hyperlink w:anchor="_Toc492453612" w:history="1">
            <w:r w:rsidR="00F92408" w:rsidRPr="00F92408">
              <w:rPr>
                <w:rStyle w:val="Hyperlink"/>
                <w:rFonts w:ascii="Arial" w:hAnsi="Arial" w:cs="Arial"/>
                <w:noProof/>
              </w:rPr>
              <w:t>Calculation for members in the 1995 Section:</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_Toc492453612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5</w:t>
            </w:r>
            <w:r w:rsidR="00F92408" w:rsidRPr="00F92408">
              <w:rPr>
                <w:rFonts w:ascii="Arial" w:hAnsi="Arial" w:cs="Arial"/>
                <w:noProof/>
                <w:webHidden/>
              </w:rPr>
              <w:fldChar w:fldCharType="end"/>
            </w:r>
          </w:hyperlink>
        </w:p>
        <w:p w14:paraId="0B7D1D20" w14:textId="16C7CA0A" w:rsidR="00F92408" w:rsidRPr="00F92408" w:rsidRDefault="00000000">
          <w:pPr>
            <w:pStyle w:val="TOC2"/>
            <w:tabs>
              <w:tab w:val="right" w:leader="dot" w:pos="9742"/>
            </w:tabs>
            <w:rPr>
              <w:rFonts w:ascii="Arial" w:eastAsiaTheme="minorEastAsia" w:hAnsi="Arial" w:cs="Arial"/>
              <w:noProof/>
              <w:lang w:eastAsia="en-GB"/>
            </w:rPr>
          </w:pPr>
          <w:hyperlink w:anchor="_Toc492453613" w:history="1">
            <w:r w:rsidR="00F92408" w:rsidRPr="00F92408">
              <w:rPr>
                <w:rStyle w:val="Hyperlink"/>
                <w:rFonts w:ascii="Arial" w:hAnsi="Arial" w:cs="Arial"/>
                <w:noProof/>
              </w:rPr>
              <w:t>Calculation for members in the 2008 Section:</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_Toc492453613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6</w:t>
            </w:r>
            <w:r w:rsidR="00F92408" w:rsidRPr="00F92408">
              <w:rPr>
                <w:rFonts w:ascii="Arial" w:hAnsi="Arial" w:cs="Arial"/>
                <w:noProof/>
                <w:webHidden/>
              </w:rPr>
              <w:fldChar w:fldCharType="end"/>
            </w:r>
          </w:hyperlink>
        </w:p>
        <w:p w14:paraId="59D3082D" w14:textId="2360D522" w:rsidR="00F92408" w:rsidRPr="00F92408" w:rsidRDefault="00000000">
          <w:pPr>
            <w:pStyle w:val="TOC2"/>
            <w:tabs>
              <w:tab w:val="right" w:leader="dot" w:pos="9742"/>
            </w:tabs>
            <w:rPr>
              <w:rFonts w:ascii="Arial" w:eastAsiaTheme="minorEastAsia" w:hAnsi="Arial" w:cs="Arial"/>
              <w:noProof/>
              <w:lang w:eastAsia="en-GB"/>
            </w:rPr>
          </w:pPr>
          <w:hyperlink w:anchor="_Toc492453614" w:history="1">
            <w:r w:rsidR="00F92408" w:rsidRPr="00F92408">
              <w:rPr>
                <w:rStyle w:val="Hyperlink"/>
                <w:rFonts w:ascii="Arial" w:hAnsi="Arial" w:cs="Arial"/>
                <w:noProof/>
              </w:rPr>
              <w:t>Calculation for members of the 2015 Scheme:</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_Toc492453614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6</w:t>
            </w:r>
            <w:r w:rsidR="00F92408" w:rsidRPr="00F92408">
              <w:rPr>
                <w:rFonts w:ascii="Arial" w:hAnsi="Arial" w:cs="Arial"/>
                <w:noProof/>
                <w:webHidden/>
              </w:rPr>
              <w:fldChar w:fldCharType="end"/>
            </w:r>
          </w:hyperlink>
        </w:p>
        <w:p w14:paraId="0FED7EFE" w14:textId="4608EBDD" w:rsidR="00F92408" w:rsidRPr="00F92408" w:rsidRDefault="00000000">
          <w:pPr>
            <w:pStyle w:val="TOC2"/>
            <w:tabs>
              <w:tab w:val="right" w:leader="dot" w:pos="9742"/>
            </w:tabs>
            <w:rPr>
              <w:rFonts w:ascii="Arial" w:eastAsiaTheme="minorEastAsia" w:hAnsi="Arial" w:cs="Arial"/>
              <w:noProof/>
              <w:lang w:eastAsia="en-GB"/>
            </w:rPr>
          </w:pPr>
          <w:hyperlink w:anchor="_Toc492453615" w:history="1">
            <w:r w:rsidR="00F92408" w:rsidRPr="00F92408">
              <w:rPr>
                <w:rStyle w:val="Hyperlink"/>
                <w:rFonts w:ascii="Arial" w:hAnsi="Arial" w:cs="Arial"/>
                <w:noProof/>
              </w:rPr>
              <w:t>Choice Optants</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_Toc492453615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7</w:t>
            </w:r>
            <w:r w:rsidR="00F92408" w:rsidRPr="00F92408">
              <w:rPr>
                <w:rFonts w:ascii="Arial" w:hAnsi="Arial" w:cs="Arial"/>
                <w:noProof/>
                <w:webHidden/>
              </w:rPr>
              <w:fldChar w:fldCharType="end"/>
            </w:r>
          </w:hyperlink>
        </w:p>
        <w:p w14:paraId="252D852E" w14:textId="325F7777" w:rsidR="00F92408" w:rsidRPr="00F92408" w:rsidRDefault="00000000">
          <w:pPr>
            <w:pStyle w:val="TOC2"/>
            <w:tabs>
              <w:tab w:val="right" w:leader="dot" w:pos="9742"/>
            </w:tabs>
            <w:rPr>
              <w:rFonts w:ascii="Arial" w:eastAsiaTheme="minorEastAsia" w:hAnsi="Arial" w:cs="Arial"/>
              <w:noProof/>
              <w:lang w:eastAsia="en-GB"/>
            </w:rPr>
          </w:pPr>
          <w:hyperlink w:anchor="_Toc492453616" w:history="1">
            <w:r w:rsidR="00F92408" w:rsidRPr="00F92408">
              <w:rPr>
                <w:rStyle w:val="Hyperlink"/>
                <w:rFonts w:ascii="Arial" w:hAnsi="Arial" w:cs="Arial"/>
                <w:noProof/>
              </w:rPr>
              <w:t>Members who transition to the 2015 Scheme with a final salary link</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_Toc492453616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7</w:t>
            </w:r>
            <w:r w:rsidR="00F92408" w:rsidRPr="00F92408">
              <w:rPr>
                <w:rFonts w:ascii="Arial" w:hAnsi="Arial" w:cs="Arial"/>
                <w:noProof/>
                <w:webHidden/>
              </w:rPr>
              <w:fldChar w:fldCharType="end"/>
            </w:r>
          </w:hyperlink>
        </w:p>
        <w:p w14:paraId="5E5B044F" w14:textId="53496E5C" w:rsidR="00F92408" w:rsidRPr="00F92408" w:rsidRDefault="00000000">
          <w:pPr>
            <w:pStyle w:val="TOC2"/>
            <w:tabs>
              <w:tab w:val="right" w:leader="dot" w:pos="9742"/>
            </w:tabs>
            <w:rPr>
              <w:rFonts w:ascii="Arial" w:eastAsiaTheme="minorEastAsia" w:hAnsi="Arial" w:cs="Arial"/>
              <w:noProof/>
              <w:lang w:eastAsia="en-GB"/>
            </w:rPr>
          </w:pPr>
          <w:hyperlink w:anchor="_Toc492453617" w:history="1">
            <w:r w:rsidR="00F92408" w:rsidRPr="00F92408">
              <w:rPr>
                <w:rStyle w:val="Hyperlink"/>
                <w:rFonts w:ascii="Arial" w:hAnsi="Arial" w:cs="Arial"/>
                <w:noProof/>
              </w:rPr>
              <w:t>Direction employment</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_Toc492453617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7</w:t>
            </w:r>
            <w:r w:rsidR="00F92408" w:rsidRPr="00F92408">
              <w:rPr>
                <w:rFonts w:ascii="Arial" w:hAnsi="Arial" w:cs="Arial"/>
                <w:noProof/>
                <w:webHidden/>
              </w:rPr>
              <w:fldChar w:fldCharType="end"/>
            </w:r>
          </w:hyperlink>
        </w:p>
        <w:p w14:paraId="64C1394B" w14:textId="136C212E" w:rsidR="00F92408" w:rsidRPr="00F92408" w:rsidRDefault="00000000">
          <w:pPr>
            <w:pStyle w:val="TOC1"/>
            <w:rPr>
              <w:rFonts w:ascii="Arial" w:eastAsiaTheme="minorEastAsia" w:hAnsi="Arial" w:cs="Arial"/>
              <w:noProof/>
              <w:lang w:eastAsia="en-GB"/>
            </w:rPr>
          </w:pPr>
          <w:hyperlink w:anchor="_Toc492453618" w:history="1">
            <w:r w:rsidR="00F92408" w:rsidRPr="00F92408">
              <w:rPr>
                <w:rStyle w:val="Hyperlink"/>
                <w:rFonts w:ascii="Arial" w:hAnsi="Arial" w:cs="Arial"/>
                <w:noProof/>
              </w:rPr>
              <w:t>Example: Payable date on or after 01/05/2014</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_Toc492453618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7</w:t>
            </w:r>
            <w:r w:rsidR="00F92408" w:rsidRPr="00F92408">
              <w:rPr>
                <w:rFonts w:ascii="Arial" w:hAnsi="Arial" w:cs="Arial"/>
                <w:noProof/>
                <w:webHidden/>
              </w:rPr>
              <w:fldChar w:fldCharType="end"/>
            </w:r>
          </w:hyperlink>
        </w:p>
        <w:p w14:paraId="63BFCFFB" w14:textId="0F696891" w:rsidR="00F92408" w:rsidRDefault="00000000">
          <w:pPr>
            <w:pStyle w:val="TOC1"/>
            <w:rPr>
              <w:rFonts w:ascii="Arial" w:hAnsi="Arial" w:cs="Arial"/>
              <w:noProof/>
            </w:rPr>
          </w:pPr>
          <w:hyperlink w:anchor="_Toc492453619" w:history="1">
            <w:r w:rsidR="00F92408" w:rsidRPr="00F92408">
              <w:rPr>
                <w:rStyle w:val="Hyperlink"/>
                <w:rFonts w:ascii="Arial" w:hAnsi="Arial" w:cs="Arial"/>
                <w:noProof/>
                <w:lang w:val="en-US"/>
              </w:rPr>
              <w:t>Retire and return, and suspension</w:t>
            </w:r>
            <w:r w:rsidR="00F92408" w:rsidRPr="00F92408">
              <w:rPr>
                <w:rFonts w:ascii="Arial" w:hAnsi="Arial" w:cs="Arial"/>
                <w:noProof/>
                <w:webHidden/>
              </w:rPr>
              <w:tab/>
            </w:r>
            <w:r w:rsidR="00F92408" w:rsidRPr="00F92408">
              <w:rPr>
                <w:rFonts w:ascii="Arial" w:hAnsi="Arial" w:cs="Arial"/>
                <w:noProof/>
                <w:webHidden/>
              </w:rPr>
              <w:fldChar w:fldCharType="begin"/>
            </w:r>
            <w:r w:rsidR="00F92408" w:rsidRPr="00F92408">
              <w:rPr>
                <w:rFonts w:ascii="Arial" w:hAnsi="Arial" w:cs="Arial"/>
                <w:noProof/>
                <w:webHidden/>
              </w:rPr>
              <w:instrText xml:space="preserve"> PAGEREF _Toc492453619 \h </w:instrText>
            </w:r>
            <w:r w:rsidR="00F92408" w:rsidRPr="00F92408">
              <w:rPr>
                <w:rFonts w:ascii="Arial" w:hAnsi="Arial" w:cs="Arial"/>
                <w:noProof/>
                <w:webHidden/>
              </w:rPr>
            </w:r>
            <w:r w:rsidR="00F92408" w:rsidRPr="00F92408">
              <w:rPr>
                <w:rFonts w:ascii="Arial" w:hAnsi="Arial" w:cs="Arial"/>
                <w:noProof/>
                <w:webHidden/>
              </w:rPr>
              <w:fldChar w:fldCharType="separate"/>
            </w:r>
            <w:r w:rsidR="008B1E0A">
              <w:rPr>
                <w:rFonts w:ascii="Arial" w:hAnsi="Arial" w:cs="Arial"/>
                <w:noProof/>
                <w:webHidden/>
              </w:rPr>
              <w:t>9</w:t>
            </w:r>
            <w:r w:rsidR="00F92408" w:rsidRPr="00F92408">
              <w:rPr>
                <w:rFonts w:ascii="Arial" w:hAnsi="Arial" w:cs="Arial"/>
                <w:noProof/>
                <w:webHidden/>
              </w:rPr>
              <w:fldChar w:fldCharType="end"/>
            </w:r>
          </w:hyperlink>
        </w:p>
        <w:p w14:paraId="32780534" w14:textId="2C66B4CF" w:rsidR="00DC5909" w:rsidRPr="008F3332" w:rsidRDefault="00DC5909" w:rsidP="008F3332">
          <w:r w:rsidRPr="008F3332">
            <w:rPr>
              <w:rFonts w:ascii="Arial" w:hAnsi="Arial" w:cs="Arial"/>
            </w:rPr>
            <w:t>Draw down</w:t>
          </w:r>
          <w:r w:rsidR="00E84B9E">
            <w:rPr>
              <w:rFonts w:ascii="Arial" w:hAnsi="Arial" w:cs="Arial"/>
            </w:rPr>
            <w:t xml:space="preserve"> abatement…………………………………...</w:t>
          </w:r>
          <w:r w:rsidR="00E84B9E" w:rsidRPr="008F3332">
            <w:rPr>
              <w:rFonts w:ascii="Arial" w:hAnsi="Arial" w:cs="Arial"/>
            </w:rPr>
            <w:t>………………………………………………….12</w:t>
          </w:r>
        </w:p>
        <w:p w14:paraId="66DB2DED" w14:textId="77777777" w:rsidR="00DC5909" w:rsidRPr="008F3332" w:rsidRDefault="00DC5909" w:rsidP="008F3332"/>
        <w:p w14:paraId="509AB2F0" w14:textId="77777777" w:rsidR="001A0BC8" w:rsidRPr="001A0BC8" w:rsidRDefault="001A0BC8" w:rsidP="001A0BC8">
          <w:pPr>
            <w:sectPr w:rsidR="001A0BC8" w:rsidRPr="001A0BC8" w:rsidSect="0036294C">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709" w:footer="590" w:gutter="0"/>
              <w:cols w:space="708"/>
              <w:titlePg/>
              <w:docGrid w:linePitch="360"/>
            </w:sectPr>
          </w:pPr>
          <w:r w:rsidRPr="00F92408">
            <w:rPr>
              <w:rFonts w:ascii="Arial" w:hAnsi="Arial" w:cs="Arial"/>
              <w:b/>
              <w:bCs/>
              <w:noProof/>
            </w:rPr>
            <w:fldChar w:fldCharType="end"/>
          </w:r>
        </w:p>
      </w:sdtContent>
    </w:sdt>
    <w:p w14:paraId="59CF8A76" w14:textId="6A126EAB" w:rsidR="00BC2ACA" w:rsidRPr="00852327" w:rsidRDefault="00483238" w:rsidP="001501B0">
      <w:pPr>
        <w:pStyle w:val="Heading1"/>
        <w:tabs>
          <w:tab w:val="left" w:pos="1134"/>
          <w:tab w:val="left" w:pos="1560"/>
          <w:tab w:val="left" w:pos="2127"/>
        </w:tabs>
        <w:rPr>
          <w:lang w:val="en-US"/>
        </w:rPr>
      </w:pPr>
      <w:bookmarkStart w:id="3" w:name="_Toc492453609"/>
      <w:r w:rsidRPr="00852327">
        <w:rPr>
          <w:lang w:val="en-US"/>
        </w:rPr>
        <w:lastRenderedPageBreak/>
        <w:t>Background</w:t>
      </w:r>
      <w:bookmarkEnd w:id="3"/>
    </w:p>
    <w:p w14:paraId="602C8E14" w14:textId="7732181F" w:rsidR="009E2CDE" w:rsidRDefault="009E2CDE" w:rsidP="009E2CDE">
      <w:pPr>
        <w:rPr>
          <w:lang w:val="en-US" w:eastAsia="en-GB"/>
        </w:rPr>
      </w:pPr>
    </w:p>
    <w:p w14:paraId="57D45BD1" w14:textId="53D1ACD1" w:rsidR="009E2CDE" w:rsidRPr="00D60BAD" w:rsidRDefault="009E2CDE" w:rsidP="008F3332">
      <w:pPr>
        <w:rPr>
          <w:lang w:val="en-US"/>
        </w:rPr>
      </w:pPr>
    </w:p>
    <w:p w14:paraId="09FFB294" w14:textId="77777777" w:rsidR="001374D1" w:rsidRDefault="001374D1" w:rsidP="001501B0">
      <w:pPr>
        <w:tabs>
          <w:tab w:val="left" w:pos="1134"/>
          <w:tab w:val="left" w:pos="1560"/>
          <w:tab w:val="left" w:pos="2127"/>
        </w:tabs>
        <w:spacing w:after="0"/>
        <w:rPr>
          <w:rFonts w:ascii="Arial" w:hAnsi="Arial" w:cs="Arial"/>
          <w:b/>
          <w:color w:val="000000"/>
        </w:rPr>
      </w:pPr>
    </w:p>
    <w:p w14:paraId="317285D9" w14:textId="77777777" w:rsidR="00BC2ACA" w:rsidRDefault="00BC2ACA" w:rsidP="001501B0">
      <w:pPr>
        <w:tabs>
          <w:tab w:val="left" w:pos="1134"/>
          <w:tab w:val="left" w:pos="1560"/>
          <w:tab w:val="left" w:pos="2127"/>
        </w:tabs>
        <w:spacing w:after="0"/>
        <w:rPr>
          <w:rFonts w:ascii="Arial" w:hAnsi="Arial" w:cs="Arial"/>
          <w:color w:val="000000"/>
        </w:rPr>
      </w:pPr>
      <w:r w:rsidRPr="001374D1">
        <w:rPr>
          <w:rFonts w:ascii="Arial" w:hAnsi="Arial" w:cs="Arial"/>
          <w:color w:val="000000"/>
        </w:rPr>
        <w:t xml:space="preserve">Abatement is the </w:t>
      </w:r>
      <w:r w:rsidR="00BC0ED3" w:rsidRPr="001374D1">
        <w:rPr>
          <w:rFonts w:ascii="Arial" w:hAnsi="Arial" w:cs="Arial"/>
          <w:color w:val="000000"/>
        </w:rPr>
        <w:t>name of the process whereby</w:t>
      </w:r>
      <w:r w:rsidRPr="001374D1">
        <w:rPr>
          <w:rFonts w:ascii="Arial" w:hAnsi="Arial" w:cs="Arial"/>
          <w:color w:val="000000"/>
        </w:rPr>
        <w:t xml:space="preserve"> a member’s</w:t>
      </w:r>
      <w:r w:rsidR="001374D1">
        <w:rPr>
          <w:rFonts w:ascii="Arial" w:hAnsi="Arial" w:cs="Arial"/>
          <w:color w:val="000000"/>
        </w:rPr>
        <w:t xml:space="preserve"> NHS p</w:t>
      </w:r>
      <w:r w:rsidRPr="001374D1">
        <w:rPr>
          <w:rFonts w:ascii="Arial" w:hAnsi="Arial" w:cs="Arial"/>
          <w:color w:val="000000"/>
        </w:rPr>
        <w:t xml:space="preserve">ension is reduced pound for pound if their earnings on re-employment in the NHS, plus the </w:t>
      </w:r>
      <w:r w:rsidR="002B747A" w:rsidRPr="001374D1">
        <w:rPr>
          <w:rFonts w:ascii="Arial" w:hAnsi="Arial" w:cs="Arial"/>
          <w:color w:val="000000"/>
        </w:rPr>
        <w:t xml:space="preserve">unearned </w:t>
      </w:r>
      <w:r w:rsidRPr="001374D1">
        <w:rPr>
          <w:rFonts w:ascii="Arial" w:hAnsi="Arial" w:cs="Arial"/>
          <w:color w:val="000000"/>
        </w:rPr>
        <w:t>element of their NHS pension, e</w:t>
      </w:r>
      <w:r w:rsidR="001374D1">
        <w:rPr>
          <w:rFonts w:ascii="Arial" w:hAnsi="Arial" w:cs="Arial"/>
          <w:color w:val="000000"/>
        </w:rPr>
        <w:t>xceed their pre-retirement NHS p</w:t>
      </w:r>
      <w:r w:rsidRPr="001374D1">
        <w:rPr>
          <w:rFonts w:ascii="Arial" w:hAnsi="Arial" w:cs="Arial"/>
          <w:color w:val="000000"/>
        </w:rPr>
        <w:t xml:space="preserve">ensionable earnings. </w:t>
      </w:r>
    </w:p>
    <w:p w14:paraId="1185A483" w14:textId="77777777" w:rsidR="00E50E8B" w:rsidRPr="001374D1" w:rsidRDefault="00E50E8B" w:rsidP="001501B0">
      <w:pPr>
        <w:tabs>
          <w:tab w:val="left" w:pos="1134"/>
          <w:tab w:val="left" w:pos="1560"/>
          <w:tab w:val="left" w:pos="2127"/>
        </w:tabs>
        <w:spacing w:after="0"/>
        <w:rPr>
          <w:rFonts w:ascii="Arial" w:hAnsi="Arial" w:cs="Arial"/>
          <w:color w:val="000000"/>
        </w:rPr>
      </w:pPr>
    </w:p>
    <w:p w14:paraId="4F04DE6D" w14:textId="77777777" w:rsidR="00BC2ACA" w:rsidRDefault="00BC0ED3" w:rsidP="001501B0">
      <w:pPr>
        <w:pStyle w:val="Default"/>
        <w:tabs>
          <w:tab w:val="left" w:pos="1134"/>
          <w:tab w:val="left" w:pos="1560"/>
          <w:tab w:val="left" w:pos="2127"/>
        </w:tabs>
        <w:spacing w:line="276" w:lineRule="auto"/>
        <w:rPr>
          <w:sz w:val="22"/>
          <w:szCs w:val="22"/>
        </w:rPr>
      </w:pPr>
      <w:r>
        <w:rPr>
          <w:sz w:val="22"/>
          <w:szCs w:val="22"/>
        </w:rPr>
        <w:t>Following a</w:t>
      </w:r>
      <w:r w:rsidR="00BC2ACA" w:rsidRPr="00216C53">
        <w:rPr>
          <w:sz w:val="22"/>
          <w:szCs w:val="22"/>
        </w:rPr>
        <w:t xml:space="preserve"> review of the NHS Pension Scheme</w:t>
      </w:r>
      <w:r>
        <w:rPr>
          <w:sz w:val="22"/>
          <w:szCs w:val="22"/>
        </w:rPr>
        <w:t>,</w:t>
      </w:r>
      <w:r w:rsidR="00BC2ACA" w:rsidRPr="00216C53">
        <w:rPr>
          <w:sz w:val="22"/>
          <w:szCs w:val="22"/>
        </w:rPr>
        <w:t xml:space="preserve"> a new abateme</w:t>
      </w:r>
      <w:r w:rsidR="00BC2ACA">
        <w:rPr>
          <w:sz w:val="22"/>
          <w:szCs w:val="22"/>
        </w:rPr>
        <w:t>nt formula</w:t>
      </w:r>
      <w:r>
        <w:rPr>
          <w:sz w:val="22"/>
          <w:szCs w:val="22"/>
        </w:rPr>
        <w:t xml:space="preserve"> was introduced</w:t>
      </w:r>
      <w:r w:rsidR="00BC2ACA">
        <w:rPr>
          <w:sz w:val="22"/>
          <w:szCs w:val="22"/>
        </w:rPr>
        <w:t xml:space="preserve"> for most retirements</w:t>
      </w:r>
      <w:r w:rsidR="00BC2ACA" w:rsidRPr="00216C53">
        <w:rPr>
          <w:sz w:val="22"/>
          <w:szCs w:val="22"/>
        </w:rPr>
        <w:t xml:space="preserve"> when the pension is payable from 2 April 2008 onwards. </w:t>
      </w:r>
      <w:r w:rsidR="00BC2ACA">
        <w:rPr>
          <w:sz w:val="22"/>
          <w:szCs w:val="22"/>
        </w:rPr>
        <w:t xml:space="preserve">The following guidance is based on the new formula. </w:t>
      </w:r>
    </w:p>
    <w:p w14:paraId="08D5D537" w14:textId="77777777" w:rsidR="00BC2ACA" w:rsidRDefault="00BC2ACA" w:rsidP="001501B0">
      <w:pPr>
        <w:pStyle w:val="Default"/>
        <w:tabs>
          <w:tab w:val="left" w:pos="1134"/>
          <w:tab w:val="left" w:pos="1560"/>
          <w:tab w:val="left" w:pos="2127"/>
        </w:tabs>
        <w:spacing w:line="276" w:lineRule="auto"/>
        <w:rPr>
          <w:sz w:val="22"/>
          <w:szCs w:val="22"/>
        </w:rPr>
      </w:pPr>
    </w:p>
    <w:p w14:paraId="3284F62E" w14:textId="68DC1B84" w:rsidR="00BC2ACA" w:rsidRDefault="00BC2ACA" w:rsidP="001501B0">
      <w:pPr>
        <w:pStyle w:val="Default"/>
        <w:tabs>
          <w:tab w:val="left" w:pos="1134"/>
          <w:tab w:val="left" w:pos="1560"/>
          <w:tab w:val="left" w:pos="2127"/>
        </w:tabs>
        <w:spacing w:line="276" w:lineRule="auto"/>
        <w:rPr>
          <w:sz w:val="22"/>
          <w:szCs w:val="22"/>
        </w:rPr>
      </w:pPr>
      <w:r w:rsidRPr="00754E10">
        <w:rPr>
          <w:sz w:val="22"/>
          <w:szCs w:val="22"/>
        </w:rPr>
        <w:t xml:space="preserve">The new formula applies to all pensioners who are in receipt of a </w:t>
      </w:r>
      <w:r w:rsidRPr="00522D1B">
        <w:rPr>
          <w:i/>
          <w:sz w:val="22"/>
          <w:szCs w:val="22"/>
        </w:rPr>
        <w:t>‘relevant pension’</w:t>
      </w:r>
      <w:r w:rsidRPr="00754E10">
        <w:rPr>
          <w:sz w:val="22"/>
          <w:szCs w:val="22"/>
        </w:rPr>
        <w:t xml:space="preserve"> and who returned to work (or continued working) in the NHS before </w:t>
      </w:r>
      <w:r w:rsidR="00D20A5C">
        <w:rPr>
          <w:sz w:val="22"/>
          <w:szCs w:val="22"/>
        </w:rPr>
        <w:t>their normal pension age</w:t>
      </w:r>
      <w:r w:rsidRPr="00754E10">
        <w:rPr>
          <w:sz w:val="22"/>
          <w:szCs w:val="22"/>
        </w:rPr>
        <w:t xml:space="preserve">. </w:t>
      </w:r>
      <w:r w:rsidR="00483238">
        <w:rPr>
          <w:sz w:val="22"/>
          <w:szCs w:val="22"/>
        </w:rPr>
        <w:t xml:space="preserve">For this </w:t>
      </w:r>
      <w:proofErr w:type="gramStart"/>
      <w:r w:rsidR="00483238">
        <w:rPr>
          <w:sz w:val="22"/>
          <w:szCs w:val="22"/>
        </w:rPr>
        <w:t>purpose</w:t>
      </w:r>
      <w:proofErr w:type="gramEnd"/>
      <w:r>
        <w:rPr>
          <w:sz w:val="22"/>
          <w:szCs w:val="22"/>
        </w:rPr>
        <w:t xml:space="preserve"> a ‘</w:t>
      </w:r>
      <w:r w:rsidR="00246011" w:rsidRPr="00522D1B">
        <w:rPr>
          <w:i/>
          <w:sz w:val="22"/>
          <w:szCs w:val="22"/>
        </w:rPr>
        <w:t>relevant pension</w:t>
      </w:r>
      <w:r w:rsidRPr="00522D1B">
        <w:rPr>
          <w:i/>
          <w:sz w:val="22"/>
          <w:szCs w:val="22"/>
        </w:rPr>
        <w:t>’</w:t>
      </w:r>
      <w:r>
        <w:rPr>
          <w:sz w:val="22"/>
          <w:szCs w:val="22"/>
        </w:rPr>
        <w:t xml:space="preserve"> </w:t>
      </w:r>
      <w:r w:rsidR="00483238">
        <w:rPr>
          <w:sz w:val="22"/>
          <w:szCs w:val="22"/>
        </w:rPr>
        <w:t>is as follows</w:t>
      </w:r>
      <w:r>
        <w:rPr>
          <w:sz w:val="22"/>
          <w:szCs w:val="22"/>
        </w:rPr>
        <w:t>:</w:t>
      </w:r>
    </w:p>
    <w:p w14:paraId="31E51908" w14:textId="77777777" w:rsidR="00E50E8B" w:rsidRDefault="00E50E8B" w:rsidP="001501B0">
      <w:pPr>
        <w:pStyle w:val="Default"/>
        <w:tabs>
          <w:tab w:val="left" w:pos="1134"/>
          <w:tab w:val="left" w:pos="1560"/>
          <w:tab w:val="left" w:pos="2127"/>
        </w:tabs>
        <w:spacing w:line="276" w:lineRule="auto"/>
        <w:rPr>
          <w:sz w:val="22"/>
          <w:szCs w:val="22"/>
        </w:rPr>
      </w:pPr>
    </w:p>
    <w:p w14:paraId="3CFE04F9" w14:textId="77777777" w:rsidR="00224AA2" w:rsidRDefault="00224AA2" w:rsidP="001501B0">
      <w:pPr>
        <w:pStyle w:val="Default"/>
        <w:tabs>
          <w:tab w:val="left" w:pos="1134"/>
          <w:tab w:val="left" w:pos="1560"/>
          <w:tab w:val="left" w:pos="2127"/>
        </w:tabs>
        <w:spacing w:line="276"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8636"/>
      </w:tblGrid>
      <w:tr w:rsidR="00224AA2" w14:paraId="276BDCED" w14:textId="77777777" w:rsidTr="00E50E8B">
        <w:tc>
          <w:tcPr>
            <w:tcW w:w="1116" w:type="dxa"/>
          </w:tcPr>
          <w:p w14:paraId="78119FB7" w14:textId="77777777" w:rsidR="00224AA2" w:rsidRDefault="00E50E8B" w:rsidP="001501B0">
            <w:pPr>
              <w:pStyle w:val="Default"/>
              <w:tabs>
                <w:tab w:val="left" w:pos="1134"/>
                <w:tab w:val="left" w:pos="1560"/>
                <w:tab w:val="left" w:pos="2127"/>
              </w:tabs>
              <w:spacing w:line="276" w:lineRule="auto"/>
              <w:rPr>
                <w:sz w:val="22"/>
                <w:szCs w:val="22"/>
              </w:rPr>
            </w:pPr>
            <w:r>
              <w:rPr>
                <w:noProof/>
                <w:sz w:val="22"/>
                <w:szCs w:val="22"/>
              </w:rPr>
              <w:drawing>
                <wp:anchor distT="0" distB="0" distL="114300" distR="114300" simplePos="0" relativeHeight="251658240" behindDoc="1" locked="0" layoutInCell="1" allowOverlap="1" wp14:anchorId="2883F271" wp14:editId="68F89E95">
                  <wp:simplePos x="0" y="0"/>
                  <wp:positionH relativeFrom="column">
                    <wp:posOffset>-10795</wp:posOffset>
                  </wp:positionH>
                  <wp:positionV relativeFrom="paragraph">
                    <wp:posOffset>12700</wp:posOffset>
                  </wp:positionV>
                  <wp:extent cx="563245" cy="1223010"/>
                  <wp:effectExtent l="0" t="0" r="8255" b="0"/>
                  <wp:wrapTight wrapText="bothSides">
                    <wp:wrapPolygon edited="0">
                      <wp:start x="5114" y="0"/>
                      <wp:lineTo x="2922" y="1682"/>
                      <wp:lineTo x="0" y="7402"/>
                      <wp:lineTo x="0" y="11776"/>
                      <wp:lineTo x="2922" y="16150"/>
                      <wp:lineTo x="4383" y="21196"/>
                      <wp:lineTo x="16072" y="21196"/>
                      <wp:lineTo x="17533" y="16150"/>
                      <wp:lineTo x="21186" y="11103"/>
                      <wp:lineTo x="21186" y="9084"/>
                      <wp:lineTo x="20455" y="6729"/>
                      <wp:lineTo x="17533" y="1346"/>
                      <wp:lineTo x="15342" y="0"/>
                      <wp:lineTo x="511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45" cy="1223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52" w:type="dxa"/>
          </w:tcPr>
          <w:p w14:paraId="572938D3" w14:textId="77777777" w:rsidR="00E50E8B" w:rsidRPr="001374D1" w:rsidRDefault="00E50E8B" w:rsidP="001501B0">
            <w:pPr>
              <w:pStyle w:val="Default"/>
              <w:tabs>
                <w:tab w:val="left" w:pos="1134"/>
                <w:tab w:val="left" w:pos="1560"/>
                <w:tab w:val="left" w:pos="2127"/>
              </w:tabs>
              <w:spacing w:line="276" w:lineRule="auto"/>
              <w:rPr>
                <w:b/>
                <w:color w:val="auto"/>
                <w:sz w:val="22"/>
                <w:szCs w:val="22"/>
              </w:rPr>
            </w:pPr>
            <w:r w:rsidRPr="001374D1">
              <w:rPr>
                <w:b/>
                <w:color w:val="auto"/>
                <w:sz w:val="22"/>
                <w:szCs w:val="22"/>
              </w:rPr>
              <w:t>1995</w:t>
            </w:r>
            <w:r>
              <w:rPr>
                <w:b/>
                <w:color w:val="auto"/>
                <w:sz w:val="22"/>
                <w:szCs w:val="22"/>
              </w:rPr>
              <w:t xml:space="preserve"> S</w:t>
            </w:r>
            <w:r w:rsidRPr="001374D1">
              <w:rPr>
                <w:b/>
                <w:color w:val="auto"/>
                <w:sz w:val="22"/>
                <w:szCs w:val="22"/>
              </w:rPr>
              <w:t>ection members:</w:t>
            </w:r>
          </w:p>
          <w:p w14:paraId="6375CE8B" w14:textId="77777777" w:rsidR="00E50E8B" w:rsidRPr="00522D1B" w:rsidRDefault="00E50E8B" w:rsidP="001501B0">
            <w:pPr>
              <w:tabs>
                <w:tab w:val="left" w:pos="1134"/>
                <w:tab w:val="left" w:pos="1560"/>
                <w:tab w:val="left" w:pos="2127"/>
              </w:tabs>
              <w:autoSpaceDE w:val="0"/>
              <w:autoSpaceDN w:val="0"/>
              <w:adjustRightInd w:val="0"/>
              <w:spacing w:after="0"/>
              <w:rPr>
                <w:rFonts w:ascii="Symbol" w:hAnsi="Symbol" w:cs="Symbol"/>
                <w:color w:val="000000"/>
                <w:sz w:val="24"/>
                <w:szCs w:val="24"/>
              </w:rPr>
            </w:pPr>
          </w:p>
          <w:p w14:paraId="398186CF" w14:textId="77777777" w:rsidR="00E50E8B" w:rsidRPr="00522D1B" w:rsidRDefault="00E50E8B" w:rsidP="001501B0">
            <w:pPr>
              <w:pStyle w:val="ListParagraph"/>
              <w:numPr>
                <w:ilvl w:val="0"/>
                <w:numId w:val="3"/>
              </w:num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Special class and Mental Health Officer (MHO) non-age retirements</w:t>
            </w:r>
          </w:p>
          <w:p w14:paraId="391D84A6" w14:textId="77777777" w:rsidR="00E50E8B" w:rsidRPr="00522D1B" w:rsidRDefault="00E50E8B" w:rsidP="001501B0">
            <w:pPr>
              <w:pStyle w:val="ListParagraph"/>
              <w:numPr>
                <w:ilvl w:val="0"/>
                <w:numId w:val="3"/>
              </w:numPr>
              <w:tabs>
                <w:tab w:val="left" w:pos="1134"/>
                <w:tab w:val="left" w:pos="1560"/>
                <w:tab w:val="left" w:pos="2127"/>
              </w:tabs>
              <w:autoSpaceDE w:val="0"/>
              <w:autoSpaceDN w:val="0"/>
              <w:adjustRightInd w:val="0"/>
              <w:spacing w:after="0"/>
              <w:rPr>
                <w:rFonts w:ascii="Arial" w:hAnsi="Arial" w:cs="Arial"/>
                <w:color w:val="000000"/>
              </w:rPr>
            </w:pPr>
            <w:r w:rsidRPr="00522D1B">
              <w:rPr>
                <w:rFonts w:ascii="Arial" w:hAnsi="Arial" w:cs="Arial"/>
                <w:color w:val="000000"/>
              </w:rPr>
              <w:t xml:space="preserve">Ill health </w:t>
            </w:r>
            <w:r>
              <w:rPr>
                <w:rFonts w:ascii="Arial" w:hAnsi="Arial" w:cs="Arial"/>
                <w:color w:val="000000"/>
              </w:rPr>
              <w:t>retirement (Tier 1 and 2)</w:t>
            </w:r>
          </w:p>
          <w:p w14:paraId="3C7698CA" w14:textId="77777777" w:rsidR="00E50E8B" w:rsidRPr="009E1A6C" w:rsidRDefault="00E50E8B" w:rsidP="001501B0">
            <w:pPr>
              <w:pStyle w:val="ListParagraph"/>
              <w:numPr>
                <w:ilvl w:val="0"/>
                <w:numId w:val="3"/>
              </w:numPr>
              <w:tabs>
                <w:tab w:val="left" w:pos="1134"/>
                <w:tab w:val="left" w:pos="1560"/>
                <w:tab w:val="left" w:pos="2127"/>
              </w:tabs>
              <w:autoSpaceDE w:val="0"/>
              <w:autoSpaceDN w:val="0"/>
              <w:adjustRightInd w:val="0"/>
              <w:spacing w:after="0"/>
              <w:rPr>
                <w:rFonts w:ascii="Arial" w:hAnsi="Arial" w:cs="Arial"/>
                <w:color w:val="000000"/>
              </w:rPr>
            </w:pPr>
            <w:r w:rsidRPr="00522D1B">
              <w:rPr>
                <w:rFonts w:ascii="Arial" w:hAnsi="Arial" w:cs="Arial"/>
                <w:color w:val="000000"/>
              </w:rPr>
              <w:t xml:space="preserve">Early payment of deferred benefits due to ill health - where the employment </w:t>
            </w:r>
            <w:r>
              <w:rPr>
                <w:rFonts w:ascii="Arial" w:hAnsi="Arial" w:cs="Arial"/>
                <w:color w:val="000000"/>
              </w:rPr>
              <w:t>ended on or after 1 April 2008</w:t>
            </w:r>
          </w:p>
          <w:p w14:paraId="2CD057F9" w14:textId="77777777" w:rsidR="00E50E8B" w:rsidRPr="00522D1B" w:rsidRDefault="00E50E8B" w:rsidP="001501B0">
            <w:pPr>
              <w:pStyle w:val="ListParagraph"/>
              <w:numPr>
                <w:ilvl w:val="0"/>
                <w:numId w:val="3"/>
              </w:numPr>
              <w:tabs>
                <w:tab w:val="left" w:pos="1134"/>
                <w:tab w:val="left" w:pos="1560"/>
                <w:tab w:val="left" w:pos="2127"/>
              </w:tabs>
              <w:autoSpaceDE w:val="0"/>
              <w:autoSpaceDN w:val="0"/>
              <w:adjustRightInd w:val="0"/>
              <w:spacing w:after="0"/>
              <w:rPr>
                <w:rFonts w:ascii="Arial" w:hAnsi="Arial" w:cs="Arial"/>
                <w:color w:val="000000"/>
              </w:rPr>
            </w:pPr>
            <w:r w:rsidRPr="00522D1B">
              <w:rPr>
                <w:rFonts w:ascii="Arial" w:hAnsi="Arial" w:cs="Arial"/>
                <w:color w:val="000000"/>
              </w:rPr>
              <w:t xml:space="preserve">Redundancy – with a payable date up to 30/09/2011 only where enhanced benefits are paid under transitional protection arrangements </w:t>
            </w:r>
          </w:p>
          <w:p w14:paraId="4FCBB616" w14:textId="749D856F" w:rsidR="00E50E8B" w:rsidRDefault="00E50E8B" w:rsidP="001501B0">
            <w:pPr>
              <w:pStyle w:val="ListParagraph"/>
              <w:numPr>
                <w:ilvl w:val="0"/>
                <w:numId w:val="3"/>
              </w:num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Early retirement in the i</w:t>
            </w:r>
            <w:r w:rsidRPr="00522D1B">
              <w:rPr>
                <w:rFonts w:ascii="Arial" w:hAnsi="Arial" w:cs="Arial"/>
                <w:color w:val="000000"/>
              </w:rPr>
              <w:t>nterests of the efficiency of the service. This is because there is no severance pay so the employer funds</w:t>
            </w:r>
            <w:r>
              <w:rPr>
                <w:rFonts w:ascii="Arial" w:hAnsi="Arial" w:cs="Arial"/>
                <w:color w:val="000000"/>
              </w:rPr>
              <w:t xml:space="preserve"> the early payment of benefits.</w:t>
            </w:r>
          </w:p>
          <w:p w14:paraId="5A14E537" w14:textId="5F187523" w:rsidR="00C244A0" w:rsidRDefault="000619A9" w:rsidP="001501B0">
            <w:pPr>
              <w:pStyle w:val="ListParagraph"/>
              <w:numPr>
                <w:ilvl w:val="0"/>
                <w:numId w:val="3"/>
              </w:num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 xml:space="preserve">Partial retirement </w:t>
            </w:r>
            <w:r w:rsidR="00AC22EF">
              <w:rPr>
                <w:rFonts w:ascii="Arial" w:hAnsi="Arial" w:cs="Arial"/>
                <w:color w:val="000000"/>
              </w:rPr>
              <w:t>(</w:t>
            </w:r>
            <w:r>
              <w:rPr>
                <w:rFonts w:ascii="Arial" w:hAnsi="Arial" w:cs="Arial"/>
                <w:color w:val="000000"/>
              </w:rPr>
              <w:t>Draw Down</w:t>
            </w:r>
            <w:r w:rsidR="00AC22EF">
              <w:rPr>
                <w:rFonts w:ascii="Arial" w:hAnsi="Arial" w:cs="Arial"/>
                <w:color w:val="000000"/>
              </w:rPr>
              <w:t>)</w:t>
            </w:r>
            <w:r>
              <w:rPr>
                <w:rFonts w:ascii="Arial" w:hAnsi="Arial" w:cs="Arial"/>
                <w:color w:val="000000"/>
              </w:rPr>
              <w:t xml:space="preserve"> – if the pensionable pay increases </w:t>
            </w:r>
            <w:r w:rsidR="009C578F">
              <w:rPr>
                <w:rFonts w:ascii="Arial" w:hAnsi="Arial" w:cs="Arial"/>
                <w:color w:val="000000"/>
              </w:rPr>
              <w:t>to more than 90% of the original reduction</w:t>
            </w:r>
            <w:r w:rsidR="00431FC9">
              <w:rPr>
                <w:rFonts w:ascii="Arial" w:hAnsi="Arial" w:cs="Arial"/>
                <w:color w:val="000000"/>
              </w:rPr>
              <w:t xml:space="preserve"> within the first 12 months</w:t>
            </w:r>
            <w:r w:rsidR="009C578F">
              <w:rPr>
                <w:rFonts w:ascii="Arial" w:hAnsi="Arial" w:cs="Arial"/>
                <w:color w:val="000000"/>
              </w:rPr>
              <w:t>.</w:t>
            </w:r>
          </w:p>
          <w:p w14:paraId="55154089" w14:textId="77777777" w:rsidR="00E50E8B" w:rsidRDefault="00E50E8B" w:rsidP="001501B0">
            <w:pPr>
              <w:pStyle w:val="Default"/>
              <w:tabs>
                <w:tab w:val="left" w:pos="1134"/>
                <w:tab w:val="left" w:pos="1560"/>
                <w:tab w:val="left" w:pos="2127"/>
              </w:tabs>
              <w:spacing w:line="276" w:lineRule="auto"/>
              <w:ind w:left="360"/>
              <w:rPr>
                <w:sz w:val="22"/>
                <w:szCs w:val="22"/>
              </w:rPr>
            </w:pPr>
          </w:p>
          <w:p w14:paraId="2B5999BE" w14:textId="77777777" w:rsidR="00224AA2" w:rsidRPr="00E50E8B" w:rsidRDefault="00E50E8B" w:rsidP="001501B0">
            <w:pPr>
              <w:pStyle w:val="Default"/>
              <w:tabs>
                <w:tab w:val="left" w:pos="1134"/>
                <w:tab w:val="left" w:pos="1560"/>
                <w:tab w:val="left" w:pos="2127"/>
              </w:tabs>
              <w:spacing w:line="276" w:lineRule="auto"/>
              <w:rPr>
                <w:color w:val="FF0000"/>
                <w:sz w:val="22"/>
                <w:szCs w:val="22"/>
              </w:rPr>
            </w:pPr>
            <w:r w:rsidRPr="00584251">
              <w:rPr>
                <w:sz w:val="22"/>
                <w:szCs w:val="22"/>
              </w:rPr>
              <w:t xml:space="preserve">Where abatement applies in the </w:t>
            </w:r>
            <w:r>
              <w:rPr>
                <w:sz w:val="22"/>
                <w:szCs w:val="22"/>
              </w:rPr>
              <w:t>1995 Section,</w:t>
            </w:r>
            <w:r w:rsidRPr="00584251">
              <w:rPr>
                <w:sz w:val="22"/>
                <w:szCs w:val="22"/>
              </w:rPr>
              <w:t xml:space="preserve"> it will continue un</w:t>
            </w:r>
            <w:r>
              <w:rPr>
                <w:sz w:val="22"/>
                <w:szCs w:val="22"/>
              </w:rPr>
              <w:t>til the pensioner reaches age 60</w:t>
            </w:r>
            <w:r w:rsidRPr="00584251">
              <w:rPr>
                <w:sz w:val="22"/>
                <w:szCs w:val="22"/>
              </w:rPr>
              <w:t>.</w:t>
            </w:r>
          </w:p>
        </w:tc>
      </w:tr>
    </w:tbl>
    <w:p w14:paraId="70072DD6" w14:textId="77777777" w:rsidR="00E50E8B" w:rsidRDefault="00E50E8B" w:rsidP="001501B0">
      <w:pPr>
        <w:pStyle w:val="Default"/>
        <w:tabs>
          <w:tab w:val="left" w:pos="1134"/>
          <w:tab w:val="left" w:pos="1560"/>
          <w:tab w:val="left" w:pos="2127"/>
        </w:tabs>
        <w:spacing w:line="276" w:lineRule="auto"/>
        <w:rPr>
          <w:sz w:val="22"/>
          <w:szCs w:val="22"/>
        </w:rPr>
      </w:pPr>
    </w:p>
    <w:p w14:paraId="5E765E5B" w14:textId="77777777" w:rsidR="00224AA2" w:rsidRDefault="00E50E8B" w:rsidP="001501B0">
      <w:pPr>
        <w:pStyle w:val="Default"/>
        <w:tabs>
          <w:tab w:val="left" w:pos="1134"/>
          <w:tab w:val="left" w:pos="1560"/>
          <w:tab w:val="left" w:pos="2127"/>
        </w:tabs>
        <w:spacing w:line="276" w:lineRule="auto"/>
        <w:rPr>
          <w:sz w:val="22"/>
          <w:szCs w:val="22"/>
        </w:rPr>
      </w:pPr>
      <w:r>
        <w:rPr>
          <w:noProof/>
          <w:sz w:val="22"/>
          <w:szCs w:val="22"/>
        </w:rPr>
        <mc:AlternateContent>
          <mc:Choice Requires="wps">
            <w:drawing>
              <wp:anchor distT="0" distB="0" distL="114300" distR="114300" simplePos="0" relativeHeight="251658241" behindDoc="0" locked="0" layoutInCell="1" allowOverlap="1" wp14:anchorId="24E8A98D" wp14:editId="0CBD3D86">
                <wp:simplePos x="0" y="0"/>
                <wp:positionH relativeFrom="column">
                  <wp:posOffset>-66378</wp:posOffset>
                </wp:positionH>
                <wp:positionV relativeFrom="paragraph">
                  <wp:posOffset>170131</wp:posOffset>
                </wp:positionV>
                <wp:extent cx="6329548" cy="0"/>
                <wp:effectExtent l="0" t="19050" r="14605" b="19050"/>
                <wp:wrapNone/>
                <wp:docPr id="12" name="Straight Connector 12"/>
                <wp:cNvGraphicFramePr/>
                <a:graphic xmlns:a="http://schemas.openxmlformats.org/drawingml/2006/main">
                  <a:graphicData uri="http://schemas.microsoft.com/office/word/2010/wordprocessingShape">
                    <wps:wsp>
                      <wps:cNvCnPr/>
                      <wps:spPr>
                        <a:xfrm>
                          <a:off x="0" y="0"/>
                          <a:ext cx="6329548" cy="0"/>
                        </a:xfrm>
                        <a:prstGeom prst="line">
                          <a:avLst/>
                        </a:prstGeom>
                        <a:ln w="3810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59261"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5pt,13.4pt" to="493.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" strokecolor="#7f7f7f [1612]" strokeweight="3pt">
                <v:stroke dashstyle="1 1"/>
              </v:line>
            </w:pict>
          </mc:Fallback>
        </mc:AlternateContent>
      </w:r>
    </w:p>
    <w:p w14:paraId="7E0EAD62" w14:textId="77777777" w:rsidR="00E50E8B" w:rsidRDefault="00E50E8B" w:rsidP="001501B0">
      <w:pPr>
        <w:pStyle w:val="Default"/>
        <w:tabs>
          <w:tab w:val="left" w:pos="1134"/>
          <w:tab w:val="left" w:pos="1560"/>
          <w:tab w:val="left" w:pos="2127"/>
        </w:tabs>
        <w:spacing w:line="276" w:lineRule="auto"/>
        <w:rPr>
          <w:sz w:val="22"/>
          <w:szCs w:val="22"/>
        </w:rPr>
      </w:pPr>
    </w:p>
    <w:p w14:paraId="141E9120" w14:textId="77777777" w:rsidR="00E50E8B" w:rsidRDefault="00E50E8B" w:rsidP="001501B0">
      <w:pPr>
        <w:pStyle w:val="Default"/>
        <w:tabs>
          <w:tab w:val="left" w:pos="1134"/>
          <w:tab w:val="left" w:pos="1560"/>
          <w:tab w:val="left" w:pos="2127"/>
        </w:tabs>
        <w:spacing w:line="276"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637"/>
      </w:tblGrid>
      <w:tr w:rsidR="00E50E8B" w14:paraId="323EDE3C" w14:textId="77777777" w:rsidTr="00C3234B">
        <w:tc>
          <w:tcPr>
            <w:tcW w:w="1116" w:type="dxa"/>
          </w:tcPr>
          <w:p w14:paraId="73B22A4D" w14:textId="77777777" w:rsidR="00E50E8B" w:rsidRDefault="00E50E8B" w:rsidP="001501B0">
            <w:pPr>
              <w:pStyle w:val="Default"/>
              <w:tabs>
                <w:tab w:val="left" w:pos="1134"/>
                <w:tab w:val="left" w:pos="1560"/>
                <w:tab w:val="left" w:pos="2127"/>
              </w:tabs>
              <w:spacing w:line="276" w:lineRule="auto"/>
              <w:rPr>
                <w:sz w:val="22"/>
                <w:szCs w:val="22"/>
              </w:rPr>
            </w:pPr>
            <w:r>
              <w:rPr>
                <w:noProof/>
                <w:sz w:val="22"/>
                <w:szCs w:val="22"/>
              </w:rPr>
              <w:drawing>
                <wp:inline distT="0" distB="0" distL="0" distR="0" wp14:anchorId="52EDF31A" wp14:editId="0D9419D8">
                  <wp:extent cx="552450" cy="12350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235075"/>
                          </a:xfrm>
                          <a:prstGeom prst="rect">
                            <a:avLst/>
                          </a:prstGeom>
                          <a:noFill/>
                          <a:ln>
                            <a:noFill/>
                          </a:ln>
                        </pic:spPr>
                      </pic:pic>
                    </a:graphicData>
                  </a:graphic>
                </wp:inline>
              </w:drawing>
            </w:r>
          </w:p>
        </w:tc>
        <w:tc>
          <w:tcPr>
            <w:tcW w:w="8852" w:type="dxa"/>
          </w:tcPr>
          <w:p w14:paraId="150DB639" w14:textId="77777777" w:rsidR="00E50E8B" w:rsidRPr="001374D1" w:rsidRDefault="00E50E8B" w:rsidP="001501B0">
            <w:pPr>
              <w:tabs>
                <w:tab w:val="left" w:pos="1134"/>
                <w:tab w:val="left" w:pos="1560"/>
                <w:tab w:val="left" w:pos="2127"/>
              </w:tabs>
              <w:autoSpaceDE w:val="0"/>
              <w:autoSpaceDN w:val="0"/>
              <w:adjustRightInd w:val="0"/>
              <w:spacing w:after="0"/>
              <w:rPr>
                <w:rFonts w:ascii="Arial" w:hAnsi="Arial" w:cs="Arial"/>
                <w:b/>
              </w:rPr>
            </w:pPr>
            <w:r w:rsidRPr="001374D1">
              <w:rPr>
                <w:rFonts w:ascii="Arial" w:hAnsi="Arial" w:cs="Arial"/>
                <w:b/>
              </w:rPr>
              <w:t>2008 Section members:</w:t>
            </w:r>
          </w:p>
          <w:p w14:paraId="4A147210" w14:textId="77777777" w:rsidR="00E50E8B" w:rsidRPr="00584251" w:rsidRDefault="00E50E8B" w:rsidP="001501B0">
            <w:pPr>
              <w:tabs>
                <w:tab w:val="left" w:pos="1134"/>
                <w:tab w:val="left" w:pos="1560"/>
                <w:tab w:val="left" w:pos="2127"/>
              </w:tabs>
              <w:autoSpaceDE w:val="0"/>
              <w:autoSpaceDN w:val="0"/>
              <w:adjustRightInd w:val="0"/>
              <w:spacing w:after="0"/>
              <w:rPr>
                <w:rFonts w:ascii="Symbol" w:hAnsi="Symbol" w:cs="Symbol"/>
                <w:color w:val="000000"/>
                <w:sz w:val="24"/>
                <w:szCs w:val="24"/>
              </w:rPr>
            </w:pPr>
          </w:p>
          <w:p w14:paraId="0D68A2FC" w14:textId="77777777" w:rsidR="00E50E8B" w:rsidRPr="00584251" w:rsidRDefault="00E50E8B" w:rsidP="002D2161">
            <w:pPr>
              <w:pStyle w:val="ListParagraph"/>
              <w:numPr>
                <w:ilvl w:val="0"/>
                <w:numId w:val="4"/>
              </w:num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Ill health Tier 1 or Tier 2</w:t>
            </w:r>
          </w:p>
          <w:p w14:paraId="024168DB" w14:textId="77777777" w:rsidR="00E50E8B" w:rsidRPr="00587DFF" w:rsidRDefault="00E50E8B" w:rsidP="002D2161">
            <w:pPr>
              <w:pStyle w:val="ListParagraph"/>
              <w:numPr>
                <w:ilvl w:val="0"/>
                <w:numId w:val="4"/>
              </w:numPr>
              <w:tabs>
                <w:tab w:val="left" w:pos="1134"/>
                <w:tab w:val="left" w:pos="1560"/>
                <w:tab w:val="left" w:pos="2127"/>
              </w:tabs>
              <w:autoSpaceDE w:val="0"/>
              <w:autoSpaceDN w:val="0"/>
              <w:adjustRightInd w:val="0"/>
              <w:spacing w:after="0"/>
              <w:rPr>
                <w:rFonts w:ascii="Arial" w:hAnsi="Arial" w:cs="Arial"/>
                <w:color w:val="000000"/>
              </w:rPr>
            </w:pPr>
            <w:r w:rsidRPr="00584251">
              <w:rPr>
                <w:rFonts w:ascii="Arial" w:hAnsi="Arial" w:cs="Arial"/>
                <w:color w:val="000000"/>
              </w:rPr>
              <w:t>Early payment of defer</w:t>
            </w:r>
            <w:r>
              <w:rPr>
                <w:rFonts w:ascii="Arial" w:hAnsi="Arial" w:cs="Arial"/>
                <w:color w:val="000000"/>
              </w:rPr>
              <w:t>red benefits due to ill health</w:t>
            </w:r>
          </w:p>
          <w:p w14:paraId="22603BBA" w14:textId="4852A5EB" w:rsidR="00E50E8B" w:rsidRDefault="00E50E8B" w:rsidP="002D2161">
            <w:pPr>
              <w:pStyle w:val="ListParagraph"/>
              <w:numPr>
                <w:ilvl w:val="0"/>
                <w:numId w:val="4"/>
              </w:numPr>
              <w:tabs>
                <w:tab w:val="left" w:pos="1134"/>
                <w:tab w:val="left" w:pos="1560"/>
                <w:tab w:val="left" w:pos="2127"/>
              </w:tabs>
              <w:autoSpaceDE w:val="0"/>
              <w:autoSpaceDN w:val="0"/>
              <w:adjustRightInd w:val="0"/>
              <w:spacing w:after="0"/>
              <w:rPr>
                <w:rFonts w:ascii="Arial" w:hAnsi="Arial" w:cs="Arial"/>
                <w:color w:val="000000"/>
              </w:rPr>
            </w:pPr>
            <w:r w:rsidRPr="00584251">
              <w:rPr>
                <w:rFonts w:ascii="Arial" w:hAnsi="Arial" w:cs="Arial"/>
                <w:color w:val="000000"/>
              </w:rPr>
              <w:t xml:space="preserve">Early retirement in the </w:t>
            </w:r>
            <w:r>
              <w:rPr>
                <w:rFonts w:ascii="Arial" w:hAnsi="Arial" w:cs="Arial"/>
                <w:color w:val="000000"/>
              </w:rPr>
              <w:t>i</w:t>
            </w:r>
            <w:r w:rsidRPr="00584251">
              <w:rPr>
                <w:rFonts w:ascii="Arial" w:hAnsi="Arial" w:cs="Arial"/>
                <w:color w:val="000000"/>
              </w:rPr>
              <w:t>nterests of the efficiency of the service</w:t>
            </w:r>
            <w:r>
              <w:rPr>
                <w:rFonts w:ascii="Arial" w:hAnsi="Arial" w:cs="Arial"/>
                <w:color w:val="000000"/>
              </w:rPr>
              <w:t>.</w:t>
            </w:r>
            <w:r w:rsidRPr="00584251">
              <w:rPr>
                <w:rFonts w:ascii="Arial" w:hAnsi="Arial" w:cs="Arial"/>
                <w:color w:val="000000"/>
              </w:rPr>
              <w:t xml:space="preserve"> </w:t>
            </w:r>
            <w:r>
              <w:rPr>
                <w:rFonts w:ascii="Arial" w:hAnsi="Arial" w:cs="Arial"/>
                <w:color w:val="000000"/>
              </w:rPr>
              <w:t>This is because</w:t>
            </w:r>
            <w:r w:rsidRPr="00584251">
              <w:rPr>
                <w:rFonts w:ascii="Arial" w:hAnsi="Arial" w:cs="Arial"/>
                <w:color w:val="000000"/>
              </w:rPr>
              <w:t xml:space="preserve"> there is no severance pay so the early payment of benefits is funded by the employer</w:t>
            </w:r>
            <w:r>
              <w:rPr>
                <w:rFonts w:ascii="Arial" w:hAnsi="Arial" w:cs="Arial"/>
                <w:color w:val="000000"/>
              </w:rPr>
              <w:t>.</w:t>
            </w:r>
          </w:p>
          <w:p w14:paraId="3F46F45D" w14:textId="25B3F8EC" w:rsidR="002D2161" w:rsidRDefault="002D2161" w:rsidP="002D2161">
            <w:pPr>
              <w:pStyle w:val="ListParagraph"/>
              <w:numPr>
                <w:ilvl w:val="0"/>
                <w:numId w:val="4"/>
              </w:num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 xml:space="preserve">Partial retirement </w:t>
            </w:r>
            <w:r w:rsidR="00AC22EF">
              <w:rPr>
                <w:rFonts w:ascii="Arial" w:hAnsi="Arial" w:cs="Arial"/>
                <w:color w:val="000000"/>
              </w:rPr>
              <w:t>(</w:t>
            </w:r>
            <w:r>
              <w:rPr>
                <w:rFonts w:ascii="Arial" w:hAnsi="Arial" w:cs="Arial"/>
                <w:color w:val="000000"/>
              </w:rPr>
              <w:t>Draw Down</w:t>
            </w:r>
            <w:r w:rsidR="00AC22EF">
              <w:rPr>
                <w:rFonts w:ascii="Arial" w:hAnsi="Arial" w:cs="Arial"/>
                <w:color w:val="000000"/>
              </w:rPr>
              <w:t>)</w:t>
            </w:r>
            <w:r>
              <w:rPr>
                <w:rFonts w:ascii="Arial" w:hAnsi="Arial" w:cs="Arial"/>
                <w:color w:val="000000"/>
              </w:rPr>
              <w:t xml:space="preserve"> – if the pensionable pay increases to more than 90% of the original reduction.</w:t>
            </w:r>
          </w:p>
          <w:p w14:paraId="2DB4FC60" w14:textId="77777777" w:rsidR="002D2161" w:rsidRPr="00584251" w:rsidRDefault="002D2161" w:rsidP="008F3332">
            <w:pPr>
              <w:pStyle w:val="ListParagraph"/>
              <w:tabs>
                <w:tab w:val="left" w:pos="1134"/>
                <w:tab w:val="left" w:pos="1560"/>
                <w:tab w:val="left" w:pos="2127"/>
              </w:tabs>
              <w:autoSpaceDE w:val="0"/>
              <w:autoSpaceDN w:val="0"/>
              <w:adjustRightInd w:val="0"/>
              <w:spacing w:after="0"/>
              <w:rPr>
                <w:rFonts w:ascii="Arial" w:hAnsi="Arial" w:cs="Arial"/>
                <w:color w:val="000000"/>
              </w:rPr>
            </w:pPr>
          </w:p>
          <w:p w14:paraId="60E021D1" w14:textId="77777777" w:rsidR="00E50E8B" w:rsidRDefault="00E50E8B" w:rsidP="001501B0">
            <w:pPr>
              <w:pStyle w:val="Default"/>
              <w:tabs>
                <w:tab w:val="left" w:pos="1134"/>
                <w:tab w:val="left" w:pos="1560"/>
                <w:tab w:val="left" w:pos="2127"/>
              </w:tabs>
              <w:spacing w:line="276" w:lineRule="auto"/>
              <w:rPr>
                <w:sz w:val="22"/>
                <w:szCs w:val="22"/>
              </w:rPr>
            </w:pPr>
          </w:p>
          <w:p w14:paraId="117E3834" w14:textId="77777777" w:rsidR="00E50E8B" w:rsidRPr="00E50E8B" w:rsidRDefault="00E50E8B" w:rsidP="001501B0">
            <w:pPr>
              <w:pStyle w:val="Default"/>
              <w:tabs>
                <w:tab w:val="left" w:pos="1134"/>
                <w:tab w:val="left" w:pos="1560"/>
                <w:tab w:val="left" w:pos="2127"/>
              </w:tabs>
              <w:spacing w:line="276" w:lineRule="auto"/>
              <w:rPr>
                <w:sz w:val="22"/>
                <w:szCs w:val="22"/>
              </w:rPr>
            </w:pPr>
            <w:r w:rsidRPr="00584251">
              <w:rPr>
                <w:sz w:val="22"/>
                <w:szCs w:val="22"/>
              </w:rPr>
              <w:t>Where abatement applies in the 2008 Section it will continue until the pensioner reaches age 65.</w:t>
            </w:r>
          </w:p>
        </w:tc>
      </w:tr>
    </w:tbl>
    <w:p w14:paraId="30E0783E" w14:textId="61696B0F" w:rsidR="00BC2ACA" w:rsidRDefault="00676557" w:rsidP="001501B0">
      <w:pPr>
        <w:tabs>
          <w:tab w:val="left" w:pos="1134"/>
          <w:tab w:val="left" w:pos="1560"/>
          <w:tab w:val="left" w:pos="2127"/>
        </w:tabs>
        <w:autoSpaceDE w:val="0"/>
        <w:autoSpaceDN w:val="0"/>
        <w:adjustRightInd w:val="0"/>
        <w:spacing w:after="0"/>
        <w:rPr>
          <w:rFonts w:ascii="Arial" w:hAnsi="Arial" w:cs="Arial"/>
          <w:color w:val="FF0000"/>
        </w:rPr>
      </w:pPr>
      <w:r>
        <w:rPr>
          <w:noProof/>
          <w:lang w:eastAsia="en-GB"/>
        </w:rPr>
        <w:lastRenderedPageBreak/>
        <mc:AlternateContent>
          <mc:Choice Requires="wps">
            <w:drawing>
              <wp:anchor distT="0" distB="0" distL="114300" distR="114300" simplePos="0" relativeHeight="251658242" behindDoc="0" locked="0" layoutInCell="1" allowOverlap="1" wp14:anchorId="05B02E71" wp14:editId="31A77429">
                <wp:simplePos x="0" y="0"/>
                <wp:positionH relativeFrom="margin">
                  <wp:align>center</wp:align>
                </wp:positionH>
                <wp:positionV relativeFrom="paragraph">
                  <wp:posOffset>82550</wp:posOffset>
                </wp:positionV>
                <wp:extent cx="6329045" cy="0"/>
                <wp:effectExtent l="0" t="19050" r="33655" b="19050"/>
                <wp:wrapNone/>
                <wp:docPr id="13" name="Straight Connector 13"/>
                <wp:cNvGraphicFramePr/>
                <a:graphic xmlns:a="http://schemas.openxmlformats.org/drawingml/2006/main">
                  <a:graphicData uri="http://schemas.microsoft.com/office/word/2010/wordprocessingShape">
                    <wps:wsp>
                      <wps:cNvCnPr/>
                      <wps:spPr>
                        <a:xfrm>
                          <a:off x="0" y="0"/>
                          <a:ext cx="6329045" cy="0"/>
                        </a:xfrm>
                        <a:prstGeom prst="line">
                          <a:avLst/>
                        </a:prstGeom>
                        <a:ln w="3810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9A6DE" id="Straight Connector 13"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6.5pt" to="498.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" strokecolor="#7f7f7f [1612]" strokeweight="3pt">
                <v:stroke dashstyle="1 1"/>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8636"/>
      </w:tblGrid>
      <w:tr w:rsidR="00E50E8B" w14:paraId="2911FEB2" w14:textId="77777777" w:rsidTr="00C3234B">
        <w:tc>
          <w:tcPr>
            <w:tcW w:w="1116" w:type="dxa"/>
          </w:tcPr>
          <w:p w14:paraId="2E71B133" w14:textId="04057BC2" w:rsidR="00E50E8B" w:rsidRDefault="00E50E8B" w:rsidP="001501B0">
            <w:pPr>
              <w:pStyle w:val="Default"/>
              <w:tabs>
                <w:tab w:val="left" w:pos="1134"/>
                <w:tab w:val="left" w:pos="1560"/>
                <w:tab w:val="left" w:pos="2127"/>
              </w:tabs>
              <w:spacing w:line="276" w:lineRule="auto"/>
              <w:rPr>
                <w:sz w:val="22"/>
                <w:szCs w:val="22"/>
              </w:rPr>
            </w:pPr>
            <w:r>
              <w:rPr>
                <w:noProof/>
                <w:sz w:val="22"/>
                <w:szCs w:val="22"/>
              </w:rPr>
              <w:drawing>
                <wp:inline distT="0" distB="0" distL="0" distR="0" wp14:anchorId="35F327F3" wp14:editId="4C50629A">
                  <wp:extent cx="564515" cy="124015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515" cy="1240155"/>
                          </a:xfrm>
                          <a:prstGeom prst="rect">
                            <a:avLst/>
                          </a:prstGeom>
                          <a:noFill/>
                          <a:ln>
                            <a:noFill/>
                          </a:ln>
                        </pic:spPr>
                      </pic:pic>
                    </a:graphicData>
                  </a:graphic>
                </wp:inline>
              </w:drawing>
            </w:r>
          </w:p>
        </w:tc>
        <w:tc>
          <w:tcPr>
            <w:tcW w:w="8852" w:type="dxa"/>
          </w:tcPr>
          <w:p w14:paraId="5AA7C0BA" w14:textId="77777777" w:rsidR="00E50E8B" w:rsidRPr="001374D1" w:rsidRDefault="00E50E8B" w:rsidP="001501B0">
            <w:pPr>
              <w:tabs>
                <w:tab w:val="left" w:pos="1134"/>
                <w:tab w:val="left" w:pos="1560"/>
                <w:tab w:val="left" w:pos="2127"/>
              </w:tabs>
              <w:spacing w:after="0"/>
              <w:rPr>
                <w:rFonts w:ascii="Arial" w:hAnsi="Arial" w:cs="Arial"/>
                <w:b/>
              </w:rPr>
            </w:pPr>
            <w:r w:rsidRPr="001374D1">
              <w:rPr>
                <w:rFonts w:ascii="Arial" w:hAnsi="Arial" w:cs="Arial"/>
                <w:b/>
              </w:rPr>
              <w:t>2015 Scheme members:</w:t>
            </w:r>
          </w:p>
          <w:p w14:paraId="7099792F" w14:textId="77777777" w:rsidR="00E50E8B" w:rsidRPr="004E7A74" w:rsidRDefault="00E50E8B" w:rsidP="001501B0">
            <w:pPr>
              <w:tabs>
                <w:tab w:val="left" w:pos="1134"/>
                <w:tab w:val="left" w:pos="1560"/>
                <w:tab w:val="left" w:pos="2127"/>
              </w:tabs>
              <w:spacing w:after="0"/>
              <w:rPr>
                <w:rFonts w:ascii="Arial" w:hAnsi="Arial" w:cs="Arial"/>
                <w:color w:val="FF0000"/>
              </w:rPr>
            </w:pPr>
          </w:p>
          <w:p w14:paraId="4ACAE334" w14:textId="77777777" w:rsidR="00E50E8B" w:rsidRDefault="00E50E8B" w:rsidP="002D2161">
            <w:pPr>
              <w:pStyle w:val="ListParagraph"/>
              <w:numPr>
                <w:ilvl w:val="0"/>
                <w:numId w:val="7"/>
              </w:numPr>
              <w:tabs>
                <w:tab w:val="left" w:pos="1134"/>
                <w:tab w:val="left" w:pos="1560"/>
                <w:tab w:val="left" w:pos="2127"/>
              </w:tabs>
              <w:autoSpaceDE w:val="0"/>
              <w:autoSpaceDN w:val="0"/>
              <w:adjustRightInd w:val="0"/>
              <w:spacing w:after="0"/>
              <w:rPr>
                <w:rFonts w:ascii="Arial" w:hAnsi="Arial" w:cs="Arial"/>
                <w:color w:val="000000"/>
              </w:rPr>
            </w:pPr>
            <w:r w:rsidRPr="00C426A5">
              <w:rPr>
                <w:rFonts w:ascii="Arial" w:hAnsi="Arial" w:cs="Arial"/>
                <w:color w:val="000000"/>
              </w:rPr>
              <w:t xml:space="preserve">Ill health tier 1 and tier 2 pension </w:t>
            </w:r>
          </w:p>
          <w:p w14:paraId="647B27B7" w14:textId="77777777" w:rsidR="00E50E8B" w:rsidRDefault="00E50E8B" w:rsidP="002D2161">
            <w:pPr>
              <w:pStyle w:val="ListParagraph"/>
              <w:numPr>
                <w:ilvl w:val="0"/>
                <w:numId w:val="7"/>
              </w:numPr>
              <w:tabs>
                <w:tab w:val="left" w:pos="1134"/>
                <w:tab w:val="left" w:pos="1560"/>
                <w:tab w:val="left" w:pos="2127"/>
              </w:tabs>
              <w:autoSpaceDE w:val="0"/>
              <w:autoSpaceDN w:val="0"/>
              <w:adjustRightInd w:val="0"/>
              <w:spacing w:after="0"/>
              <w:rPr>
                <w:rFonts w:ascii="Arial" w:hAnsi="Arial" w:cs="Arial"/>
                <w:color w:val="000000"/>
              </w:rPr>
            </w:pPr>
            <w:r w:rsidRPr="00C426A5">
              <w:rPr>
                <w:rFonts w:ascii="Arial" w:hAnsi="Arial" w:cs="Arial"/>
                <w:color w:val="000000"/>
              </w:rPr>
              <w:t xml:space="preserve">Early payment of deferred pension benefits due to ill health </w:t>
            </w:r>
          </w:p>
          <w:p w14:paraId="63AF91E9" w14:textId="3244D916" w:rsidR="00E50E8B" w:rsidRDefault="00E50E8B" w:rsidP="002D2161">
            <w:pPr>
              <w:pStyle w:val="ListParagraph"/>
              <w:numPr>
                <w:ilvl w:val="0"/>
                <w:numId w:val="7"/>
              </w:numPr>
              <w:tabs>
                <w:tab w:val="left" w:pos="1134"/>
                <w:tab w:val="left" w:pos="1560"/>
                <w:tab w:val="left" w:pos="2127"/>
              </w:tabs>
              <w:autoSpaceDE w:val="0"/>
              <w:autoSpaceDN w:val="0"/>
              <w:adjustRightInd w:val="0"/>
              <w:spacing w:after="0"/>
              <w:rPr>
                <w:rFonts w:ascii="Arial" w:hAnsi="Arial" w:cs="Arial"/>
                <w:color w:val="000000"/>
              </w:rPr>
            </w:pPr>
            <w:r w:rsidRPr="00C426A5">
              <w:rPr>
                <w:rFonts w:ascii="Arial" w:hAnsi="Arial" w:cs="Arial"/>
                <w:color w:val="000000"/>
              </w:rPr>
              <w:t>Early retirement in the interests of the efficiency of the service</w:t>
            </w:r>
            <w:r>
              <w:rPr>
                <w:rFonts w:ascii="Arial" w:hAnsi="Arial" w:cs="Arial"/>
                <w:color w:val="000000"/>
              </w:rPr>
              <w:t xml:space="preserve">. This is because </w:t>
            </w:r>
            <w:r w:rsidRPr="00C426A5">
              <w:rPr>
                <w:rFonts w:ascii="Arial" w:hAnsi="Arial" w:cs="Arial"/>
                <w:color w:val="000000"/>
              </w:rPr>
              <w:t>there is no severance pay so the early payment of benef</w:t>
            </w:r>
            <w:r>
              <w:rPr>
                <w:rFonts w:ascii="Arial" w:hAnsi="Arial" w:cs="Arial"/>
                <w:color w:val="000000"/>
              </w:rPr>
              <w:t>its is funded by the employer.</w:t>
            </w:r>
          </w:p>
          <w:p w14:paraId="2D6FCFE3" w14:textId="04613354" w:rsidR="00676557" w:rsidRPr="008F3332" w:rsidRDefault="002D2161" w:rsidP="00676557">
            <w:pPr>
              <w:pStyle w:val="ListParagraph"/>
              <w:numPr>
                <w:ilvl w:val="0"/>
                <w:numId w:val="7"/>
              </w:num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 xml:space="preserve">Partial retirement </w:t>
            </w:r>
            <w:r w:rsidR="00AC22EF">
              <w:rPr>
                <w:rFonts w:ascii="Arial" w:hAnsi="Arial" w:cs="Arial"/>
                <w:color w:val="000000"/>
              </w:rPr>
              <w:t>(</w:t>
            </w:r>
            <w:r>
              <w:rPr>
                <w:rFonts w:ascii="Arial" w:hAnsi="Arial" w:cs="Arial"/>
                <w:color w:val="000000"/>
              </w:rPr>
              <w:t>Draw Down</w:t>
            </w:r>
            <w:r w:rsidR="00AC22EF">
              <w:rPr>
                <w:rFonts w:ascii="Arial" w:hAnsi="Arial" w:cs="Arial"/>
                <w:color w:val="000000"/>
              </w:rPr>
              <w:t>)</w:t>
            </w:r>
            <w:r>
              <w:rPr>
                <w:rFonts w:ascii="Arial" w:hAnsi="Arial" w:cs="Arial"/>
                <w:color w:val="000000"/>
              </w:rPr>
              <w:t xml:space="preserve"> – if the pensionable pay increases to more than 90% of the original reduction.</w:t>
            </w:r>
          </w:p>
          <w:p w14:paraId="617D9034" w14:textId="77777777" w:rsidR="00E50E8B" w:rsidRPr="00E50E8B" w:rsidRDefault="00E50E8B" w:rsidP="001501B0">
            <w:pPr>
              <w:pStyle w:val="Default"/>
              <w:tabs>
                <w:tab w:val="left" w:pos="1134"/>
                <w:tab w:val="left" w:pos="1560"/>
                <w:tab w:val="left" w:pos="2127"/>
              </w:tabs>
              <w:spacing w:line="276" w:lineRule="auto"/>
              <w:rPr>
                <w:sz w:val="22"/>
                <w:szCs w:val="22"/>
              </w:rPr>
            </w:pPr>
            <w:r>
              <w:rPr>
                <w:sz w:val="22"/>
                <w:szCs w:val="22"/>
              </w:rPr>
              <w:t>Where abatement applies in the 2015 Scheme it will continue until the pensioner reaches their normal pension age. This is age 65 or their State Pension Age, whichever is later.</w:t>
            </w:r>
          </w:p>
        </w:tc>
      </w:tr>
    </w:tbl>
    <w:p w14:paraId="3264CA68" w14:textId="77777777" w:rsidR="00BC2ACA" w:rsidRDefault="00BC2ACA" w:rsidP="001501B0">
      <w:pPr>
        <w:pStyle w:val="Default"/>
        <w:tabs>
          <w:tab w:val="left" w:pos="1134"/>
          <w:tab w:val="left" w:pos="1560"/>
          <w:tab w:val="left" w:pos="2127"/>
        </w:tabs>
        <w:spacing w:line="276" w:lineRule="auto"/>
        <w:rPr>
          <w:sz w:val="22"/>
          <w:szCs w:val="22"/>
        </w:rPr>
      </w:pPr>
    </w:p>
    <w:p w14:paraId="5FB5C628" w14:textId="77777777" w:rsidR="00750F27" w:rsidRDefault="00750F27" w:rsidP="001501B0">
      <w:pPr>
        <w:pStyle w:val="Default"/>
        <w:tabs>
          <w:tab w:val="left" w:pos="1134"/>
          <w:tab w:val="left" w:pos="1560"/>
          <w:tab w:val="left" w:pos="2127"/>
        </w:tabs>
        <w:spacing w:line="276" w:lineRule="auto"/>
        <w:rPr>
          <w:sz w:val="22"/>
          <w:szCs w:val="22"/>
        </w:rPr>
        <w:sectPr w:rsidR="00750F27" w:rsidSect="0036294C">
          <w:pgSz w:w="11906" w:h="16838" w:code="9"/>
          <w:pgMar w:top="1440" w:right="1077" w:bottom="1440" w:left="1077" w:header="709" w:footer="590" w:gutter="0"/>
          <w:cols w:space="708"/>
          <w:docGrid w:linePitch="360"/>
        </w:sectPr>
      </w:pPr>
    </w:p>
    <w:p w14:paraId="5B7FC638" w14:textId="77777777" w:rsidR="002C541A" w:rsidRPr="00246011" w:rsidRDefault="002C541A" w:rsidP="001501B0">
      <w:pPr>
        <w:pStyle w:val="Heading1"/>
        <w:tabs>
          <w:tab w:val="left" w:pos="1134"/>
          <w:tab w:val="left" w:pos="1560"/>
          <w:tab w:val="left" w:pos="2127"/>
        </w:tabs>
      </w:pPr>
      <w:bookmarkStart w:id="4" w:name="_Toc492453610"/>
      <w:r w:rsidRPr="00246011">
        <w:lastRenderedPageBreak/>
        <w:t>1995 Section – pensions subject to the previous abatement formula</w:t>
      </w:r>
      <w:bookmarkEnd w:id="4"/>
    </w:p>
    <w:p w14:paraId="4FE43C71" w14:textId="77777777" w:rsidR="002C541A" w:rsidRDefault="002C541A" w:rsidP="001501B0">
      <w:pPr>
        <w:tabs>
          <w:tab w:val="left" w:pos="1134"/>
          <w:tab w:val="left" w:pos="1560"/>
          <w:tab w:val="left" w:pos="2127"/>
        </w:tabs>
        <w:spacing w:after="0"/>
        <w:rPr>
          <w:rFonts w:ascii="Arial" w:eastAsia="Times New Roman" w:hAnsi="Arial" w:cs="Arial"/>
        </w:rPr>
      </w:pPr>
    </w:p>
    <w:p w14:paraId="01EF9CB0" w14:textId="77777777" w:rsidR="00317F10" w:rsidRPr="00317F10" w:rsidRDefault="00317F10" w:rsidP="001501B0">
      <w:pPr>
        <w:tabs>
          <w:tab w:val="left" w:pos="1134"/>
          <w:tab w:val="left" w:pos="1560"/>
          <w:tab w:val="left" w:pos="2127"/>
        </w:tabs>
        <w:spacing w:after="0"/>
        <w:rPr>
          <w:rFonts w:ascii="Arial" w:eastAsia="Times New Roman" w:hAnsi="Arial" w:cs="Arial"/>
        </w:rPr>
      </w:pPr>
      <w:r w:rsidRPr="00317F10">
        <w:rPr>
          <w:rFonts w:ascii="Arial" w:eastAsia="Times New Roman" w:hAnsi="Arial" w:cs="Arial"/>
        </w:rPr>
        <w:t>Some current and former members are still subject to the previous formula</w:t>
      </w:r>
      <w:r w:rsidR="001374D1">
        <w:rPr>
          <w:rFonts w:ascii="Arial" w:eastAsia="Times New Roman" w:hAnsi="Arial" w:cs="Arial"/>
        </w:rPr>
        <w:t>, which is the pension</w:t>
      </w:r>
      <w:r w:rsidR="00AE54E1">
        <w:rPr>
          <w:rFonts w:ascii="Arial" w:eastAsia="Times New Roman" w:hAnsi="Arial" w:cs="Arial"/>
        </w:rPr>
        <w:t xml:space="preserve"> plus new earnings must not exceed the earnings prior to retirement</w:t>
      </w:r>
      <w:r w:rsidRPr="00317F10">
        <w:rPr>
          <w:rFonts w:ascii="Arial" w:eastAsia="Times New Roman" w:hAnsi="Arial" w:cs="Arial"/>
        </w:rPr>
        <w:t>. They are:</w:t>
      </w:r>
    </w:p>
    <w:p w14:paraId="605AB30C" w14:textId="77777777" w:rsidR="00317F10" w:rsidRPr="00317F10" w:rsidRDefault="00317F10" w:rsidP="001501B0">
      <w:pPr>
        <w:tabs>
          <w:tab w:val="left" w:pos="1134"/>
          <w:tab w:val="left" w:pos="1560"/>
          <w:tab w:val="left" w:pos="2127"/>
        </w:tabs>
        <w:spacing w:after="0"/>
        <w:rPr>
          <w:rFonts w:ascii="Arial" w:eastAsia="Times New Roman" w:hAnsi="Arial" w:cs="Arial"/>
        </w:rPr>
      </w:pPr>
      <w:r w:rsidRPr="00317F10">
        <w:rPr>
          <w:rFonts w:ascii="Arial" w:eastAsia="Times New Roman" w:hAnsi="Arial" w:cs="Arial"/>
        </w:rPr>
        <w:t xml:space="preserve"> </w:t>
      </w:r>
    </w:p>
    <w:p w14:paraId="1293CC86" w14:textId="77777777" w:rsidR="00317F10" w:rsidRPr="001374D1" w:rsidRDefault="001374D1" w:rsidP="001501B0">
      <w:pPr>
        <w:pStyle w:val="BodyText2"/>
        <w:numPr>
          <w:ilvl w:val="0"/>
          <w:numId w:val="6"/>
        </w:numPr>
        <w:tabs>
          <w:tab w:val="left" w:pos="1134"/>
          <w:tab w:val="left" w:pos="1560"/>
          <w:tab w:val="left" w:pos="2127"/>
        </w:tabs>
        <w:rPr>
          <w:sz w:val="22"/>
        </w:rPr>
      </w:pPr>
      <w:r>
        <w:rPr>
          <w:sz w:val="22"/>
        </w:rPr>
        <w:t>Special classes - the r</w:t>
      </w:r>
      <w:r w:rsidR="00317F10" w:rsidRPr="001374D1">
        <w:rPr>
          <w:sz w:val="22"/>
        </w:rPr>
        <w:t xml:space="preserve">eview considered the position of the special classes and concluded that those who were eligible should retain the right to retire with unreduced benefits from age 55. Therefore, where abatement applies to a member of the special classes taking age retirement before reaching age 60, it will continue to be assessed under the previous formula, irrespective of the date on which pensionable employment ended. </w:t>
      </w:r>
    </w:p>
    <w:p w14:paraId="4B19F025" w14:textId="77777777" w:rsidR="00317F10" w:rsidRPr="00317F10" w:rsidRDefault="00317F10" w:rsidP="001501B0">
      <w:pPr>
        <w:tabs>
          <w:tab w:val="left" w:pos="1134"/>
          <w:tab w:val="left" w:pos="1560"/>
          <w:tab w:val="left" w:pos="2127"/>
        </w:tabs>
        <w:spacing w:after="0"/>
        <w:ind w:left="360"/>
        <w:rPr>
          <w:rFonts w:ascii="Arial" w:eastAsia="Times New Roman" w:hAnsi="Arial" w:cs="Arial"/>
        </w:rPr>
      </w:pPr>
    </w:p>
    <w:p w14:paraId="3D1E8F83" w14:textId="77777777" w:rsidR="00317F10" w:rsidRPr="001374D1" w:rsidRDefault="00317F10" w:rsidP="001501B0">
      <w:pPr>
        <w:pStyle w:val="BodyText2"/>
        <w:numPr>
          <w:ilvl w:val="0"/>
          <w:numId w:val="6"/>
        </w:numPr>
        <w:tabs>
          <w:tab w:val="left" w:pos="1134"/>
          <w:tab w:val="left" w:pos="1560"/>
          <w:tab w:val="left" w:pos="2127"/>
        </w:tabs>
        <w:rPr>
          <w:sz w:val="22"/>
        </w:rPr>
      </w:pPr>
      <w:r w:rsidRPr="001374D1">
        <w:rPr>
          <w:sz w:val="22"/>
        </w:rPr>
        <w:t xml:space="preserve">Deferred members and pensioners - the Regulations, which introduced the new abatement formula, came into force on 1 April 2008. </w:t>
      </w:r>
      <w:r w:rsidR="001374D1">
        <w:rPr>
          <w:sz w:val="22"/>
        </w:rPr>
        <w:t>Deferred members and pensioners</w:t>
      </w:r>
      <w:r w:rsidRPr="001374D1">
        <w:rPr>
          <w:sz w:val="22"/>
        </w:rPr>
        <w:t xml:space="preserve"> who left pensionable employment before that date will, when it applies, also have abatement assessed under the previous formula.</w:t>
      </w:r>
    </w:p>
    <w:p w14:paraId="587466C9" w14:textId="77777777" w:rsidR="00317F10" w:rsidRPr="00317F10" w:rsidRDefault="00317F10" w:rsidP="001501B0">
      <w:pPr>
        <w:tabs>
          <w:tab w:val="left" w:pos="1134"/>
          <w:tab w:val="left" w:pos="1560"/>
          <w:tab w:val="left" w:pos="2127"/>
        </w:tabs>
        <w:spacing w:after="0"/>
        <w:rPr>
          <w:rFonts w:ascii="Arial" w:eastAsia="Times New Roman" w:hAnsi="Arial" w:cs="Arial"/>
        </w:rPr>
      </w:pPr>
      <w:r w:rsidRPr="00317F10">
        <w:rPr>
          <w:rFonts w:ascii="Arial" w:eastAsia="Times New Roman" w:hAnsi="Arial" w:cs="Arial"/>
        </w:rPr>
        <w:t xml:space="preserve">  </w:t>
      </w:r>
    </w:p>
    <w:p w14:paraId="049810D4" w14:textId="77777777" w:rsidR="00317F10" w:rsidRDefault="00317F10" w:rsidP="001501B0">
      <w:pPr>
        <w:pStyle w:val="BodyText2"/>
        <w:tabs>
          <w:tab w:val="left" w:pos="1134"/>
          <w:tab w:val="left" w:pos="1560"/>
          <w:tab w:val="left" w:pos="2127"/>
        </w:tabs>
        <w:rPr>
          <w:sz w:val="22"/>
        </w:rPr>
      </w:pPr>
      <w:r w:rsidRPr="001374D1">
        <w:rPr>
          <w:sz w:val="22"/>
        </w:rPr>
        <w:t>Where the previous abatement formula applies to these groups it will continue until the pensioner reaches age 60.</w:t>
      </w:r>
    </w:p>
    <w:p w14:paraId="58CA4664" w14:textId="77777777" w:rsidR="009B3B48" w:rsidRDefault="009B3B48" w:rsidP="001501B0">
      <w:pPr>
        <w:pStyle w:val="BodyText2"/>
        <w:tabs>
          <w:tab w:val="left" w:pos="1134"/>
          <w:tab w:val="left" w:pos="1560"/>
          <w:tab w:val="left" w:pos="2127"/>
        </w:tabs>
        <w:rPr>
          <w:sz w:val="22"/>
        </w:rPr>
      </w:pPr>
    </w:p>
    <w:p w14:paraId="62FB5F11" w14:textId="77777777" w:rsidR="009B3B48" w:rsidRDefault="009B3B48" w:rsidP="009B3B48">
      <w:pPr>
        <w:pStyle w:val="Default"/>
        <w:rPr>
          <w:sz w:val="28"/>
          <w:szCs w:val="22"/>
        </w:rPr>
      </w:pPr>
      <w:r w:rsidRPr="0043311D">
        <w:rPr>
          <w:sz w:val="28"/>
          <w:szCs w:val="22"/>
        </w:rPr>
        <w:t>How is abatement calculated under the old formula?</w:t>
      </w:r>
    </w:p>
    <w:p w14:paraId="607AE8DD" w14:textId="77777777" w:rsidR="009B3B48" w:rsidRDefault="009B3B48" w:rsidP="009B3B48">
      <w:pPr>
        <w:pStyle w:val="Default"/>
        <w:rPr>
          <w:sz w:val="28"/>
          <w:szCs w:val="22"/>
        </w:rPr>
      </w:pPr>
    </w:p>
    <w:p w14:paraId="66445062" w14:textId="77777777" w:rsidR="009B3B48" w:rsidRPr="0043311D" w:rsidRDefault="009B3B48" w:rsidP="009B3B48">
      <w:pPr>
        <w:pStyle w:val="Default"/>
        <w:rPr>
          <w:sz w:val="22"/>
          <w:szCs w:val="22"/>
        </w:rPr>
      </w:pPr>
      <w:r w:rsidRPr="0043311D">
        <w:rPr>
          <w:sz w:val="22"/>
          <w:szCs w:val="22"/>
        </w:rPr>
        <w:t>Abatement will apply if:</w:t>
      </w:r>
    </w:p>
    <w:p w14:paraId="65CCA13B" w14:textId="77777777" w:rsidR="009B3B48" w:rsidRDefault="009B3B48" w:rsidP="009B3B48">
      <w:pPr>
        <w:pStyle w:val="BodyText2"/>
        <w:rPr>
          <w:sz w:val="22"/>
        </w:rPr>
      </w:pPr>
    </w:p>
    <w:p w14:paraId="76524845" w14:textId="77777777" w:rsidR="009B3B48" w:rsidRDefault="009B3B48" w:rsidP="009B3B48">
      <w:pPr>
        <w:pStyle w:val="BodyText2"/>
        <w:rPr>
          <w:color w:val="000000"/>
          <w:sz w:val="22"/>
        </w:rPr>
      </w:pPr>
      <w:r w:rsidRPr="0043311D">
        <w:rPr>
          <w:color w:val="000000"/>
          <w:sz w:val="22"/>
        </w:rPr>
        <w:t>Pension + new earnings exceed the earnings prior to retirement</w:t>
      </w:r>
    </w:p>
    <w:p w14:paraId="4DAB783A" w14:textId="77777777" w:rsidR="009B3B48" w:rsidRDefault="009B3B48" w:rsidP="009B3B48">
      <w:pPr>
        <w:pStyle w:val="BodyText2"/>
        <w:rPr>
          <w:color w:val="000000"/>
          <w:sz w:val="22"/>
        </w:rPr>
      </w:pPr>
    </w:p>
    <w:p w14:paraId="463017F8" w14:textId="77777777" w:rsidR="009B3B48" w:rsidRDefault="009B3B48" w:rsidP="009B3B48">
      <w:pPr>
        <w:rPr>
          <w:rFonts w:ascii="Arial" w:hAnsi="Arial" w:cs="Arial"/>
          <w:color w:val="000000"/>
        </w:rPr>
      </w:pPr>
      <w:r w:rsidRPr="0043311D">
        <w:rPr>
          <w:rFonts w:ascii="Arial" w:hAnsi="Arial" w:cs="Arial"/>
          <w:color w:val="000000"/>
        </w:rPr>
        <w:t xml:space="preserve">The earnings prior to retirement are </w:t>
      </w:r>
      <w:r w:rsidR="001538B2">
        <w:rPr>
          <w:rFonts w:ascii="Arial" w:hAnsi="Arial" w:cs="Arial"/>
          <w:color w:val="000000"/>
        </w:rPr>
        <w:t>the best of the last three year’s pensionable pay</w:t>
      </w:r>
      <w:r w:rsidRPr="0043311D">
        <w:rPr>
          <w:rFonts w:ascii="Arial" w:hAnsi="Arial" w:cs="Arial"/>
          <w:color w:val="000000"/>
        </w:rPr>
        <w:t xml:space="preserve"> </w:t>
      </w:r>
      <w:r w:rsidR="001538B2">
        <w:rPr>
          <w:rFonts w:ascii="Arial" w:hAnsi="Arial" w:cs="Arial"/>
          <w:color w:val="000000"/>
        </w:rPr>
        <w:t>provided</w:t>
      </w:r>
      <w:r w:rsidRPr="0043311D">
        <w:rPr>
          <w:rFonts w:ascii="Arial" w:hAnsi="Arial" w:cs="Arial"/>
          <w:color w:val="000000"/>
        </w:rPr>
        <w:t xml:space="preserve"> on the </w:t>
      </w:r>
      <w:r w:rsidR="001538B2">
        <w:rPr>
          <w:rFonts w:ascii="Arial" w:hAnsi="Arial" w:cs="Arial"/>
          <w:color w:val="000000"/>
        </w:rPr>
        <w:t xml:space="preserve">AW8 </w:t>
      </w:r>
      <w:r>
        <w:rPr>
          <w:rFonts w:ascii="Arial" w:hAnsi="Arial" w:cs="Arial"/>
          <w:color w:val="000000"/>
        </w:rPr>
        <w:t>retirement application form</w:t>
      </w:r>
      <w:r w:rsidR="001538B2">
        <w:rPr>
          <w:rFonts w:ascii="Arial" w:hAnsi="Arial" w:cs="Arial"/>
          <w:color w:val="000000"/>
        </w:rPr>
        <w:t xml:space="preserve"> considered against</w:t>
      </w:r>
      <w:r>
        <w:rPr>
          <w:rFonts w:ascii="Arial" w:hAnsi="Arial" w:cs="Arial"/>
          <w:color w:val="000000"/>
        </w:rPr>
        <w:t xml:space="preserve"> </w:t>
      </w:r>
      <w:r w:rsidRPr="0043311D">
        <w:rPr>
          <w:rFonts w:ascii="Arial" w:hAnsi="Arial" w:cs="Arial"/>
          <w:color w:val="000000"/>
        </w:rPr>
        <w:t>the member’s annual rate of pay at last day of service. For part-timers the highest actual pay may be in a different year to the whole time equivalent</w:t>
      </w:r>
      <w:r>
        <w:rPr>
          <w:rFonts w:ascii="Arial" w:hAnsi="Arial" w:cs="Arial"/>
          <w:color w:val="000000"/>
        </w:rPr>
        <w:t>.</w:t>
      </w:r>
      <w:r w:rsidR="001538B2">
        <w:rPr>
          <w:rFonts w:ascii="Arial" w:hAnsi="Arial" w:cs="Arial"/>
          <w:color w:val="000000"/>
        </w:rPr>
        <w:t xml:space="preserve"> </w:t>
      </w:r>
      <w:r w:rsidR="004F5C5D">
        <w:rPr>
          <w:rFonts w:ascii="Arial" w:hAnsi="Arial" w:cs="Arial"/>
          <w:color w:val="000000"/>
        </w:rPr>
        <w:t>Whichever out</w:t>
      </w:r>
      <w:r w:rsidR="001538B2">
        <w:rPr>
          <w:rFonts w:ascii="Arial" w:hAnsi="Arial" w:cs="Arial"/>
          <w:color w:val="000000"/>
        </w:rPr>
        <w:t xml:space="preserve"> of the pensionable pay or annual rate is the highest will be deemed as the member’s pre-retirement earnings.</w:t>
      </w:r>
      <w:r>
        <w:rPr>
          <w:rFonts w:ascii="Arial" w:hAnsi="Arial" w:cs="Arial"/>
          <w:color w:val="000000"/>
        </w:rPr>
        <w:t xml:space="preserve"> </w:t>
      </w:r>
    </w:p>
    <w:p w14:paraId="3E146933" w14:textId="77777777" w:rsidR="009B3B48" w:rsidRDefault="009B3B48" w:rsidP="009B3B48">
      <w:pPr>
        <w:shd w:val="clear" w:color="auto" w:fill="FFFFFF"/>
        <w:spacing w:after="0"/>
        <w:ind w:right="150"/>
        <w:rPr>
          <w:rFonts w:ascii="Arial" w:hAnsi="Arial" w:cs="Arial"/>
          <w:bCs/>
        </w:rPr>
      </w:pPr>
      <w:r>
        <w:rPr>
          <w:rFonts w:ascii="Arial" w:hAnsi="Arial" w:cs="Arial"/>
          <w:bCs/>
        </w:rPr>
        <w:t>If their new earnings on re employment and their pension exceeded their earnings prior to their retirement,</w:t>
      </w:r>
      <w:r w:rsidRPr="005F173A">
        <w:rPr>
          <w:rFonts w:ascii="Arial" w:hAnsi="Arial" w:cs="Arial"/>
          <w:bCs/>
        </w:rPr>
        <w:t xml:space="preserve"> their pension would be abate</w:t>
      </w:r>
      <w:r>
        <w:rPr>
          <w:rFonts w:ascii="Arial" w:hAnsi="Arial" w:cs="Arial"/>
          <w:bCs/>
        </w:rPr>
        <w:t>d £1 for £1 until age 60. The pre-retirement earnings are subject to cost of living increases where applicable each year.</w:t>
      </w:r>
    </w:p>
    <w:p w14:paraId="301496C8" w14:textId="77777777" w:rsidR="009B3B48" w:rsidRDefault="009B3B48" w:rsidP="001501B0">
      <w:pPr>
        <w:pStyle w:val="BodyText2"/>
        <w:tabs>
          <w:tab w:val="left" w:pos="1134"/>
          <w:tab w:val="left" w:pos="1560"/>
          <w:tab w:val="left" w:pos="2127"/>
        </w:tabs>
        <w:rPr>
          <w:sz w:val="22"/>
        </w:rPr>
      </w:pPr>
    </w:p>
    <w:p w14:paraId="20E9348D" w14:textId="77777777" w:rsidR="00AE54E1" w:rsidRDefault="00AE54E1" w:rsidP="001501B0">
      <w:pPr>
        <w:pStyle w:val="BodyText2"/>
        <w:tabs>
          <w:tab w:val="left" w:pos="1134"/>
          <w:tab w:val="left" w:pos="1560"/>
          <w:tab w:val="left" w:pos="2127"/>
        </w:tabs>
        <w:rPr>
          <w:sz w:val="22"/>
        </w:rPr>
      </w:pPr>
    </w:p>
    <w:p w14:paraId="2D91BA0C" w14:textId="77777777" w:rsidR="00D801FA" w:rsidRDefault="00AE54E1" w:rsidP="001501B0">
      <w:pPr>
        <w:pStyle w:val="BodyText2"/>
        <w:tabs>
          <w:tab w:val="left" w:pos="1134"/>
          <w:tab w:val="left" w:pos="1560"/>
          <w:tab w:val="left" w:pos="2127"/>
        </w:tabs>
        <w:rPr>
          <w:sz w:val="22"/>
        </w:rPr>
        <w:sectPr w:rsidR="00D801FA" w:rsidSect="0036294C">
          <w:pgSz w:w="11906" w:h="16838" w:code="9"/>
          <w:pgMar w:top="1440" w:right="1077" w:bottom="1440" w:left="1077" w:header="709" w:footer="590" w:gutter="0"/>
          <w:cols w:space="708"/>
          <w:docGrid w:linePitch="360"/>
        </w:sectPr>
      </w:pPr>
      <w:r w:rsidRPr="001374D1">
        <w:rPr>
          <w:b/>
          <w:bCs w:val="0"/>
          <w:sz w:val="22"/>
        </w:rPr>
        <w:t>Important</w:t>
      </w:r>
      <w:r w:rsidRPr="001374D1">
        <w:rPr>
          <w:sz w:val="22"/>
        </w:rPr>
        <w:t xml:space="preserve">: The new abatement formula applies to members of the special classes in receipt of ill health or redundancy benefits because they did not retire under the special </w:t>
      </w:r>
      <w:proofErr w:type="gramStart"/>
      <w:r w:rsidRPr="001374D1">
        <w:rPr>
          <w:sz w:val="22"/>
        </w:rPr>
        <w:t>classes</w:t>
      </w:r>
      <w:proofErr w:type="gramEnd"/>
      <w:r w:rsidRPr="001374D1">
        <w:rPr>
          <w:sz w:val="22"/>
        </w:rPr>
        <w:t xml:space="preserve"> early retirement provisions. If the last</w:t>
      </w:r>
      <w:r w:rsidR="001374D1">
        <w:rPr>
          <w:sz w:val="22"/>
        </w:rPr>
        <w:t xml:space="preserve"> day of membership is prior to </w:t>
      </w:r>
      <w:r w:rsidRPr="001374D1">
        <w:rPr>
          <w:sz w:val="22"/>
        </w:rPr>
        <w:t xml:space="preserve">1 April 2008 then the previous abatement formula is applied.      </w:t>
      </w:r>
    </w:p>
    <w:p w14:paraId="4A9B3A5F" w14:textId="77777777" w:rsidR="00BC2ACA" w:rsidRPr="00246011" w:rsidRDefault="00BC2ACA" w:rsidP="001501B0">
      <w:pPr>
        <w:pStyle w:val="Heading1"/>
        <w:tabs>
          <w:tab w:val="left" w:pos="1134"/>
          <w:tab w:val="left" w:pos="1560"/>
          <w:tab w:val="left" w:pos="2127"/>
        </w:tabs>
      </w:pPr>
      <w:bookmarkStart w:id="5" w:name="_Toc492453611"/>
      <w:r w:rsidRPr="00246011">
        <w:lastRenderedPageBreak/>
        <w:t>How is abatement calculated under the new formula?</w:t>
      </w:r>
      <w:bookmarkEnd w:id="5"/>
    </w:p>
    <w:p w14:paraId="401B2A73"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6D3852BE" w14:textId="77777777" w:rsidR="00BC2ACA" w:rsidRPr="007E5E16"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7E5E16">
        <w:rPr>
          <w:rFonts w:ascii="Arial" w:hAnsi="Arial" w:cs="Arial"/>
          <w:color w:val="000000"/>
        </w:rPr>
        <w:t xml:space="preserve">Abatement will apply if the: </w:t>
      </w:r>
    </w:p>
    <w:p w14:paraId="24CB427A" w14:textId="77777777" w:rsidR="00BC2ACA" w:rsidRPr="007E5E16"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24C21B1D" w14:textId="77777777" w:rsidR="00BC2ACA" w:rsidRDefault="00BC2ACA" w:rsidP="001501B0">
      <w:pPr>
        <w:tabs>
          <w:tab w:val="left" w:pos="1134"/>
          <w:tab w:val="left" w:pos="1560"/>
          <w:tab w:val="left" w:pos="2127"/>
        </w:tabs>
        <w:spacing w:after="0"/>
        <w:rPr>
          <w:rFonts w:ascii="Arial" w:hAnsi="Arial" w:cs="Arial"/>
          <w:color w:val="000000"/>
        </w:rPr>
      </w:pPr>
      <w:r w:rsidRPr="00E07230">
        <w:rPr>
          <w:rFonts w:ascii="Arial" w:hAnsi="Arial" w:cs="Arial"/>
          <w:color w:val="000000"/>
        </w:rPr>
        <w:t xml:space="preserve">Unearned Pension + New Earnings </w:t>
      </w:r>
      <w:r w:rsidR="002E3A7C">
        <w:rPr>
          <w:rFonts w:ascii="Arial" w:hAnsi="Arial" w:cs="Arial"/>
          <w:color w:val="000000"/>
        </w:rPr>
        <w:t>=</w:t>
      </w:r>
      <w:r w:rsidRPr="00E07230">
        <w:rPr>
          <w:rFonts w:ascii="Arial" w:hAnsi="Arial" w:cs="Arial"/>
          <w:color w:val="000000"/>
        </w:rPr>
        <w:t xml:space="preserve"> more than the Previous Pay.</w:t>
      </w:r>
    </w:p>
    <w:p w14:paraId="4596E460" w14:textId="77777777" w:rsidR="001C60B8" w:rsidRPr="00E07230" w:rsidRDefault="001C60B8" w:rsidP="001501B0">
      <w:pPr>
        <w:tabs>
          <w:tab w:val="left" w:pos="1134"/>
          <w:tab w:val="left" w:pos="1560"/>
          <w:tab w:val="left" w:pos="2127"/>
        </w:tabs>
        <w:spacing w:after="0"/>
        <w:rPr>
          <w:rFonts w:ascii="Arial" w:hAnsi="Arial" w:cs="Arial"/>
          <w:color w:val="000000"/>
        </w:rPr>
      </w:pPr>
    </w:p>
    <w:p w14:paraId="48C42399" w14:textId="77777777" w:rsidR="00BC2ACA" w:rsidRPr="001C60B8" w:rsidRDefault="00BC2ACA" w:rsidP="001A0BC8">
      <w:pPr>
        <w:pStyle w:val="Heading2"/>
      </w:pPr>
      <w:bookmarkStart w:id="6" w:name="_Toc492453612"/>
      <w:r w:rsidRPr="001C60B8">
        <w:t>Calculation for members in the 1995 Section:</w:t>
      </w:r>
      <w:bookmarkEnd w:id="6"/>
    </w:p>
    <w:p w14:paraId="27966D90" w14:textId="77777777" w:rsidR="001374D1" w:rsidRPr="001374D1" w:rsidRDefault="001374D1" w:rsidP="001501B0">
      <w:pPr>
        <w:pStyle w:val="Default"/>
        <w:tabs>
          <w:tab w:val="left" w:pos="1134"/>
          <w:tab w:val="left" w:pos="1560"/>
          <w:tab w:val="left" w:pos="2127"/>
        </w:tabs>
        <w:spacing w:line="276" w:lineRule="auto"/>
        <w:rPr>
          <w:b/>
          <w:color w:val="auto"/>
          <w:sz w:val="22"/>
          <w:szCs w:val="22"/>
        </w:rPr>
      </w:pPr>
    </w:p>
    <w:p w14:paraId="50F60401" w14:textId="77777777" w:rsidR="00317F10" w:rsidRDefault="00317F10" w:rsidP="001501B0">
      <w:pPr>
        <w:tabs>
          <w:tab w:val="left" w:pos="1134"/>
          <w:tab w:val="left" w:pos="1560"/>
          <w:tab w:val="left" w:pos="2127"/>
        </w:tabs>
        <w:spacing w:after="0"/>
        <w:rPr>
          <w:rFonts w:ascii="Arial" w:hAnsi="Arial" w:cs="Arial"/>
        </w:rPr>
      </w:pPr>
      <w:r w:rsidRPr="00754E10">
        <w:rPr>
          <w:rFonts w:ascii="Arial" w:hAnsi="Arial" w:cs="Arial"/>
        </w:rPr>
        <w:t xml:space="preserve">Where abatement applies in the </w:t>
      </w:r>
      <w:r w:rsidR="001374D1">
        <w:rPr>
          <w:rFonts w:ascii="Arial" w:hAnsi="Arial" w:cs="Arial"/>
        </w:rPr>
        <w:t>1995</w:t>
      </w:r>
      <w:r w:rsidRPr="00754E10">
        <w:rPr>
          <w:rFonts w:ascii="Arial" w:hAnsi="Arial" w:cs="Arial"/>
        </w:rPr>
        <w:t xml:space="preserve"> Section it will continue unt</w:t>
      </w:r>
      <w:r>
        <w:rPr>
          <w:rFonts w:ascii="Arial" w:hAnsi="Arial" w:cs="Arial"/>
        </w:rPr>
        <w:t>il the pensioner reaches age 60.</w:t>
      </w:r>
    </w:p>
    <w:p w14:paraId="09047A46" w14:textId="77777777" w:rsidR="001A4031" w:rsidRDefault="001A4031" w:rsidP="001501B0">
      <w:pPr>
        <w:tabs>
          <w:tab w:val="left" w:pos="1134"/>
          <w:tab w:val="left" w:pos="1560"/>
          <w:tab w:val="left" w:pos="2127"/>
        </w:tabs>
        <w:spacing w:after="0"/>
        <w:rPr>
          <w:rFonts w:ascii="Arial" w:hAnsi="Arial" w:cs="Arial"/>
        </w:rPr>
      </w:pPr>
    </w:p>
    <w:p w14:paraId="0BD39617" w14:textId="77777777" w:rsidR="00D801FA" w:rsidRDefault="001A4031" w:rsidP="001501B0">
      <w:pPr>
        <w:tabs>
          <w:tab w:val="left" w:pos="1134"/>
          <w:tab w:val="left" w:pos="1560"/>
          <w:tab w:val="left" w:pos="2127"/>
        </w:tabs>
        <w:spacing w:after="0"/>
        <w:rPr>
          <w:rFonts w:ascii="Arial" w:hAnsi="Arial" w:cs="Arial"/>
          <w:b/>
          <w:color w:val="000000"/>
        </w:rPr>
      </w:pPr>
      <w:r w:rsidRPr="001A4031">
        <w:rPr>
          <w:noProof/>
          <w:lang w:eastAsia="en-GB"/>
        </w:rPr>
        <w:drawing>
          <wp:anchor distT="0" distB="0" distL="114300" distR="114300" simplePos="0" relativeHeight="251658244" behindDoc="1" locked="0" layoutInCell="1" allowOverlap="1" wp14:anchorId="42E3992B" wp14:editId="3077DDB0">
            <wp:simplePos x="0" y="0"/>
            <wp:positionH relativeFrom="column">
              <wp:posOffset>1905</wp:posOffset>
            </wp:positionH>
            <wp:positionV relativeFrom="paragraph">
              <wp:posOffset>57150</wp:posOffset>
            </wp:positionV>
            <wp:extent cx="539750" cy="377190"/>
            <wp:effectExtent l="0" t="0" r="0" b="3810"/>
            <wp:wrapTight wrapText="bothSides">
              <wp:wrapPolygon edited="0">
                <wp:start x="2287" y="0"/>
                <wp:lineTo x="0" y="3273"/>
                <wp:lineTo x="0" y="15273"/>
                <wp:lineTo x="2287" y="20727"/>
                <wp:lineTo x="11435" y="20727"/>
                <wp:lineTo x="13722" y="17455"/>
                <wp:lineTo x="20584" y="12000"/>
                <wp:lineTo x="20584" y="9818"/>
                <wp:lineTo x="11435" y="0"/>
                <wp:lineTo x="2287"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75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031">
        <w:rPr>
          <w:noProof/>
          <w:lang w:eastAsia="en-GB"/>
        </w:rPr>
        <w:drawing>
          <wp:anchor distT="0" distB="0" distL="114300" distR="114300" simplePos="0" relativeHeight="251658245" behindDoc="1" locked="0" layoutInCell="1" allowOverlap="1" wp14:anchorId="01808554" wp14:editId="3A879992">
            <wp:simplePos x="0" y="0"/>
            <wp:positionH relativeFrom="column">
              <wp:posOffset>3175</wp:posOffset>
            </wp:positionH>
            <wp:positionV relativeFrom="paragraph">
              <wp:posOffset>3188970</wp:posOffset>
            </wp:positionV>
            <wp:extent cx="539750" cy="377190"/>
            <wp:effectExtent l="0" t="0" r="0" b="3810"/>
            <wp:wrapTight wrapText="bothSides">
              <wp:wrapPolygon edited="0">
                <wp:start x="2287" y="0"/>
                <wp:lineTo x="0" y="3273"/>
                <wp:lineTo x="0" y="15273"/>
                <wp:lineTo x="2287" y="20727"/>
                <wp:lineTo x="11435" y="20727"/>
                <wp:lineTo x="13722" y="17455"/>
                <wp:lineTo x="20584" y="12000"/>
                <wp:lineTo x="20584" y="9818"/>
                <wp:lineTo x="11435" y="0"/>
                <wp:lineTo x="2287"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75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031">
        <w:rPr>
          <w:noProof/>
          <w:lang w:eastAsia="en-GB"/>
        </w:rPr>
        <w:drawing>
          <wp:anchor distT="0" distB="0" distL="114300" distR="114300" simplePos="0" relativeHeight="251658246" behindDoc="1" locked="0" layoutInCell="1" allowOverlap="1" wp14:anchorId="7F1B3666" wp14:editId="5202F3D8">
            <wp:simplePos x="0" y="0"/>
            <wp:positionH relativeFrom="column">
              <wp:posOffset>5080</wp:posOffset>
            </wp:positionH>
            <wp:positionV relativeFrom="paragraph">
              <wp:posOffset>4303395</wp:posOffset>
            </wp:positionV>
            <wp:extent cx="539750" cy="377190"/>
            <wp:effectExtent l="0" t="0" r="0" b="3810"/>
            <wp:wrapTight wrapText="bothSides">
              <wp:wrapPolygon edited="0">
                <wp:start x="2287" y="0"/>
                <wp:lineTo x="0" y="3273"/>
                <wp:lineTo x="0" y="15273"/>
                <wp:lineTo x="2287" y="20727"/>
                <wp:lineTo x="11435" y="20727"/>
                <wp:lineTo x="13722" y="17455"/>
                <wp:lineTo x="20584" y="12000"/>
                <wp:lineTo x="20584" y="9818"/>
                <wp:lineTo x="11435" y="0"/>
                <wp:lineTo x="2287"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750"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1AED8" w14:textId="77777777" w:rsidR="002E3A7C" w:rsidRPr="001374D1" w:rsidRDefault="00BC2ACA" w:rsidP="001501B0">
      <w:pPr>
        <w:tabs>
          <w:tab w:val="left" w:pos="1134"/>
          <w:tab w:val="left" w:pos="1560"/>
          <w:tab w:val="left" w:pos="2127"/>
        </w:tabs>
        <w:spacing w:after="0"/>
        <w:rPr>
          <w:rFonts w:ascii="Arial" w:hAnsi="Arial" w:cs="Arial"/>
          <w:b/>
          <w:color w:val="000000"/>
        </w:rPr>
      </w:pPr>
      <w:r w:rsidRPr="001A4031">
        <w:rPr>
          <w:rFonts w:ascii="Arial" w:hAnsi="Arial" w:cs="Arial"/>
          <w:b/>
        </w:rPr>
        <w:t xml:space="preserve">Step </w:t>
      </w:r>
      <w:r w:rsidR="00590CDB" w:rsidRPr="001A4031">
        <w:rPr>
          <w:rFonts w:ascii="Arial" w:hAnsi="Arial" w:cs="Arial"/>
          <w:b/>
        </w:rPr>
        <w:t>1</w:t>
      </w:r>
      <w:r w:rsidR="001A4031" w:rsidRPr="001A4031">
        <w:rPr>
          <w:rFonts w:ascii="Arial" w:hAnsi="Arial" w:cs="Arial"/>
          <w:b/>
        </w:rPr>
        <w:t xml:space="preserve"> - </w:t>
      </w:r>
      <w:r w:rsidR="002E3A7C" w:rsidRPr="001374D1">
        <w:rPr>
          <w:rFonts w:ascii="Arial" w:hAnsi="Arial" w:cs="Arial"/>
          <w:b/>
          <w:color w:val="000000"/>
        </w:rPr>
        <w:t>Calculate the unearned pension</w:t>
      </w:r>
    </w:p>
    <w:p w14:paraId="400D810A" w14:textId="77777777" w:rsidR="001374D1" w:rsidRDefault="001374D1" w:rsidP="001501B0">
      <w:pPr>
        <w:tabs>
          <w:tab w:val="left" w:pos="1134"/>
          <w:tab w:val="left" w:pos="1560"/>
          <w:tab w:val="left" w:pos="2127"/>
        </w:tabs>
        <w:spacing w:after="0"/>
        <w:rPr>
          <w:rFonts w:ascii="Arial" w:hAnsi="Arial" w:cs="Arial"/>
          <w:color w:val="000000"/>
        </w:rPr>
      </w:pPr>
    </w:p>
    <w:p w14:paraId="611C3E0A" w14:textId="77777777" w:rsidR="00F5445C" w:rsidRDefault="00F5445C" w:rsidP="001501B0">
      <w:pPr>
        <w:tabs>
          <w:tab w:val="left" w:pos="1134"/>
          <w:tab w:val="left" w:pos="1560"/>
          <w:tab w:val="left" w:pos="2127"/>
        </w:tabs>
        <w:spacing w:after="0"/>
        <w:rPr>
          <w:rFonts w:ascii="Arial" w:hAnsi="Arial" w:cs="Arial"/>
          <w:color w:val="000000"/>
        </w:rPr>
      </w:pPr>
      <w:r>
        <w:rPr>
          <w:rFonts w:ascii="Arial" w:hAnsi="Arial" w:cs="Arial"/>
          <w:color w:val="000000"/>
        </w:rPr>
        <w:t>This</w:t>
      </w:r>
      <w:r w:rsidRPr="007E5E16">
        <w:rPr>
          <w:rFonts w:ascii="Arial" w:hAnsi="Arial" w:cs="Arial"/>
          <w:color w:val="000000"/>
        </w:rPr>
        <w:t xml:space="preserve"> is the difference between the pension the member became entitled to at retirement and an actuarially reduced pension calculated at the same date.</w:t>
      </w:r>
    </w:p>
    <w:p w14:paraId="1384E492" w14:textId="77777777" w:rsidR="00D801FA" w:rsidRDefault="00D801FA" w:rsidP="001501B0">
      <w:pPr>
        <w:tabs>
          <w:tab w:val="left" w:pos="1134"/>
          <w:tab w:val="left" w:pos="1560"/>
          <w:tab w:val="left" w:pos="2127"/>
        </w:tabs>
        <w:spacing w:after="0"/>
        <w:rPr>
          <w:rFonts w:ascii="Arial" w:hAnsi="Arial" w:cs="Arial"/>
          <w:color w:val="000000"/>
        </w:rPr>
      </w:pPr>
    </w:p>
    <w:p w14:paraId="6C416DD5" w14:textId="77777777" w:rsidR="00BC2ACA" w:rsidRDefault="00BC2ACA" w:rsidP="001501B0">
      <w:pPr>
        <w:tabs>
          <w:tab w:val="left" w:pos="1134"/>
          <w:tab w:val="left" w:pos="1560"/>
          <w:tab w:val="left" w:pos="2127"/>
        </w:tabs>
        <w:spacing w:after="0"/>
        <w:rPr>
          <w:rFonts w:ascii="Arial" w:hAnsi="Arial" w:cs="Arial"/>
          <w:color w:val="000000"/>
        </w:rPr>
      </w:pPr>
      <w:r w:rsidRPr="00E07230">
        <w:rPr>
          <w:rFonts w:ascii="Arial" w:hAnsi="Arial" w:cs="Arial"/>
          <w:color w:val="000000"/>
        </w:rPr>
        <w:t>The calculation includes pension commuted to provide a lump sum but excludes</w:t>
      </w:r>
      <w:r>
        <w:rPr>
          <w:rFonts w:ascii="Arial" w:hAnsi="Arial" w:cs="Arial"/>
          <w:color w:val="000000"/>
        </w:rPr>
        <w:t xml:space="preserve"> e</w:t>
      </w:r>
      <w:r w:rsidRPr="007E5E16">
        <w:rPr>
          <w:rFonts w:ascii="Arial" w:hAnsi="Arial" w:cs="Arial"/>
          <w:color w:val="000000"/>
        </w:rPr>
        <w:t>xtra membership awarded in ill health retirement</w:t>
      </w:r>
      <w:r>
        <w:rPr>
          <w:rFonts w:ascii="Arial" w:hAnsi="Arial" w:cs="Arial"/>
          <w:color w:val="000000"/>
        </w:rPr>
        <w:t>.</w:t>
      </w:r>
      <w:r w:rsidRPr="007E5E16">
        <w:rPr>
          <w:rFonts w:ascii="Arial" w:hAnsi="Arial" w:cs="Arial"/>
          <w:color w:val="000000"/>
        </w:rPr>
        <w:t xml:space="preserve"> </w:t>
      </w:r>
    </w:p>
    <w:p w14:paraId="251F7872" w14:textId="77777777" w:rsidR="002E3A7C" w:rsidRPr="002E3A7C" w:rsidRDefault="002E3A7C" w:rsidP="001501B0">
      <w:pPr>
        <w:tabs>
          <w:tab w:val="left" w:pos="1134"/>
          <w:tab w:val="left" w:pos="1560"/>
          <w:tab w:val="left" w:pos="2127"/>
        </w:tabs>
        <w:spacing w:after="0"/>
        <w:rPr>
          <w:rFonts w:ascii="Arial" w:hAnsi="Arial" w:cs="Arial"/>
          <w:color w:val="000000"/>
        </w:rPr>
      </w:pPr>
    </w:p>
    <w:p w14:paraId="435C6ED4"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rPr>
      </w:pPr>
      <w:r>
        <w:rPr>
          <w:rFonts w:ascii="Arial" w:hAnsi="Arial" w:cs="Arial"/>
        </w:rPr>
        <w:t xml:space="preserve">The resulting pension is then multiplied by the relevant ‘factor’ which is taken from the appropriate </w:t>
      </w:r>
      <w:r w:rsidR="001374D1">
        <w:rPr>
          <w:rFonts w:ascii="Arial" w:hAnsi="Arial" w:cs="Arial"/>
        </w:rPr>
        <w:t>f</w:t>
      </w:r>
      <w:r>
        <w:rPr>
          <w:rFonts w:ascii="Arial" w:hAnsi="Arial" w:cs="Arial"/>
        </w:rPr>
        <w:t xml:space="preserve">actor </w:t>
      </w:r>
      <w:r w:rsidR="001374D1">
        <w:rPr>
          <w:rFonts w:ascii="Arial" w:hAnsi="Arial" w:cs="Arial"/>
        </w:rPr>
        <w:t>t</w:t>
      </w:r>
      <w:r>
        <w:rPr>
          <w:rFonts w:ascii="Arial" w:hAnsi="Arial" w:cs="Arial"/>
        </w:rPr>
        <w:t xml:space="preserve">able (provided by </w:t>
      </w:r>
      <w:r w:rsidR="00317F10">
        <w:rPr>
          <w:rFonts w:ascii="Arial" w:hAnsi="Arial" w:cs="Arial"/>
          <w:color w:val="000000"/>
        </w:rPr>
        <w:t>the Scheme’s Actuary</w:t>
      </w:r>
      <w:r w:rsidRPr="00A66FB3">
        <w:rPr>
          <w:rFonts w:ascii="Arial" w:hAnsi="Arial" w:cs="Arial"/>
          <w:color w:val="000000"/>
        </w:rPr>
        <w:t>)</w:t>
      </w:r>
      <w:r>
        <w:rPr>
          <w:rFonts w:ascii="Arial" w:hAnsi="Arial" w:cs="Arial"/>
        </w:rPr>
        <w:t xml:space="preserve">. </w:t>
      </w:r>
      <w:r w:rsidRPr="00471972">
        <w:rPr>
          <w:rFonts w:ascii="Arial" w:hAnsi="Arial" w:cs="Arial"/>
        </w:rPr>
        <w:t xml:space="preserve">The product </w:t>
      </w:r>
      <w:r>
        <w:rPr>
          <w:rFonts w:ascii="Arial" w:hAnsi="Arial" w:cs="Arial"/>
        </w:rPr>
        <w:t xml:space="preserve">of this </w:t>
      </w:r>
      <w:r w:rsidRPr="00471972">
        <w:rPr>
          <w:rFonts w:ascii="Arial" w:hAnsi="Arial" w:cs="Arial"/>
        </w:rPr>
        <w:t xml:space="preserve">is the </w:t>
      </w:r>
      <w:r w:rsidRPr="00471972">
        <w:rPr>
          <w:rFonts w:ascii="Arial" w:hAnsi="Arial" w:cs="Arial"/>
          <w:b/>
        </w:rPr>
        <w:t>earned</w:t>
      </w:r>
      <w:r w:rsidRPr="00471972">
        <w:rPr>
          <w:rFonts w:ascii="Arial" w:hAnsi="Arial" w:cs="Arial"/>
        </w:rPr>
        <w:t xml:space="preserve"> part of the pension.</w:t>
      </w:r>
    </w:p>
    <w:p w14:paraId="4C148472" w14:textId="77777777" w:rsidR="00BC2ACA" w:rsidRPr="008B321F"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4A29E38D" w14:textId="77777777" w:rsidR="00BC2ACA" w:rsidRDefault="00BC2ACA" w:rsidP="001501B0">
      <w:pPr>
        <w:tabs>
          <w:tab w:val="left" w:pos="1134"/>
          <w:tab w:val="left" w:pos="1560"/>
          <w:tab w:val="left" w:pos="2127"/>
        </w:tabs>
        <w:spacing w:after="0"/>
        <w:rPr>
          <w:rFonts w:ascii="Arial" w:hAnsi="Arial" w:cs="Arial"/>
        </w:rPr>
      </w:pPr>
      <w:r>
        <w:rPr>
          <w:rFonts w:ascii="Arial" w:hAnsi="Arial" w:cs="Arial"/>
        </w:rPr>
        <w:t xml:space="preserve">The earned pension is then deducted from the pension that the member was entitled to at retirement. Any extra pension awarded for ill health retirement/transitional redundancy is included and the product is the </w:t>
      </w:r>
      <w:r w:rsidRPr="00471972">
        <w:rPr>
          <w:rFonts w:ascii="Arial" w:hAnsi="Arial" w:cs="Arial"/>
          <w:b/>
        </w:rPr>
        <w:t xml:space="preserve">unearned </w:t>
      </w:r>
      <w:r>
        <w:rPr>
          <w:rFonts w:ascii="Arial" w:hAnsi="Arial" w:cs="Arial"/>
        </w:rPr>
        <w:t xml:space="preserve">pension. </w:t>
      </w:r>
    </w:p>
    <w:p w14:paraId="440B85C5" w14:textId="77777777" w:rsidR="001A4031" w:rsidRDefault="001A4031" w:rsidP="001501B0">
      <w:pPr>
        <w:tabs>
          <w:tab w:val="left" w:pos="1134"/>
          <w:tab w:val="left" w:pos="1560"/>
          <w:tab w:val="left" w:pos="2127"/>
        </w:tabs>
        <w:spacing w:after="0"/>
        <w:rPr>
          <w:rFonts w:ascii="Arial" w:hAnsi="Arial" w:cs="Arial"/>
        </w:rPr>
      </w:pPr>
    </w:p>
    <w:p w14:paraId="09179F7A" w14:textId="77777777" w:rsidR="00D801FA" w:rsidRDefault="00D801FA" w:rsidP="001501B0">
      <w:pPr>
        <w:tabs>
          <w:tab w:val="left" w:pos="1134"/>
          <w:tab w:val="left" w:pos="1560"/>
          <w:tab w:val="left" w:pos="2127"/>
        </w:tabs>
        <w:autoSpaceDE w:val="0"/>
        <w:autoSpaceDN w:val="0"/>
        <w:adjustRightInd w:val="0"/>
        <w:spacing w:after="0"/>
        <w:rPr>
          <w:rFonts w:ascii="Arial" w:hAnsi="Arial" w:cs="Arial"/>
          <w:b/>
          <w:bCs/>
          <w:color w:val="000000"/>
        </w:rPr>
      </w:pPr>
    </w:p>
    <w:p w14:paraId="6A4DB4AE"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1A4031">
        <w:rPr>
          <w:rFonts w:ascii="Arial" w:hAnsi="Arial" w:cs="Arial"/>
          <w:b/>
          <w:bCs/>
        </w:rPr>
        <w:t>Step 2</w:t>
      </w:r>
      <w:r w:rsidR="001A4031">
        <w:rPr>
          <w:rFonts w:ascii="Arial" w:hAnsi="Arial" w:cs="Arial"/>
          <w:b/>
          <w:bCs/>
        </w:rPr>
        <w:t xml:space="preserve"> - </w:t>
      </w:r>
      <w:r w:rsidRPr="001A4031">
        <w:rPr>
          <w:rFonts w:ascii="Arial" w:hAnsi="Arial" w:cs="Arial"/>
          <w:b/>
        </w:rPr>
        <w:t xml:space="preserve">Calculate </w:t>
      </w:r>
      <w:r w:rsidRPr="001374D1">
        <w:rPr>
          <w:rFonts w:ascii="Arial" w:hAnsi="Arial" w:cs="Arial"/>
          <w:b/>
          <w:color w:val="000000"/>
        </w:rPr>
        <w:t xml:space="preserve">the </w:t>
      </w:r>
      <w:r w:rsidR="001374D1" w:rsidRPr="001374D1">
        <w:rPr>
          <w:rFonts w:ascii="Arial" w:hAnsi="Arial" w:cs="Arial"/>
          <w:b/>
          <w:color w:val="000000"/>
        </w:rPr>
        <w:t>new earnings</w:t>
      </w:r>
      <w:r w:rsidRPr="008B321F">
        <w:rPr>
          <w:rFonts w:ascii="Arial" w:hAnsi="Arial" w:cs="Arial"/>
          <w:color w:val="000000"/>
        </w:rPr>
        <w:t xml:space="preserve"> </w:t>
      </w:r>
    </w:p>
    <w:p w14:paraId="42195B3E" w14:textId="77777777" w:rsidR="001374D1" w:rsidRPr="008B321F" w:rsidRDefault="001374D1" w:rsidP="001501B0">
      <w:pPr>
        <w:tabs>
          <w:tab w:val="left" w:pos="1134"/>
          <w:tab w:val="left" w:pos="1560"/>
          <w:tab w:val="left" w:pos="2127"/>
        </w:tabs>
        <w:autoSpaceDE w:val="0"/>
        <w:autoSpaceDN w:val="0"/>
        <w:adjustRightInd w:val="0"/>
        <w:spacing w:after="0"/>
        <w:rPr>
          <w:rFonts w:ascii="Arial" w:hAnsi="Arial" w:cs="Arial"/>
          <w:color w:val="000000"/>
        </w:rPr>
      </w:pPr>
    </w:p>
    <w:p w14:paraId="61CE1FCE"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8B321F">
        <w:rPr>
          <w:rFonts w:ascii="Arial" w:hAnsi="Arial" w:cs="Arial"/>
          <w:color w:val="000000"/>
        </w:rPr>
        <w:t xml:space="preserve">These are the NHS earnings that the member is receiving following retirement. Earnings from both new and continuing employments must be included in the calculation. </w:t>
      </w:r>
    </w:p>
    <w:p w14:paraId="3BA70A36"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color w:val="000000"/>
        </w:rPr>
      </w:pPr>
    </w:p>
    <w:p w14:paraId="123F946F" w14:textId="77777777" w:rsidR="00BC2ACA" w:rsidRPr="008B321F"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2C2E1F7F"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1A4031">
        <w:rPr>
          <w:rFonts w:ascii="Arial" w:hAnsi="Arial" w:cs="Arial"/>
          <w:b/>
          <w:bCs/>
        </w:rPr>
        <w:t>Step 3</w:t>
      </w:r>
      <w:r w:rsidR="001374D1" w:rsidRPr="001A4031">
        <w:rPr>
          <w:rFonts w:ascii="Arial" w:hAnsi="Arial" w:cs="Arial"/>
          <w:b/>
          <w:bCs/>
        </w:rPr>
        <w:t xml:space="preserve"> </w:t>
      </w:r>
      <w:r w:rsidR="00A14D26" w:rsidRPr="001A4031">
        <w:rPr>
          <w:rFonts w:ascii="Arial" w:hAnsi="Arial" w:cs="Arial"/>
          <w:b/>
        </w:rPr>
        <w:tab/>
        <w:t>C</w:t>
      </w:r>
      <w:r w:rsidR="001374D1" w:rsidRPr="001A4031">
        <w:rPr>
          <w:rFonts w:ascii="Arial" w:hAnsi="Arial" w:cs="Arial"/>
          <w:b/>
        </w:rPr>
        <w:t xml:space="preserve">alculate </w:t>
      </w:r>
      <w:r w:rsidR="001374D1" w:rsidRPr="001374D1">
        <w:rPr>
          <w:rFonts w:ascii="Arial" w:hAnsi="Arial" w:cs="Arial"/>
          <w:b/>
          <w:color w:val="000000"/>
        </w:rPr>
        <w:t>the previous pay</w:t>
      </w:r>
    </w:p>
    <w:p w14:paraId="007B1552" w14:textId="77777777" w:rsidR="001374D1" w:rsidRPr="008B321F" w:rsidRDefault="001374D1" w:rsidP="001501B0">
      <w:pPr>
        <w:tabs>
          <w:tab w:val="left" w:pos="1134"/>
          <w:tab w:val="left" w:pos="1560"/>
          <w:tab w:val="left" w:pos="2127"/>
        </w:tabs>
        <w:autoSpaceDE w:val="0"/>
        <w:autoSpaceDN w:val="0"/>
        <w:adjustRightInd w:val="0"/>
        <w:spacing w:after="0"/>
        <w:rPr>
          <w:rFonts w:ascii="Arial" w:hAnsi="Arial" w:cs="Arial"/>
          <w:color w:val="000000"/>
        </w:rPr>
      </w:pPr>
    </w:p>
    <w:p w14:paraId="0CED9786"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8B321F">
        <w:rPr>
          <w:rFonts w:ascii="Arial" w:hAnsi="Arial" w:cs="Arial"/>
          <w:color w:val="000000"/>
        </w:rPr>
        <w:t>This is the NHS pay the member was receiving immediately befo</w:t>
      </w:r>
      <w:r w:rsidR="001374D1">
        <w:rPr>
          <w:rFonts w:ascii="Arial" w:hAnsi="Arial" w:cs="Arial"/>
          <w:color w:val="000000"/>
        </w:rPr>
        <w:t>re retirement. It can be either</w:t>
      </w:r>
      <w:r>
        <w:rPr>
          <w:rFonts w:ascii="Arial" w:hAnsi="Arial" w:cs="Arial"/>
          <w:color w:val="000000"/>
        </w:rPr>
        <w:t xml:space="preserve"> </w:t>
      </w:r>
      <w:r w:rsidR="001374D1">
        <w:rPr>
          <w:rFonts w:ascii="Arial" w:hAnsi="Arial" w:cs="Arial"/>
          <w:color w:val="000000"/>
        </w:rPr>
        <w:t>t</w:t>
      </w:r>
      <w:r w:rsidRPr="008B321F">
        <w:rPr>
          <w:rFonts w:ascii="Arial" w:hAnsi="Arial" w:cs="Arial"/>
          <w:color w:val="000000"/>
        </w:rPr>
        <w:t>h</w:t>
      </w:r>
      <w:r w:rsidR="001374D1">
        <w:rPr>
          <w:rFonts w:ascii="Arial" w:hAnsi="Arial" w:cs="Arial"/>
          <w:color w:val="000000"/>
        </w:rPr>
        <w:t>e final year’s pensionable pay*</w:t>
      </w:r>
      <w:r w:rsidRPr="008B321F">
        <w:rPr>
          <w:rFonts w:ascii="Arial" w:hAnsi="Arial" w:cs="Arial"/>
          <w:color w:val="000000"/>
        </w:rPr>
        <w:t xml:space="preserve"> or the annual rate of pay</w:t>
      </w:r>
      <w:r w:rsidR="001374D1">
        <w:rPr>
          <w:rFonts w:ascii="Arial" w:hAnsi="Arial" w:cs="Arial"/>
          <w:color w:val="000000"/>
        </w:rPr>
        <w:t>,</w:t>
      </w:r>
      <w:r w:rsidRPr="008B321F">
        <w:rPr>
          <w:rFonts w:ascii="Arial" w:hAnsi="Arial" w:cs="Arial"/>
          <w:color w:val="000000"/>
        </w:rPr>
        <w:t xml:space="preserve"> whichever is the greater. </w:t>
      </w:r>
    </w:p>
    <w:p w14:paraId="11DAB405" w14:textId="77777777" w:rsidR="001374D1" w:rsidRPr="008B321F" w:rsidRDefault="001374D1" w:rsidP="001501B0">
      <w:pPr>
        <w:tabs>
          <w:tab w:val="left" w:pos="1134"/>
          <w:tab w:val="left" w:pos="1560"/>
          <w:tab w:val="left" w:pos="2127"/>
        </w:tabs>
        <w:autoSpaceDE w:val="0"/>
        <w:autoSpaceDN w:val="0"/>
        <w:adjustRightInd w:val="0"/>
        <w:spacing w:after="0"/>
        <w:rPr>
          <w:rFonts w:ascii="Arial" w:hAnsi="Arial" w:cs="Arial"/>
          <w:color w:val="000000"/>
        </w:rPr>
      </w:pPr>
    </w:p>
    <w:p w14:paraId="0E38D59C"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8B321F">
        <w:rPr>
          <w:rFonts w:ascii="Arial" w:hAnsi="Arial" w:cs="Arial"/>
          <w:color w:val="000000"/>
        </w:rPr>
        <w:t>If abatement is required</w:t>
      </w:r>
      <w:r>
        <w:rPr>
          <w:rFonts w:ascii="Arial" w:hAnsi="Arial" w:cs="Arial"/>
          <w:color w:val="000000"/>
        </w:rPr>
        <w:t>,</w:t>
      </w:r>
      <w:r w:rsidRPr="008B321F">
        <w:rPr>
          <w:rFonts w:ascii="Arial" w:hAnsi="Arial" w:cs="Arial"/>
          <w:color w:val="000000"/>
        </w:rPr>
        <w:t xml:space="preserve"> the maximum reduction that can be applied is the value of unearned part of the pension. </w:t>
      </w:r>
    </w:p>
    <w:p w14:paraId="35677CD4" w14:textId="77777777" w:rsidR="00BC2ACA" w:rsidRPr="008B321F"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5E2CA738" w14:textId="77777777" w:rsidR="00BC2ACA" w:rsidRDefault="00BC2ACA" w:rsidP="001501B0">
      <w:pPr>
        <w:tabs>
          <w:tab w:val="left" w:pos="1134"/>
          <w:tab w:val="left" w:pos="1560"/>
          <w:tab w:val="left" w:pos="2127"/>
        </w:tabs>
        <w:spacing w:after="0"/>
        <w:rPr>
          <w:rFonts w:ascii="Arial" w:hAnsi="Arial" w:cs="Arial"/>
          <w:color w:val="000000"/>
        </w:rPr>
      </w:pPr>
      <w:r w:rsidRPr="008B321F">
        <w:rPr>
          <w:rFonts w:ascii="Arial" w:hAnsi="Arial" w:cs="Arial"/>
          <w:color w:val="000000"/>
        </w:rPr>
        <w:t>*Final year’s pensionable pay is defin</w:t>
      </w:r>
      <w:r w:rsidR="000C73FD">
        <w:rPr>
          <w:rFonts w:ascii="Arial" w:hAnsi="Arial" w:cs="Arial"/>
          <w:color w:val="000000"/>
        </w:rPr>
        <w:t>ed in the Scheme Regulations as</w:t>
      </w:r>
      <w:r w:rsidRPr="008B321F">
        <w:rPr>
          <w:rFonts w:ascii="Arial" w:hAnsi="Arial" w:cs="Arial"/>
          <w:color w:val="000000"/>
        </w:rPr>
        <w:t xml:space="preserve"> the best of the last three years. The best year for abatement purposes may be a different year to that used in the calculation of the retirement benefits.</w:t>
      </w:r>
    </w:p>
    <w:p w14:paraId="7217FB8A" w14:textId="77777777" w:rsidR="00D801FA" w:rsidRDefault="00D801FA" w:rsidP="001501B0">
      <w:pPr>
        <w:tabs>
          <w:tab w:val="left" w:pos="1134"/>
          <w:tab w:val="left" w:pos="1560"/>
          <w:tab w:val="left" w:pos="2127"/>
        </w:tabs>
        <w:autoSpaceDE w:val="0"/>
        <w:autoSpaceDN w:val="0"/>
        <w:adjustRightInd w:val="0"/>
        <w:spacing w:after="0"/>
        <w:rPr>
          <w:rFonts w:ascii="Arial" w:hAnsi="Arial" w:cs="Arial"/>
          <w:b/>
          <w:bCs/>
          <w:color w:val="000000"/>
          <w:sz w:val="23"/>
          <w:szCs w:val="23"/>
        </w:rPr>
      </w:pPr>
    </w:p>
    <w:p w14:paraId="1D19C210"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b/>
          <w:bCs/>
          <w:color w:val="000000"/>
          <w:sz w:val="23"/>
          <w:szCs w:val="23"/>
        </w:rPr>
      </w:pPr>
    </w:p>
    <w:p w14:paraId="0036AD11" w14:textId="77777777" w:rsidR="00BC2ACA" w:rsidRPr="00A66FB3" w:rsidRDefault="00BC2ACA" w:rsidP="001A0BC8">
      <w:pPr>
        <w:tabs>
          <w:tab w:val="left" w:pos="1134"/>
          <w:tab w:val="left" w:pos="1560"/>
          <w:tab w:val="left" w:pos="2127"/>
        </w:tabs>
        <w:autoSpaceDE w:val="0"/>
        <w:autoSpaceDN w:val="0"/>
        <w:adjustRightInd w:val="0"/>
        <w:spacing w:after="0" w:line="240" w:lineRule="auto"/>
        <w:rPr>
          <w:rFonts w:ascii="Arial" w:hAnsi="Arial" w:cs="Arial"/>
          <w:color w:val="000000"/>
          <w:sz w:val="23"/>
          <w:szCs w:val="23"/>
        </w:rPr>
      </w:pPr>
      <w:r w:rsidRPr="00A66FB3">
        <w:rPr>
          <w:rFonts w:ascii="Arial" w:hAnsi="Arial" w:cs="Arial"/>
          <w:b/>
          <w:bCs/>
          <w:color w:val="000000"/>
          <w:sz w:val="23"/>
          <w:szCs w:val="23"/>
        </w:rPr>
        <w:lastRenderedPageBreak/>
        <w:t xml:space="preserve">Pension Debit </w:t>
      </w:r>
    </w:p>
    <w:p w14:paraId="4C9A2311" w14:textId="77777777" w:rsidR="001C60B8" w:rsidRDefault="001C60B8" w:rsidP="001A0BC8">
      <w:pPr>
        <w:tabs>
          <w:tab w:val="left" w:pos="1134"/>
          <w:tab w:val="left" w:pos="1560"/>
          <w:tab w:val="left" w:pos="2127"/>
        </w:tabs>
        <w:autoSpaceDE w:val="0"/>
        <w:autoSpaceDN w:val="0"/>
        <w:adjustRightInd w:val="0"/>
        <w:spacing w:after="0" w:line="240" w:lineRule="auto"/>
        <w:rPr>
          <w:rFonts w:ascii="Arial" w:hAnsi="Arial" w:cs="Arial"/>
          <w:color w:val="000000"/>
        </w:rPr>
      </w:pPr>
    </w:p>
    <w:p w14:paraId="50401E5D" w14:textId="77777777" w:rsidR="00BC2ACA" w:rsidRDefault="00BC2ACA" w:rsidP="001A0BC8">
      <w:pPr>
        <w:tabs>
          <w:tab w:val="left" w:pos="1134"/>
          <w:tab w:val="left" w:pos="1560"/>
          <w:tab w:val="left" w:pos="2127"/>
        </w:tabs>
        <w:autoSpaceDE w:val="0"/>
        <w:autoSpaceDN w:val="0"/>
        <w:adjustRightInd w:val="0"/>
        <w:spacing w:after="0" w:line="240" w:lineRule="auto"/>
        <w:rPr>
          <w:rFonts w:ascii="Arial" w:hAnsi="Arial" w:cs="Arial"/>
          <w:color w:val="000000"/>
        </w:rPr>
      </w:pPr>
      <w:r w:rsidRPr="00A66FB3">
        <w:rPr>
          <w:rFonts w:ascii="Arial" w:hAnsi="Arial" w:cs="Arial"/>
          <w:color w:val="000000"/>
        </w:rPr>
        <w:t xml:space="preserve">Any </w:t>
      </w:r>
      <w:r w:rsidR="000C73FD" w:rsidRPr="00A66FB3">
        <w:rPr>
          <w:rFonts w:ascii="Arial" w:hAnsi="Arial" w:cs="Arial"/>
          <w:color w:val="000000"/>
        </w:rPr>
        <w:t>Pension De</w:t>
      </w:r>
      <w:r w:rsidRPr="00A66FB3">
        <w:rPr>
          <w:rFonts w:ascii="Arial" w:hAnsi="Arial" w:cs="Arial"/>
          <w:color w:val="000000"/>
        </w:rPr>
        <w:t xml:space="preserve">bit is deducted (i.e. not included in the calculation) for abatement purposes. </w:t>
      </w:r>
    </w:p>
    <w:p w14:paraId="46D9C02F" w14:textId="77777777" w:rsidR="00BC2ACA" w:rsidRPr="00A66FB3" w:rsidRDefault="00BC2ACA" w:rsidP="001A0BC8">
      <w:pPr>
        <w:tabs>
          <w:tab w:val="left" w:pos="1134"/>
          <w:tab w:val="left" w:pos="1560"/>
          <w:tab w:val="left" w:pos="2127"/>
        </w:tabs>
        <w:autoSpaceDE w:val="0"/>
        <w:autoSpaceDN w:val="0"/>
        <w:adjustRightInd w:val="0"/>
        <w:spacing w:after="0" w:line="240" w:lineRule="auto"/>
        <w:rPr>
          <w:rFonts w:ascii="Arial" w:hAnsi="Arial" w:cs="Arial"/>
          <w:color w:val="000000"/>
        </w:rPr>
      </w:pPr>
    </w:p>
    <w:p w14:paraId="2AAEA238" w14:textId="77777777" w:rsidR="00BC2ACA" w:rsidRDefault="00BC2ACA" w:rsidP="001A0BC8">
      <w:pPr>
        <w:tabs>
          <w:tab w:val="left" w:pos="1134"/>
          <w:tab w:val="left" w:pos="1560"/>
          <w:tab w:val="left" w:pos="2127"/>
        </w:tabs>
        <w:autoSpaceDE w:val="0"/>
        <w:autoSpaceDN w:val="0"/>
        <w:adjustRightInd w:val="0"/>
        <w:spacing w:after="0" w:line="240" w:lineRule="auto"/>
        <w:rPr>
          <w:rFonts w:ascii="Arial" w:hAnsi="Arial" w:cs="Arial"/>
          <w:b/>
          <w:bCs/>
          <w:color w:val="000000"/>
          <w:sz w:val="23"/>
          <w:szCs w:val="23"/>
        </w:rPr>
      </w:pPr>
      <w:r w:rsidRPr="00A66FB3">
        <w:rPr>
          <w:rFonts w:ascii="Arial" w:hAnsi="Arial" w:cs="Arial"/>
          <w:b/>
          <w:bCs/>
          <w:color w:val="000000"/>
          <w:sz w:val="23"/>
          <w:szCs w:val="23"/>
        </w:rPr>
        <w:t xml:space="preserve">Pension Credit </w:t>
      </w:r>
    </w:p>
    <w:p w14:paraId="0891FB57" w14:textId="77777777" w:rsidR="001C60B8" w:rsidRPr="00A66FB3" w:rsidRDefault="001C60B8" w:rsidP="001A0BC8">
      <w:pPr>
        <w:tabs>
          <w:tab w:val="left" w:pos="1134"/>
          <w:tab w:val="left" w:pos="1560"/>
          <w:tab w:val="left" w:pos="2127"/>
        </w:tabs>
        <w:autoSpaceDE w:val="0"/>
        <w:autoSpaceDN w:val="0"/>
        <w:adjustRightInd w:val="0"/>
        <w:spacing w:after="0" w:line="240" w:lineRule="auto"/>
        <w:rPr>
          <w:rFonts w:ascii="Arial" w:hAnsi="Arial" w:cs="Arial"/>
          <w:color w:val="000000"/>
          <w:sz w:val="23"/>
          <w:szCs w:val="23"/>
        </w:rPr>
      </w:pPr>
    </w:p>
    <w:p w14:paraId="6363E689" w14:textId="77777777" w:rsidR="00BC2ACA" w:rsidRDefault="00BC2ACA" w:rsidP="001A0BC8">
      <w:pPr>
        <w:tabs>
          <w:tab w:val="left" w:pos="1134"/>
          <w:tab w:val="left" w:pos="1560"/>
          <w:tab w:val="left" w:pos="2127"/>
        </w:tabs>
        <w:autoSpaceDE w:val="0"/>
        <w:autoSpaceDN w:val="0"/>
        <w:adjustRightInd w:val="0"/>
        <w:spacing w:after="0" w:line="240" w:lineRule="auto"/>
        <w:rPr>
          <w:rFonts w:ascii="Arial" w:hAnsi="Arial" w:cs="Arial"/>
          <w:color w:val="000000"/>
        </w:rPr>
      </w:pPr>
      <w:r w:rsidRPr="00A66FB3">
        <w:rPr>
          <w:rFonts w:ascii="Arial" w:hAnsi="Arial" w:cs="Arial"/>
          <w:color w:val="000000"/>
        </w:rPr>
        <w:t xml:space="preserve">Any </w:t>
      </w:r>
      <w:r w:rsidR="000C73FD" w:rsidRPr="00A66FB3">
        <w:rPr>
          <w:rFonts w:ascii="Arial" w:hAnsi="Arial" w:cs="Arial"/>
          <w:color w:val="000000"/>
        </w:rPr>
        <w:t>Pension Cre</w:t>
      </w:r>
      <w:r w:rsidRPr="00A66FB3">
        <w:rPr>
          <w:rFonts w:ascii="Arial" w:hAnsi="Arial" w:cs="Arial"/>
          <w:color w:val="000000"/>
        </w:rPr>
        <w:t xml:space="preserve">dit is ignored for abatement purposes. </w:t>
      </w:r>
    </w:p>
    <w:p w14:paraId="0A8FFCE0" w14:textId="77777777" w:rsidR="00BC2ACA" w:rsidRPr="00A66FB3" w:rsidRDefault="00BC2ACA" w:rsidP="001A0BC8">
      <w:pPr>
        <w:tabs>
          <w:tab w:val="left" w:pos="1134"/>
          <w:tab w:val="left" w:pos="1560"/>
          <w:tab w:val="left" w:pos="2127"/>
        </w:tabs>
        <w:autoSpaceDE w:val="0"/>
        <w:autoSpaceDN w:val="0"/>
        <w:adjustRightInd w:val="0"/>
        <w:spacing w:after="0" w:line="240" w:lineRule="auto"/>
        <w:rPr>
          <w:rFonts w:ascii="Arial" w:hAnsi="Arial" w:cs="Arial"/>
          <w:color w:val="000000"/>
        </w:rPr>
      </w:pPr>
    </w:p>
    <w:p w14:paraId="50E4CE74" w14:textId="77777777" w:rsidR="00BC2ACA" w:rsidRPr="00A66FB3" w:rsidRDefault="00BC2ACA" w:rsidP="001A0BC8">
      <w:pPr>
        <w:tabs>
          <w:tab w:val="left" w:pos="1134"/>
          <w:tab w:val="left" w:pos="1560"/>
          <w:tab w:val="left" w:pos="2127"/>
        </w:tabs>
        <w:autoSpaceDE w:val="0"/>
        <w:autoSpaceDN w:val="0"/>
        <w:adjustRightInd w:val="0"/>
        <w:spacing w:after="0" w:line="240" w:lineRule="auto"/>
        <w:rPr>
          <w:rFonts w:ascii="Arial" w:hAnsi="Arial" w:cs="Arial"/>
          <w:color w:val="000000"/>
          <w:sz w:val="23"/>
          <w:szCs w:val="23"/>
        </w:rPr>
      </w:pPr>
      <w:r w:rsidRPr="00A66FB3">
        <w:rPr>
          <w:rFonts w:ascii="Arial" w:hAnsi="Arial" w:cs="Arial"/>
          <w:b/>
          <w:bCs/>
          <w:color w:val="000000"/>
          <w:sz w:val="23"/>
          <w:szCs w:val="23"/>
        </w:rPr>
        <w:t xml:space="preserve">Allocation </w:t>
      </w:r>
    </w:p>
    <w:p w14:paraId="74D11101" w14:textId="77777777" w:rsidR="00D801FA" w:rsidRDefault="00D801FA" w:rsidP="001A0BC8">
      <w:pPr>
        <w:tabs>
          <w:tab w:val="left" w:pos="1134"/>
          <w:tab w:val="left" w:pos="1560"/>
          <w:tab w:val="left" w:pos="2127"/>
        </w:tabs>
        <w:spacing w:after="0" w:line="240" w:lineRule="auto"/>
        <w:rPr>
          <w:rFonts w:ascii="Arial" w:hAnsi="Arial" w:cs="Arial"/>
          <w:color w:val="000000"/>
        </w:rPr>
      </w:pPr>
    </w:p>
    <w:p w14:paraId="13863D8A" w14:textId="77777777" w:rsidR="00BC2ACA" w:rsidRDefault="00BC2ACA" w:rsidP="001A0BC8">
      <w:pPr>
        <w:tabs>
          <w:tab w:val="left" w:pos="1134"/>
          <w:tab w:val="left" w:pos="1560"/>
          <w:tab w:val="left" w:pos="2127"/>
        </w:tabs>
        <w:spacing w:after="0" w:line="240" w:lineRule="auto"/>
        <w:rPr>
          <w:rFonts w:ascii="Arial" w:hAnsi="Arial" w:cs="Arial"/>
          <w:color w:val="000000"/>
        </w:rPr>
      </w:pPr>
      <w:r w:rsidRPr="00A66FB3">
        <w:rPr>
          <w:rFonts w:ascii="Arial" w:hAnsi="Arial" w:cs="Arial"/>
          <w:color w:val="000000"/>
        </w:rPr>
        <w:t xml:space="preserve">Pension given up </w:t>
      </w:r>
      <w:proofErr w:type="gramStart"/>
      <w:r w:rsidRPr="00A66FB3">
        <w:rPr>
          <w:rFonts w:ascii="Arial" w:hAnsi="Arial" w:cs="Arial"/>
          <w:color w:val="000000"/>
        </w:rPr>
        <w:t>to provide</w:t>
      </w:r>
      <w:proofErr w:type="gramEnd"/>
      <w:r w:rsidRPr="00A66FB3">
        <w:rPr>
          <w:rFonts w:ascii="Arial" w:hAnsi="Arial" w:cs="Arial"/>
          <w:color w:val="000000"/>
        </w:rPr>
        <w:t xml:space="preserve"> for a pension to be paid after the death of the member is not part of the unearned pension.</w:t>
      </w:r>
    </w:p>
    <w:p w14:paraId="1FF39972" w14:textId="77777777" w:rsidR="00D801FA" w:rsidRDefault="00D801FA" w:rsidP="001A0BC8">
      <w:pPr>
        <w:tabs>
          <w:tab w:val="left" w:pos="1134"/>
          <w:tab w:val="left" w:pos="1560"/>
          <w:tab w:val="left" w:pos="2127"/>
        </w:tabs>
        <w:spacing w:after="0" w:line="240" w:lineRule="auto"/>
        <w:rPr>
          <w:rFonts w:ascii="Arial" w:hAnsi="Arial" w:cs="Arial"/>
          <w:b/>
          <w:bCs/>
          <w:color w:val="000000"/>
          <w:sz w:val="23"/>
          <w:szCs w:val="23"/>
        </w:rPr>
      </w:pPr>
    </w:p>
    <w:p w14:paraId="5F527ABC" w14:textId="77777777" w:rsidR="00BC2ACA" w:rsidRPr="003C2D7A" w:rsidRDefault="00BC2ACA" w:rsidP="001501B0">
      <w:pPr>
        <w:tabs>
          <w:tab w:val="left" w:pos="1134"/>
          <w:tab w:val="left" w:pos="1560"/>
          <w:tab w:val="left" w:pos="2127"/>
        </w:tabs>
        <w:spacing w:after="0"/>
        <w:rPr>
          <w:rFonts w:ascii="Arial" w:hAnsi="Arial" w:cs="Arial"/>
          <w:color w:val="000000"/>
        </w:rPr>
      </w:pPr>
      <w:r w:rsidRPr="00A66FB3">
        <w:rPr>
          <w:rFonts w:ascii="Arial" w:hAnsi="Arial" w:cs="Arial"/>
          <w:b/>
          <w:bCs/>
          <w:color w:val="000000"/>
          <w:sz w:val="23"/>
          <w:szCs w:val="23"/>
        </w:rPr>
        <w:t>L</w:t>
      </w:r>
      <w:r w:rsidR="001905E0">
        <w:rPr>
          <w:rFonts w:ascii="Arial" w:hAnsi="Arial" w:cs="Arial"/>
          <w:b/>
          <w:bCs/>
          <w:color w:val="000000"/>
          <w:sz w:val="23"/>
          <w:szCs w:val="23"/>
        </w:rPr>
        <w:t>ifet</w:t>
      </w:r>
      <w:r>
        <w:rPr>
          <w:rFonts w:ascii="Arial" w:hAnsi="Arial" w:cs="Arial"/>
          <w:b/>
          <w:bCs/>
          <w:color w:val="000000"/>
          <w:sz w:val="23"/>
          <w:szCs w:val="23"/>
        </w:rPr>
        <w:t xml:space="preserve">ime </w:t>
      </w:r>
      <w:r w:rsidRPr="00A66FB3">
        <w:rPr>
          <w:rFonts w:ascii="Arial" w:hAnsi="Arial" w:cs="Arial"/>
          <w:b/>
          <w:bCs/>
          <w:color w:val="000000"/>
          <w:sz w:val="23"/>
          <w:szCs w:val="23"/>
        </w:rPr>
        <w:t>A</w:t>
      </w:r>
      <w:r>
        <w:rPr>
          <w:rFonts w:ascii="Arial" w:hAnsi="Arial" w:cs="Arial"/>
          <w:b/>
          <w:bCs/>
          <w:color w:val="000000"/>
          <w:sz w:val="23"/>
          <w:szCs w:val="23"/>
        </w:rPr>
        <w:t xml:space="preserve">llowance </w:t>
      </w:r>
      <w:r w:rsidRPr="00A66FB3">
        <w:rPr>
          <w:rFonts w:ascii="Arial" w:hAnsi="Arial" w:cs="Arial"/>
          <w:b/>
          <w:bCs/>
          <w:color w:val="000000"/>
          <w:sz w:val="23"/>
          <w:szCs w:val="23"/>
        </w:rPr>
        <w:t xml:space="preserve">and Scheme Pays deductions </w:t>
      </w:r>
      <w:r>
        <w:rPr>
          <w:rFonts w:ascii="Arial" w:hAnsi="Arial" w:cs="Arial"/>
          <w:b/>
          <w:bCs/>
          <w:color w:val="000000"/>
          <w:sz w:val="23"/>
          <w:szCs w:val="23"/>
        </w:rPr>
        <w:t>when calculating abatement</w:t>
      </w:r>
    </w:p>
    <w:p w14:paraId="7A3B73B5" w14:textId="77777777" w:rsidR="00D801FA" w:rsidRDefault="00D801FA" w:rsidP="001501B0">
      <w:pPr>
        <w:tabs>
          <w:tab w:val="left" w:pos="1134"/>
          <w:tab w:val="left" w:pos="1560"/>
          <w:tab w:val="left" w:pos="2127"/>
        </w:tabs>
        <w:spacing w:after="0"/>
        <w:rPr>
          <w:rFonts w:ascii="Arial" w:hAnsi="Arial" w:cs="Arial"/>
          <w:color w:val="000000"/>
        </w:rPr>
      </w:pPr>
    </w:p>
    <w:p w14:paraId="55D2D8CB" w14:textId="77777777" w:rsidR="00BC2ACA" w:rsidRDefault="00BC2ACA" w:rsidP="001501B0">
      <w:pPr>
        <w:tabs>
          <w:tab w:val="left" w:pos="1134"/>
          <w:tab w:val="left" w:pos="1560"/>
          <w:tab w:val="left" w:pos="2127"/>
        </w:tabs>
        <w:spacing w:after="0"/>
        <w:rPr>
          <w:rFonts w:ascii="Arial" w:hAnsi="Arial" w:cs="Arial"/>
          <w:color w:val="000000"/>
        </w:rPr>
      </w:pPr>
      <w:r>
        <w:rPr>
          <w:rFonts w:ascii="Arial" w:hAnsi="Arial" w:cs="Arial"/>
          <w:color w:val="000000"/>
        </w:rPr>
        <w:t>If the unearned element of the pension</w:t>
      </w:r>
      <w:r w:rsidRPr="00A66FB3">
        <w:rPr>
          <w:rFonts w:ascii="Arial" w:hAnsi="Arial" w:cs="Arial"/>
          <w:color w:val="000000"/>
        </w:rPr>
        <w:t xml:space="preserve"> must be calculated following adjustment</w:t>
      </w:r>
      <w:r>
        <w:rPr>
          <w:rFonts w:ascii="Arial" w:hAnsi="Arial" w:cs="Arial"/>
          <w:color w:val="000000"/>
        </w:rPr>
        <w:t>s</w:t>
      </w:r>
      <w:r w:rsidRPr="00A66FB3">
        <w:rPr>
          <w:rFonts w:ascii="Arial" w:hAnsi="Arial" w:cs="Arial"/>
          <w:color w:val="000000"/>
        </w:rPr>
        <w:t xml:space="preserve"> to take account of a </w:t>
      </w:r>
      <w:r w:rsidR="001905E0">
        <w:rPr>
          <w:rFonts w:ascii="Arial" w:hAnsi="Arial" w:cs="Arial"/>
          <w:color w:val="000000"/>
        </w:rPr>
        <w:t>Lifetime Allowance</w:t>
      </w:r>
      <w:r w:rsidRPr="00A66FB3">
        <w:rPr>
          <w:rFonts w:ascii="Arial" w:hAnsi="Arial" w:cs="Arial"/>
          <w:color w:val="000000"/>
        </w:rPr>
        <w:t xml:space="preserve"> or A</w:t>
      </w:r>
      <w:r w:rsidR="001905E0">
        <w:rPr>
          <w:rFonts w:ascii="Arial" w:hAnsi="Arial" w:cs="Arial"/>
          <w:color w:val="000000"/>
        </w:rPr>
        <w:t xml:space="preserve">nnual </w:t>
      </w:r>
      <w:r w:rsidRPr="00A66FB3">
        <w:rPr>
          <w:rFonts w:ascii="Arial" w:hAnsi="Arial" w:cs="Arial"/>
          <w:color w:val="000000"/>
        </w:rPr>
        <w:t>A</w:t>
      </w:r>
      <w:r w:rsidR="001905E0">
        <w:rPr>
          <w:rFonts w:ascii="Arial" w:hAnsi="Arial" w:cs="Arial"/>
          <w:color w:val="000000"/>
        </w:rPr>
        <w:t>llowance</w:t>
      </w:r>
      <w:r w:rsidRPr="00A66FB3">
        <w:rPr>
          <w:rFonts w:ascii="Arial" w:hAnsi="Arial" w:cs="Arial"/>
          <w:color w:val="000000"/>
        </w:rPr>
        <w:t xml:space="preserve"> tax charge, it sh</w:t>
      </w:r>
      <w:r>
        <w:rPr>
          <w:rFonts w:ascii="Arial" w:hAnsi="Arial" w:cs="Arial"/>
          <w:color w:val="000000"/>
        </w:rPr>
        <w:t>ould be the original unadjusted pension</w:t>
      </w:r>
      <w:r w:rsidRPr="00A66FB3">
        <w:rPr>
          <w:rFonts w:ascii="Arial" w:hAnsi="Arial" w:cs="Arial"/>
          <w:color w:val="000000"/>
        </w:rPr>
        <w:t xml:space="preserve"> benefits that are </w:t>
      </w:r>
      <w:proofErr w:type="gramStart"/>
      <w:r w:rsidRPr="00A66FB3">
        <w:rPr>
          <w:rFonts w:ascii="Arial" w:hAnsi="Arial" w:cs="Arial"/>
          <w:color w:val="000000"/>
        </w:rPr>
        <w:t>taken into account</w:t>
      </w:r>
      <w:proofErr w:type="gramEnd"/>
      <w:r w:rsidRPr="00A66FB3">
        <w:rPr>
          <w:rFonts w:ascii="Arial" w:hAnsi="Arial" w:cs="Arial"/>
          <w:color w:val="000000"/>
        </w:rPr>
        <w:t>.</w:t>
      </w:r>
    </w:p>
    <w:p w14:paraId="14D3CF45" w14:textId="77777777" w:rsidR="00D801FA" w:rsidRDefault="00D801FA" w:rsidP="001501B0">
      <w:pPr>
        <w:tabs>
          <w:tab w:val="left" w:pos="1134"/>
          <w:tab w:val="left" w:pos="1560"/>
          <w:tab w:val="left" w:pos="2127"/>
        </w:tabs>
        <w:spacing w:after="0"/>
        <w:rPr>
          <w:rFonts w:ascii="Arial" w:hAnsi="Arial" w:cs="Arial"/>
          <w:color w:val="000000"/>
        </w:rPr>
      </w:pPr>
    </w:p>
    <w:p w14:paraId="1CC356A5" w14:textId="77777777" w:rsidR="00BC2ACA" w:rsidRDefault="00BC2ACA" w:rsidP="001501B0">
      <w:pPr>
        <w:tabs>
          <w:tab w:val="left" w:pos="1134"/>
          <w:tab w:val="left" w:pos="1560"/>
          <w:tab w:val="left" w:pos="2127"/>
        </w:tabs>
        <w:spacing w:after="0"/>
        <w:rPr>
          <w:rFonts w:ascii="Arial" w:hAnsi="Arial" w:cs="Arial"/>
          <w:color w:val="000000"/>
        </w:rPr>
      </w:pPr>
      <w:r>
        <w:rPr>
          <w:rFonts w:ascii="Arial" w:hAnsi="Arial" w:cs="Arial"/>
          <w:color w:val="000000"/>
        </w:rPr>
        <w:t xml:space="preserve">Suspension of NHS pension benefits applies in this scheme. </w:t>
      </w:r>
    </w:p>
    <w:p w14:paraId="0CDFC3D9" w14:textId="77777777" w:rsidR="00D801FA" w:rsidRDefault="00D801FA" w:rsidP="001501B0">
      <w:pPr>
        <w:tabs>
          <w:tab w:val="left" w:pos="1134"/>
          <w:tab w:val="left" w:pos="1560"/>
          <w:tab w:val="left" w:pos="2127"/>
        </w:tabs>
        <w:spacing w:after="0"/>
        <w:rPr>
          <w:rFonts w:ascii="Arial" w:hAnsi="Arial" w:cs="Arial"/>
          <w:b/>
          <w:sz w:val="24"/>
        </w:rPr>
      </w:pPr>
    </w:p>
    <w:p w14:paraId="7F690F61" w14:textId="77777777" w:rsidR="00BC2ACA" w:rsidRPr="001C60B8" w:rsidRDefault="00BC2ACA" w:rsidP="001A0BC8">
      <w:pPr>
        <w:pStyle w:val="Heading2"/>
      </w:pPr>
      <w:bookmarkStart w:id="7" w:name="_Toc492453613"/>
      <w:r w:rsidRPr="001C60B8">
        <w:t>Calculation for members in the 2008 Section:</w:t>
      </w:r>
      <w:bookmarkEnd w:id="7"/>
      <w:r w:rsidRPr="001C60B8">
        <w:t xml:space="preserve"> </w:t>
      </w:r>
    </w:p>
    <w:p w14:paraId="7C7FFB3D" w14:textId="77777777" w:rsidR="00D801FA" w:rsidRDefault="00D801FA" w:rsidP="001A0BC8">
      <w:pPr>
        <w:tabs>
          <w:tab w:val="left" w:pos="1134"/>
          <w:tab w:val="left" w:pos="1560"/>
          <w:tab w:val="left" w:pos="2127"/>
        </w:tabs>
        <w:spacing w:after="0" w:line="240" w:lineRule="auto"/>
        <w:rPr>
          <w:rFonts w:ascii="Arial" w:hAnsi="Arial" w:cs="Arial"/>
        </w:rPr>
      </w:pPr>
    </w:p>
    <w:p w14:paraId="54D64EDE" w14:textId="77777777" w:rsidR="00BC2ACA" w:rsidRDefault="00BC2ACA" w:rsidP="001A0BC8">
      <w:pPr>
        <w:tabs>
          <w:tab w:val="left" w:pos="1134"/>
          <w:tab w:val="left" w:pos="1560"/>
          <w:tab w:val="left" w:pos="2127"/>
        </w:tabs>
        <w:spacing w:after="0" w:line="240" w:lineRule="auto"/>
        <w:rPr>
          <w:rFonts w:ascii="Arial" w:hAnsi="Arial" w:cs="Arial"/>
        </w:rPr>
      </w:pPr>
      <w:r w:rsidRPr="00754E10">
        <w:rPr>
          <w:rFonts w:ascii="Arial" w:hAnsi="Arial" w:cs="Arial"/>
        </w:rPr>
        <w:t>Where abatement applies in the 2008 Section it will continue until the pensioner reaches age 65.</w:t>
      </w:r>
    </w:p>
    <w:p w14:paraId="3C9C704B" w14:textId="77777777" w:rsidR="00D801FA" w:rsidRDefault="00D801FA" w:rsidP="001A0BC8">
      <w:pPr>
        <w:tabs>
          <w:tab w:val="left" w:pos="1134"/>
          <w:tab w:val="left" w:pos="1560"/>
          <w:tab w:val="left" w:pos="2127"/>
        </w:tabs>
        <w:autoSpaceDE w:val="0"/>
        <w:autoSpaceDN w:val="0"/>
        <w:adjustRightInd w:val="0"/>
        <w:spacing w:after="0" w:line="240" w:lineRule="auto"/>
        <w:rPr>
          <w:rFonts w:ascii="Arial" w:hAnsi="Arial" w:cs="Arial"/>
          <w:b/>
          <w:bCs/>
          <w:color w:val="000000"/>
          <w:szCs w:val="23"/>
        </w:rPr>
      </w:pPr>
    </w:p>
    <w:p w14:paraId="588CB853" w14:textId="77777777" w:rsidR="00BC2ACA" w:rsidRPr="001905E0" w:rsidRDefault="00BC2ACA" w:rsidP="001A0BC8">
      <w:pPr>
        <w:tabs>
          <w:tab w:val="left" w:pos="1134"/>
          <w:tab w:val="left" w:pos="1560"/>
          <w:tab w:val="left" w:pos="2127"/>
        </w:tabs>
        <w:autoSpaceDE w:val="0"/>
        <w:autoSpaceDN w:val="0"/>
        <w:adjustRightInd w:val="0"/>
        <w:spacing w:after="0" w:line="240" w:lineRule="auto"/>
        <w:rPr>
          <w:rFonts w:ascii="Arial" w:hAnsi="Arial" w:cs="Arial"/>
          <w:b/>
          <w:bCs/>
          <w:color w:val="000000"/>
          <w:szCs w:val="23"/>
        </w:rPr>
      </w:pPr>
      <w:r w:rsidRPr="001905E0">
        <w:rPr>
          <w:rFonts w:ascii="Arial" w:hAnsi="Arial" w:cs="Arial"/>
          <w:b/>
          <w:bCs/>
          <w:color w:val="000000"/>
          <w:szCs w:val="23"/>
        </w:rPr>
        <w:t xml:space="preserve">Applying the new formula in the 2008 Section </w:t>
      </w:r>
    </w:p>
    <w:p w14:paraId="29882225" w14:textId="77777777" w:rsidR="00BC2ACA" w:rsidRPr="008B321F" w:rsidRDefault="00BC2ACA" w:rsidP="001A0BC8">
      <w:pPr>
        <w:tabs>
          <w:tab w:val="left" w:pos="1134"/>
          <w:tab w:val="left" w:pos="1560"/>
          <w:tab w:val="left" w:pos="2127"/>
        </w:tabs>
        <w:autoSpaceDE w:val="0"/>
        <w:autoSpaceDN w:val="0"/>
        <w:adjustRightInd w:val="0"/>
        <w:spacing w:after="0" w:line="240" w:lineRule="auto"/>
        <w:rPr>
          <w:rFonts w:ascii="Arial" w:hAnsi="Arial" w:cs="Arial"/>
          <w:color w:val="000000"/>
          <w:sz w:val="23"/>
          <w:szCs w:val="23"/>
        </w:rPr>
      </w:pPr>
    </w:p>
    <w:p w14:paraId="66929EAF" w14:textId="77777777" w:rsidR="00BC2ACA" w:rsidRDefault="00BC2ACA" w:rsidP="001501B0">
      <w:pPr>
        <w:tabs>
          <w:tab w:val="left" w:pos="1134"/>
          <w:tab w:val="left" w:pos="1560"/>
          <w:tab w:val="left" w:pos="2127"/>
        </w:tabs>
        <w:spacing w:after="0"/>
        <w:rPr>
          <w:rFonts w:ascii="Arial" w:hAnsi="Arial" w:cs="Arial"/>
        </w:rPr>
      </w:pPr>
      <w:r w:rsidRPr="008B321F">
        <w:rPr>
          <w:rFonts w:ascii="Arial" w:hAnsi="Arial" w:cs="Arial"/>
          <w:color w:val="000000"/>
        </w:rPr>
        <w:t xml:space="preserve">The approach to abatement in the 2008 Section is comparable to </w:t>
      </w:r>
      <w:r>
        <w:rPr>
          <w:rFonts w:ascii="Arial" w:hAnsi="Arial" w:cs="Arial"/>
          <w:color w:val="000000"/>
        </w:rPr>
        <w:t>the</w:t>
      </w:r>
      <w:r w:rsidRPr="008B321F">
        <w:rPr>
          <w:rFonts w:ascii="Arial" w:hAnsi="Arial" w:cs="Arial"/>
          <w:color w:val="000000"/>
        </w:rPr>
        <w:t xml:space="preserve"> 1995 Section. However, in this section the previous pay is the greater of</w:t>
      </w:r>
      <w:r w:rsidR="001905E0">
        <w:rPr>
          <w:rFonts w:ascii="Arial" w:hAnsi="Arial" w:cs="Arial"/>
          <w:color w:val="000000"/>
        </w:rPr>
        <w:t xml:space="preserve"> either</w:t>
      </w:r>
      <w:r w:rsidRPr="008B321F">
        <w:rPr>
          <w:rFonts w:ascii="Arial" w:hAnsi="Arial" w:cs="Arial"/>
          <w:color w:val="000000"/>
        </w:rPr>
        <w:t xml:space="preserve"> the actual reckonable pay (average of the best thr</w:t>
      </w:r>
      <w:r>
        <w:rPr>
          <w:rFonts w:ascii="Arial" w:hAnsi="Arial" w:cs="Arial"/>
          <w:color w:val="000000"/>
        </w:rPr>
        <w:t xml:space="preserve">ee consecutive </w:t>
      </w:r>
      <w:r w:rsidR="00317F10">
        <w:rPr>
          <w:rFonts w:ascii="Arial" w:hAnsi="Arial" w:cs="Arial"/>
          <w:color w:val="000000"/>
        </w:rPr>
        <w:t xml:space="preserve">years </w:t>
      </w:r>
      <w:r>
        <w:rPr>
          <w:rFonts w:ascii="Arial" w:hAnsi="Arial" w:cs="Arial"/>
          <w:color w:val="000000"/>
        </w:rPr>
        <w:t>in the last 10) or</w:t>
      </w:r>
      <w:r w:rsidRPr="008B321F">
        <w:rPr>
          <w:rFonts w:ascii="Arial" w:hAnsi="Arial" w:cs="Arial"/>
          <w:color w:val="000000"/>
        </w:rPr>
        <w:t xml:space="preserve"> the annual rate of pay.</w:t>
      </w:r>
    </w:p>
    <w:p w14:paraId="21DE9716" w14:textId="77777777" w:rsidR="00D801FA" w:rsidRDefault="00D801FA" w:rsidP="001501B0">
      <w:pPr>
        <w:pStyle w:val="Default"/>
        <w:tabs>
          <w:tab w:val="left" w:pos="1134"/>
          <w:tab w:val="left" w:pos="1560"/>
          <w:tab w:val="left" w:pos="2127"/>
        </w:tabs>
        <w:spacing w:line="276" w:lineRule="auto"/>
        <w:rPr>
          <w:b/>
          <w:bCs/>
          <w:sz w:val="23"/>
          <w:szCs w:val="23"/>
        </w:rPr>
      </w:pPr>
    </w:p>
    <w:p w14:paraId="7356F5F7" w14:textId="77777777" w:rsidR="00BC2ACA" w:rsidRDefault="00BC2ACA" w:rsidP="001501B0">
      <w:pPr>
        <w:pStyle w:val="Default"/>
        <w:tabs>
          <w:tab w:val="left" w:pos="1134"/>
          <w:tab w:val="left" w:pos="1560"/>
          <w:tab w:val="left" w:pos="2127"/>
        </w:tabs>
        <w:spacing w:line="276" w:lineRule="auto"/>
        <w:rPr>
          <w:b/>
          <w:bCs/>
          <w:sz w:val="23"/>
          <w:szCs w:val="23"/>
        </w:rPr>
      </w:pPr>
      <w:r>
        <w:rPr>
          <w:b/>
          <w:bCs/>
          <w:sz w:val="23"/>
          <w:szCs w:val="23"/>
        </w:rPr>
        <w:t xml:space="preserve">Commutation of pension to lump sum </w:t>
      </w:r>
    </w:p>
    <w:p w14:paraId="6A26EFCD" w14:textId="77777777" w:rsidR="00BC2ACA" w:rsidRDefault="00BC2ACA" w:rsidP="001501B0">
      <w:pPr>
        <w:pStyle w:val="Default"/>
        <w:tabs>
          <w:tab w:val="left" w:pos="1134"/>
          <w:tab w:val="left" w:pos="1560"/>
          <w:tab w:val="left" w:pos="2127"/>
        </w:tabs>
        <w:spacing w:line="276" w:lineRule="auto"/>
        <w:rPr>
          <w:sz w:val="23"/>
          <w:szCs w:val="23"/>
        </w:rPr>
      </w:pPr>
    </w:p>
    <w:p w14:paraId="72CA7B0A" w14:textId="77777777" w:rsidR="00BC2ACA" w:rsidRDefault="00BC2ACA" w:rsidP="001501B0">
      <w:pPr>
        <w:tabs>
          <w:tab w:val="left" w:pos="1134"/>
          <w:tab w:val="left" w:pos="1560"/>
          <w:tab w:val="left" w:pos="2127"/>
        </w:tabs>
        <w:spacing w:after="0"/>
        <w:rPr>
          <w:rFonts w:ascii="Arial" w:hAnsi="Arial" w:cs="Arial"/>
        </w:rPr>
      </w:pPr>
      <w:r w:rsidRPr="00754E10">
        <w:rPr>
          <w:rFonts w:ascii="Arial" w:hAnsi="Arial" w:cs="Arial"/>
        </w:rPr>
        <w:t xml:space="preserve">In all cases, the pension to be </w:t>
      </w:r>
      <w:proofErr w:type="gramStart"/>
      <w:r w:rsidRPr="00754E10">
        <w:rPr>
          <w:rFonts w:ascii="Arial" w:hAnsi="Arial" w:cs="Arial"/>
        </w:rPr>
        <w:t>taken into account</w:t>
      </w:r>
      <w:proofErr w:type="gramEnd"/>
      <w:r w:rsidRPr="00754E10">
        <w:rPr>
          <w:rFonts w:ascii="Arial" w:hAnsi="Arial" w:cs="Arial"/>
        </w:rPr>
        <w:t xml:space="preserve"> when assessing whether abatement will apply is that before any commutation to provide additional lump sum. Giving up pension will not therefore reduce the amount of unearned pension.</w:t>
      </w:r>
      <w:r>
        <w:rPr>
          <w:rFonts w:ascii="Arial" w:hAnsi="Arial" w:cs="Arial"/>
        </w:rPr>
        <w:t xml:space="preserve"> </w:t>
      </w:r>
    </w:p>
    <w:p w14:paraId="5CDF1A3A" w14:textId="77777777" w:rsidR="001C60B8" w:rsidRDefault="001C60B8" w:rsidP="001501B0">
      <w:pPr>
        <w:tabs>
          <w:tab w:val="left" w:pos="1134"/>
          <w:tab w:val="left" w:pos="1560"/>
          <w:tab w:val="left" w:pos="2127"/>
        </w:tabs>
        <w:spacing w:after="0"/>
        <w:rPr>
          <w:rFonts w:ascii="Arial" w:hAnsi="Arial" w:cs="Arial"/>
        </w:rPr>
      </w:pPr>
    </w:p>
    <w:p w14:paraId="75FE1CFA" w14:textId="77777777" w:rsidR="00317F10" w:rsidRDefault="00317F10" w:rsidP="001501B0">
      <w:pPr>
        <w:tabs>
          <w:tab w:val="left" w:pos="1134"/>
          <w:tab w:val="left" w:pos="1560"/>
          <w:tab w:val="left" w:pos="2127"/>
        </w:tabs>
        <w:spacing w:after="0"/>
        <w:rPr>
          <w:rFonts w:ascii="Arial" w:hAnsi="Arial" w:cs="Arial"/>
        </w:rPr>
      </w:pPr>
      <w:r>
        <w:rPr>
          <w:rFonts w:ascii="Arial" w:hAnsi="Arial" w:cs="Arial"/>
        </w:rPr>
        <w:t>There is no suspension in the 2008 Section.</w:t>
      </w:r>
    </w:p>
    <w:p w14:paraId="30AA90F7" w14:textId="77777777" w:rsidR="001C60B8" w:rsidRDefault="001C60B8" w:rsidP="001501B0">
      <w:pPr>
        <w:tabs>
          <w:tab w:val="left" w:pos="1134"/>
          <w:tab w:val="left" w:pos="1560"/>
          <w:tab w:val="left" w:pos="2127"/>
        </w:tabs>
        <w:spacing w:after="0"/>
        <w:rPr>
          <w:rFonts w:ascii="Arial" w:hAnsi="Arial" w:cs="Arial"/>
        </w:rPr>
      </w:pPr>
    </w:p>
    <w:p w14:paraId="1A882E2C" w14:textId="77777777" w:rsidR="00BC2ACA" w:rsidRPr="001C60B8" w:rsidRDefault="00BC2ACA" w:rsidP="001A0BC8">
      <w:pPr>
        <w:pStyle w:val="Heading2"/>
      </w:pPr>
      <w:bookmarkStart w:id="8" w:name="_Toc492453614"/>
      <w:r w:rsidRPr="001C60B8">
        <w:t xml:space="preserve">Calculation for </w:t>
      </w:r>
      <w:r w:rsidR="00F92408">
        <w:t xml:space="preserve">members of the </w:t>
      </w:r>
      <w:r w:rsidRPr="001C60B8">
        <w:t>2015 Scheme:</w:t>
      </w:r>
      <w:bookmarkEnd w:id="8"/>
    </w:p>
    <w:p w14:paraId="75600AAC" w14:textId="77777777" w:rsidR="001C60B8" w:rsidRPr="001905E0" w:rsidRDefault="001C60B8" w:rsidP="001501B0">
      <w:pPr>
        <w:tabs>
          <w:tab w:val="left" w:pos="1134"/>
          <w:tab w:val="left" w:pos="1560"/>
          <w:tab w:val="left" w:pos="2127"/>
        </w:tabs>
        <w:spacing w:after="0"/>
        <w:rPr>
          <w:rFonts w:ascii="Arial" w:hAnsi="Arial" w:cs="Arial"/>
          <w:b/>
          <w:sz w:val="24"/>
        </w:rPr>
      </w:pPr>
    </w:p>
    <w:p w14:paraId="00866DA3"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C426A5">
        <w:rPr>
          <w:rFonts w:ascii="Arial" w:hAnsi="Arial" w:cs="Arial"/>
          <w:color w:val="000000"/>
        </w:rPr>
        <w:t>The abatement rules for 2015 Scheme mem</w:t>
      </w:r>
      <w:r>
        <w:rPr>
          <w:rFonts w:ascii="Arial" w:hAnsi="Arial" w:cs="Arial"/>
          <w:color w:val="000000"/>
        </w:rPr>
        <w:t>bers are broadly the same as the</w:t>
      </w:r>
      <w:r w:rsidRPr="00C426A5">
        <w:rPr>
          <w:rFonts w:ascii="Arial" w:hAnsi="Arial" w:cs="Arial"/>
          <w:color w:val="000000"/>
        </w:rPr>
        <w:t xml:space="preserve"> 2008 Section members.</w:t>
      </w:r>
    </w:p>
    <w:p w14:paraId="4028B126" w14:textId="77777777" w:rsidR="001C60B8" w:rsidRPr="00C426A5" w:rsidRDefault="001C60B8" w:rsidP="001501B0">
      <w:pPr>
        <w:tabs>
          <w:tab w:val="left" w:pos="1134"/>
          <w:tab w:val="left" w:pos="1560"/>
          <w:tab w:val="left" w:pos="2127"/>
        </w:tabs>
        <w:autoSpaceDE w:val="0"/>
        <w:autoSpaceDN w:val="0"/>
        <w:adjustRightInd w:val="0"/>
        <w:spacing w:after="0"/>
        <w:rPr>
          <w:rFonts w:ascii="Arial" w:hAnsi="Arial" w:cs="Arial"/>
          <w:color w:val="000000"/>
        </w:rPr>
      </w:pPr>
    </w:p>
    <w:p w14:paraId="7420DBB7"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C426A5">
        <w:rPr>
          <w:rFonts w:ascii="Arial" w:hAnsi="Arial" w:cs="Arial"/>
          <w:color w:val="000000"/>
        </w:rPr>
        <w:t>Abatement continues until the pensioner reaches their normal pension age</w:t>
      </w:r>
      <w:r w:rsidR="001905E0">
        <w:rPr>
          <w:rFonts w:ascii="Arial" w:hAnsi="Arial" w:cs="Arial"/>
          <w:color w:val="000000"/>
        </w:rPr>
        <w:t xml:space="preserve"> in the 2015 Scheme</w:t>
      </w:r>
      <w:r w:rsidRPr="00C426A5">
        <w:rPr>
          <w:rFonts w:ascii="Arial" w:hAnsi="Arial" w:cs="Arial"/>
          <w:color w:val="000000"/>
        </w:rPr>
        <w:t xml:space="preserve">. If the member has </w:t>
      </w:r>
      <w:proofErr w:type="gramStart"/>
      <w:r w:rsidRPr="00C426A5">
        <w:rPr>
          <w:rFonts w:ascii="Arial" w:hAnsi="Arial" w:cs="Arial"/>
          <w:color w:val="000000"/>
        </w:rPr>
        <w:t>entered into</w:t>
      </w:r>
      <w:proofErr w:type="gramEnd"/>
      <w:r w:rsidRPr="00C426A5">
        <w:rPr>
          <w:rFonts w:ascii="Arial" w:hAnsi="Arial" w:cs="Arial"/>
          <w:color w:val="000000"/>
        </w:rPr>
        <w:t xml:space="preserve"> an E</w:t>
      </w:r>
      <w:r w:rsidR="00AE13F8">
        <w:rPr>
          <w:rFonts w:ascii="Arial" w:hAnsi="Arial" w:cs="Arial"/>
          <w:color w:val="000000"/>
        </w:rPr>
        <w:t xml:space="preserve">arly </w:t>
      </w:r>
      <w:r w:rsidRPr="00C426A5">
        <w:rPr>
          <w:rFonts w:ascii="Arial" w:hAnsi="Arial" w:cs="Arial"/>
          <w:color w:val="000000"/>
        </w:rPr>
        <w:t>R</w:t>
      </w:r>
      <w:r w:rsidR="00AE13F8">
        <w:rPr>
          <w:rFonts w:ascii="Arial" w:hAnsi="Arial" w:cs="Arial"/>
          <w:color w:val="000000"/>
        </w:rPr>
        <w:t xml:space="preserve">etirement </w:t>
      </w:r>
      <w:r w:rsidRPr="00C426A5">
        <w:rPr>
          <w:rFonts w:ascii="Arial" w:hAnsi="Arial" w:cs="Arial"/>
          <w:color w:val="000000"/>
        </w:rPr>
        <w:t>R</w:t>
      </w:r>
      <w:r w:rsidR="00AE13F8">
        <w:rPr>
          <w:rFonts w:ascii="Arial" w:hAnsi="Arial" w:cs="Arial"/>
          <w:color w:val="000000"/>
        </w:rPr>
        <w:t xml:space="preserve">eduction </w:t>
      </w:r>
      <w:r w:rsidRPr="00C426A5">
        <w:rPr>
          <w:rFonts w:ascii="Arial" w:hAnsi="Arial" w:cs="Arial"/>
          <w:color w:val="000000"/>
        </w:rPr>
        <w:t>B</w:t>
      </w:r>
      <w:r w:rsidR="00AE13F8">
        <w:rPr>
          <w:rFonts w:ascii="Arial" w:hAnsi="Arial" w:cs="Arial"/>
          <w:color w:val="000000"/>
        </w:rPr>
        <w:t xml:space="preserve">uy </w:t>
      </w:r>
      <w:r w:rsidRPr="00C426A5">
        <w:rPr>
          <w:rFonts w:ascii="Arial" w:hAnsi="Arial" w:cs="Arial"/>
          <w:color w:val="000000"/>
        </w:rPr>
        <w:t>O</w:t>
      </w:r>
      <w:r w:rsidR="00AE13F8">
        <w:rPr>
          <w:rFonts w:ascii="Arial" w:hAnsi="Arial" w:cs="Arial"/>
          <w:color w:val="000000"/>
        </w:rPr>
        <w:t>ut (ERRBO)</w:t>
      </w:r>
      <w:r w:rsidRPr="00C426A5">
        <w:rPr>
          <w:rFonts w:ascii="Arial" w:hAnsi="Arial" w:cs="Arial"/>
          <w:color w:val="000000"/>
        </w:rPr>
        <w:t xml:space="preserve"> agreement the factors applied to the member’s pension are referenced against their reduced </w:t>
      </w:r>
      <w:r w:rsidR="001905E0">
        <w:rPr>
          <w:rFonts w:ascii="Arial" w:hAnsi="Arial" w:cs="Arial"/>
          <w:color w:val="000000"/>
        </w:rPr>
        <w:t>pension</w:t>
      </w:r>
      <w:r w:rsidRPr="00C426A5">
        <w:rPr>
          <w:rFonts w:ascii="Arial" w:hAnsi="Arial" w:cs="Arial"/>
          <w:color w:val="000000"/>
        </w:rPr>
        <w:t xml:space="preserve"> age.</w:t>
      </w:r>
    </w:p>
    <w:p w14:paraId="2B99E9C7"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There is no suspension in the 2015 Scheme.</w:t>
      </w:r>
    </w:p>
    <w:p w14:paraId="4AAA3928" w14:textId="77777777" w:rsidR="001C60B8" w:rsidRPr="00C426A5" w:rsidRDefault="001C60B8" w:rsidP="001501B0">
      <w:pPr>
        <w:tabs>
          <w:tab w:val="left" w:pos="1134"/>
          <w:tab w:val="left" w:pos="1560"/>
          <w:tab w:val="left" w:pos="2127"/>
        </w:tabs>
        <w:autoSpaceDE w:val="0"/>
        <w:autoSpaceDN w:val="0"/>
        <w:adjustRightInd w:val="0"/>
        <w:spacing w:after="0"/>
        <w:rPr>
          <w:rFonts w:ascii="Arial" w:hAnsi="Arial" w:cs="Arial"/>
          <w:color w:val="000000"/>
        </w:rPr>
      </w:pPr>
    </w:p>
    <w:p w14:paraId="7F5F8067" w14:textId="77777777" w:rsidR="00BC2ACA" w:rsidRPr="001A0BC8" w:rsidRDefault="00BC2ACA" w:rsidP="001A0BC8">
      <w:pPr>
        <w:pStyle w:val="Heading2"/>
      </w:pPr>
      <w:bookmarkStart w:id="9" w:name="_Toc492453615"/>
      <w:r w:rsidRPr="001A0BC8">
        <w:lastRenderedPageBreak/>
        <w:t>Choice Optants</w:t>
      </w:r>
      <w:bookmarkEnd w:id="9"/>
    </w:p>
    <w:p w14:paraId="0DCDFD8F" w14:textId="77777777" w:rsidR="001C60B8" w:rsidRPr="001905E0" w:rsidRDefault="001C60B8" w:rsidP="001501B0">
      <w:pPr>
        <w:tabs>
          <w:tab w:val="left" w:pos="1134"/>
          <w:tab w:val="left" w:pos="1560"/>
          <w:tab w:val="left" w:pos="2127"/>
        </w:tabs>
        <w:spacing w:after="0"/>
        <w:rPr>
          <w:rFonts w:ascii="Arial" w:hAnsi="Arial" w:cs="Arial"/>
          <w:b/>
          <w:sz w:val="24"/>
        </w:rPr>
      </w:pPr>
    </w:p>
    <w:p w14:paraId="32852074"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56456B">
        <w:rPr>
          <w:rFonts w:ascii="Arial" w:hAnsi="Arial" w:cs="Arial"/>
          <w:color w:val="000000"/>
        </w:rPr>
        <w:t xml:space="preserve">There are also some differences to the abatement calculation when someone </w:t>
      </w:r>
      <w:r w:rsidR="00317F10">
        <w:rPr>
          <w:rFonts w:ascii="Arial" w:hAnsi="Arial" w:cs="Arial"/>
          <w:color w:val="000000"/>
        </w:rPr>
        <w:t>moved</w:t>
      </w:r>
      <w:r w:rsidR="00317F10" w:rsidRPr="0056456B">
        <w:rPr>
          <w:rFonts w:ascii="Arial" w:hAnsi="Arial" w:cs="Arial"/>
          <w:color w:val="000000"/>
        </w:rPr>
        <w:t xml:space="preserve"> </w:t>
      </w:r>
      <w:r w:rsidRPr="0056456B">
        <w:rPr>
          <w:rFonts w:ascii="Arial" w:hAnsi="Arial" w:cs="Arial"/>
          <w:color w:val="000000"/>
        </w:rPr>
        <w:t xml:space="preserve">to the 2008 </w:t>
      </w:r>
      <w:r w:rsidR="001905E0">
        <w:rPr>
          <w:rFonts w:ascii="Arial" w:hAnsi="Arial" w:cs="Arial"/>
          <w:color w:val="000000"/>
        </w:rPr>
        <w:t>Section after exercising their C</w:t>
      </w:r>
      <w:r w:rsidRPr="0056456B">
        <w:rPr>
          <w:rFonts w:ascii="Arial" w:hAnsi="Arial" w:cs="Arial"/>
          <w:color w:val="000000"/>
        </w:rPr>
        <w:t xml:space="preserve">hoice option. </w:t>
      </w:r>
    </w:p>
    <w:p w14:paraId="383AE340" w14:textId="77777777" w:rsidR="00BC2ACA" w:rsidRPr="0056456B"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462CD150"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Pr>
          <w:rFonts w:ascii="Arial" w:hAnsi="Arial" w:cs="Arial"/>
          <w:color w:val="000000"/>
        </w:rPr>
        <w:t>Although the</w:t>
      </w:r>
      <w:r w:rsidRPr="0056456B">
        <w:rPr>
          <w:rFonts w:ascii="Arial" w:hAnsi="Arial" w:cs="Arial"/>
          <w:color w:val="000000"/>
        </w:rPr>
        <w:t xml:space="preserve"> 2008 Section does not normally provide a lump sum</w:t>
      </w:r>
      <w:r>
        <w:rPr>
          <w:rFonts w:ascii="Arial" w:hAnsi="Arial" w:cs="Arial"/>
          <w:color w:val="000000"/>
        </w:rPr>
        <w:t>,</w:t>
      </w:r>
      <w:r w:rsidRPr="0056456B">
        <w:rPr>
          <w:rFonts w:ascii="Arial" w:hAnsi="Arial" w:cs="Arial"/>
          <w:color w:val="000000"/>
        </w:rPr>
        <w:t xml:space="preserve"> those who </w:t>
      </w:r>
      <w:r w:rsidR="00317F10">
        <w:rPr>
          <w:rFonts w:ascii="Arial" w:hAnsi="Arial" w:cs="Arial"/>
          <w:color w:val="000000"/>
        </w:rPr>
        <w:t>elected to move</w:t>
      </w:r>
      <w:r w:rsidR="00317F10" w:rsidRPr="0056456B">
        <w:rPr>
          <w:rFonts w:ascii="Arial" w:hAnsi="Arial" w:cs="Arial"/>
          <w:color w:val="000000"/>
        </w:rPr>
        <w:t xml:space="preserve"> </w:t>
      </w:r>
      <w:r w:rsidRPr="0056456B">
        <w:rPr>
          <w:rFonts w:ascii="Arial" w:hAnsi="Arial" w:cs="Arial"/>
          <w:color w:val="000000"/>
        </w:rPr>
        <w:t>must receive the</w:t>
      </w:r>
      <w:r>
        <w:rPr>
          <w:rFonts w:ascii="Arial" w:hAnsi="Arial" w:cs="Arial"/>
          <w:color w:val="000000"/>
        </w:rPr>
        <w:t xml:space="preserve"> mandatory</w:t>
      </w:r>
      <w:r w:rsidRPr="0056456B">
        <w:rPr>
          <w:rFonts w:ascii="Arial" w:hAnsi="Arial" w:cs="Arial"/>
          <w:color w:val="000000"/>
        </w:rPr>
        <w:t xml:space="preserve"> lum</w:t>
      </w:r>
      <w:r>
        <w:rPr>
          <w:rFonts w:ascii="Arial" w:hAnsi="Arial" w:cs="Arial"/>
          <w:color w:val="000000"/>
        </w:rPr>
        <w:t xml:space="preserve">p sum they </w:t>
      </w:r>
      <w:r w:rsidR="001905E0">
        <w:rPr>
          <w:rFonts w:ascii="Arial" w:hAnsi="Arial" w:cs="Arial"/>
          <w:color w:val="000000"/>
        </w:rPr>
        <w:t>built up</w:t>
      </w:r>
      <w:r>
        <w:rPr>
          <w:rFonts w:ascii="Arial" w:hAnsi="Arial" w:cs="Arial"/>
          <w:color w:val="000000"/>
        </w:rPr>
        <w:t xml:space="preserve"> in the </w:t>
      </w:r>
      <w:r w:rsidR="002666DF">
        <w:rPr>
          <w:rFonts w:ascii="Arial" w:hAnsi="Arial" w:cs="Arial"/>
          <w:color w:val="000000"/>
        </w:rPr>
        <w:t>19</w:t>
      </w:r>
      <w:r>
        <w:rPr>
          <w:rFonts w:ascii="Arial" w:hAnsi="Arial" w:cs="Arial"/>
          <w:color w:val="000000"/>
        </w:rPr>
        <w:t xml:space="preserve">95 </w:t>
      </w:r>
      <w:r w:rsidR="001905E0">
        <w:rPr>
          <w:rFonts w:ascii="Arial" w:hAnsi="Arial" w:cs="Arial"/>
          <w:color w:val="000000"/>
        </w:rPr>
        <w:t>Section</w:t>
      </w:r>
      <w:r>
        <w:rPr>
          <w:rFonts w:ascii="Arial" w:hAnsi="Arial" w:cs="Arial"/>
          <w:color w:val="000000"/>
        </w:rPr>
        <w:t xml:space="preserve"> up to 31 March 2008.</w:t>
      </w:r>
    </w:p>
    <w:p w14:paraId="4066B358" w14:textId="77777777" w:rsidR="00BC2ACA" w:rsidRPr="0056456B"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3EFB032C"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56456B">
        <w:rPr>
          <w:rFonts w:ascii="Arial" w:hAnsi="Arial" w:cs="Arial"/>
          <w:color w:val="000000"/>
        </w:rPr>
        <w:t>A re</w:t>
      </w:r>
      <w:r w:rsidR="001905E0">
        <w:rPr>
          <w:rFonts w:ascii="Arial" w:hAnsi="Arial" w:cs="Arial"/>
          <w:color w:val="000000"/>
        </w:rPr>
        <w:t>duction is applied to the 2008 S</w:t>
      </w:r>
      <w:r w:rsidRPr="0056456B">
        <w:rPr>
          <w:rFonts w:ascii="Arial" w:hAnsi="Arial" w:cs="Arial"/>
          <w:color w:val="000000"/>
        </w:rPr>
        <w:t>ection pension to pay for the mandatory lump</w:t>
      </w:r>
      <w:r w:rsidR="001905E0">
        <w:rPr>
          <w:rFonts w:ascii="Arial" w:hAnsi="Arial" w:cs="Arial"/>
          <w:color w:val="000000"/>
        </w:rPr>
        <w:t xml:space="preserve"> sum</w:t>
      </w:r>
      <w:r w:rsidRPr="0056456B">
        <w:rPr>
          <w:rFonts w:ascii="Arial" w:hAnsi="Arial" w:cs="Arial"/>
          <w:color w:val="000000"/>
        </w:rPr>
        <w:t xml:space="preserve">. </w:t>
      </w:r>
      <w:r>
        <w:rPr>
          <w:rFonts w:ascii="Arial" w:hAnsi="Arial" w:cs="Arial"/>
          <w:color w:val="000000"/>
        </w:rPr>
        <w:t xml:space="preserve">As </w:t>
      </w:r>
      <w:r w:rsidRPr="0056456B">
        <w:rPr>
          <w:rFonts w:ascii="Arial" w:hAnsi="Arial" w:cs="Arial"/>
          <w:color w:val="000000"/>
        </w:rPr>
        <w:t>the lump sum is mandatory</w:t>
      </w:r>
      <w:r>
        <w:rPr>
          <w:rFonts w:ascii="Arial" w:hAnsi="Arial" w:cs="Arial"/>
          <w:color w:val="000000"/>
        </w:rPr>
        <w:t>,</w:t>
      </w:r>
      <w:r w:rsidRPr="0056456B">
        <w:rPr>
          <w:rFonts w:ascii="Arial" w:hAnsi="Arial" w:cs="Arial"/>
          <w:color w:val="000000"/>
        </w:rPr>
        <w:t xml:space="preserve"> the pension reduction is not subject to abatement and is excluded from the calculation of the unearned pension. </w:t>
      </w:r>
    </w:p>
    <w:p w14:paraId="3EB57E69" w14:textId="77777777" w:rsidR="00BC2ACA" w:rsidRPr="0056456B" w:rsidRDefault="00BC2ACA" w:rsidP="001501B0">
      <w:pPr>
        <w:tabs>
          <w:tab w:val="left" w:pos="1134"/>
          <w:tab w:val="left" w:pos="1560"/>
          <w:tab w:val="left" w:pos="2127"/>
        </w:tabs>
        <w:autoSpaceDE w:val="0"/>
        <w:autoSpaceDN w:val="0"/>
        <w:adjustRightInd w:val="0"/>
        <w:spacing w:after="0"/>
        <w:rPr>
          <w:rFonts w:ascii="Arial" w:hAnsi="Arial" w:cs="Arial"/>
          <w:color w:val="000000"/>
        </w:rPr>
      </w:pPr>
    </w:p>
    <w:p w14:paraId="53BF4A4D" w14:textId="77777777" w:rsidR="00BC2ACA" w:rsidRDefault="00BC2ACA" w:rsidP="001501B0">
      <w:pPr>
        <w:tabs>
          <w:tab w:val="left" w:pos="1134"/>
          <w:tab w:val="left" w:pos="1560"/>
          <w:tab w:val="left" w:pos="2127"/>
        </w:tabs>
        <w:autoSpaceDE w:val="0"/>
        <w:autoSpaceDN w:val="0"/>
        <w:adjustRightInd w:val="0"/>
        <w:spacing w:after="0"/>
        <w:rPr>
          <w:rFonts w:ascii="Arial" w:hAnsi="Arial" w:cs="Arial"/>
          <w:color w:val="000000"/>
        </w:rPr>
      </w:pPr>
      <w:r w:rsidRPr="0056456B">
        <w:rPr>
          <w:rFonts w:ascii="Arial" w:hAnsi="Arial" w:cs="Arial"/>
          <w:b/>
          <w:bCs/>
          <w:color w:val="000000"/>
        </w:rPr>
        <w:t>Important</w:t>
      </w:r>
      <w:r w:rsidRPr="0056456B">
        <w:rPr>
          <w:rFonts w:ascii="Arial" w:hAnsi="Arial" w:cs="Arial"/>
          <w:color w:val="000000"/>
        </w:rPr>
        <w:t>: If the member chooses to increase the mandatory lump sum</w:t>
      </w:r>
      <w:r>
        <w:rPr>
          <w:rFonts w:ascii="Arial" w:hAnsi="Arial" w:cs="Arial"/>
          <w:color w:val="000000"/>
        </w:rPr>
        <w:t>,</w:t>
      </w:r>
      <w:r w:rsidRPr="0056456B">
        <w:rPr>
          <w:rFonts w:ascii="Arial" w:hAnsi="Arial" w:cs="Arial"/>
          <w:color w:val="000000"/>
        </w:rPr>
        <w:t xml:space="preserve"> the pension commuted is subject to abatement and included in the calculation of the unearned pension. </w:t>
      </w:r>
    </w:p>
    <w:p w14:paraId="6C9242BD" w14:textId="77777777" w:rsidR="002666DF" w:rsidRPr="0056456B" w:rsidRDefault="002666DF" w:rsidP="001501B0">
      <w:pPr>
        <w:tabs>
          <w:tab w:val="left" w:pos="1134"/>
          <w:tab w:val="left" w:pos="1560"/>
          <w:tab w:val="left" w:pos="2127"/>
        </w:tabs>
        <w:autoSpaceDE w:val="0"/>
        <w:autoSpaceDN w:val="0"/>
        <w:adjustRightInd w:val="0"/>
        <w:spacing w:after="0"/>
        <w:rPr>
          <w:rFonts w:ascii="Arial" w:hAnsi="Arial" w:cs="Arial"/>
          <w:color w:val="000000"/>
        </w:rPr>
      </w:pPr>
    </w:p>
    <w:p w14:paraId="42173389" w14:textId="77777777" w:rsidR="00BC2ACA" w:rsidRDefault="00BC2ACA" w:rsidP="001501B0">
      <w:pPr>
        <w:tabs>
          <w:tab w:val="left" w:pos="1134"/>
          <w:tab w:val="left" w:pos="1560"/>
          <w:tab w:val="left" w:pos="2127"/>
        </w:tabs>
        <w:spacing w:after="0"/>
        <w:rPr>
          <w:rFonts w:ascii="Arial" w:hAnsi="Arial" w:cs="Arial"/>
          <w:color w:val="000000"/>
        </w:rPr>
      </w:pPr>
      <w:r w:rsidRPr="0056456B">
        <w:rPr>
          <w:rFonts w:ascii="Arial" w:hAnsi="Arial" w:cs="Arial"/>
          <w:color w:val="000000"/>
        </w:rPr>
        <w:t>In other words, the pension assessed for abatement is that after the deduction for the mandatory lump sum but before any further commutation.</w:t>
      </w:r>
    </w:p>
    <w:p w14:paraId="0F20F7BF" w14:textId="77777777" w:rsidR="001C60B8" w:rsidRDefault="001C60B8" w:rsidP="001501B0">
      <w:pPr>
        <w:tabs>
          <w:tab w:val="left" w:pos="1134"/>
          <w:tab w:val="left" w:pos="1560"/>
          <w:tab w:val="left" w:pos="2127"/>
        </w:tabs>
        <w:spacing w:after="0"/>
        <w:rPr>
          <w:rFonts w:ascii="Arial" w:hAnsi="Arial" w:cs="Arial"/>
          <w:color w:val="000000"/>
        </w:rPr>
      </w:pPr>
    </w:p>
    <w:p w14:paraId="7ECD2037" w14:textId="77777777" w:rsidR="00F5445C" w:rsidRPr="001A0BC8" w:rsidRDefault="00F5445C" w:rsidP="001A0BC8">
      <w:pPr>
        <w:pStyle w:val="Heading2"/>
      </w:pPr>
      <w:bookmarkStart w:id="10" w:name="_Toc492453616"/>
      <w:r w:rsidRPr="001A0BC8">
        <w:t>Members who transition to the 2015 Scheme with a final salary link</w:t>
      </w:r>
      <w:bookmarkEnd w:id="10"/>
    </w:p>
    <w:p w14:paraId="1E59E946" w14:textId="77777777" w:rsidR="001C60B8" w:rsidRPr="001905E0" w:rsidRDefault="001C60B8" w:rsidP="001501B0">
      <w:pPr>
        <w:tabs>
          <w:tab w:val="left" w:pos="1134"/>
          <w:tab w:val="left" w:pos="1560"/>
          <w:tab w:val="left" w:pos="2127"/>
        </w:tabs>
        <w:spacing w:after="0"/>
        <w:rPr>
          <w:rFonts w:ascii="Arial" w:hAnsi="Arial" w:cs="Arial"/>
          <w:b/>
          <w:color w:val="000000"/>
          <w:sz w:val="24"/>
        </w:rPr>
      </w:pPr>
    </w:p>
    <w:p w14:paraId="7A56EFAD" w14:textId="77777777" w:rsidR="00F5445C" w:rsidRPr="001374D1" w:rsidRDefault="00F5445C" w:rsidP="001501B0">
      <w:pPr>
        <w:tabs>
          <w:tab w:val="left" w:pos="1134"/>
          <w:tab w:val="left" w:pos="1560"/>
          <w:tab w:val="left" w:pos="2127"/>
        </w:tabs>
        <w:spacing w:after="0"/>
        <w:rPr>
          <w:rFonts w:ascii="Arial" w:hAnsi="Arial" w:cs="Arial"/>
          <w:color w:val="FF0000"/>
        </w:rPr>
      </w:pPr>
      <w:r>
        <w:rPr>
          <w:rFonts w:ascii="Arial" w:hAnsi="Arial" w:cs="Arial"/>
          <w:color w:val="000000"/>
        </w:rPr>
        <w:t>Members who have transitioned to the 2015 Scheme with a final salary link and whose pension is subject to abatement will remain so until they reach their normal pension age for each Section/Scheme. For example</w:t>
      </w:r>
      <w:r w:rsidR="001905E0">
        <w:rPr>
          <w:rFonts w:ascii="Arial" w:hAnsi="Arial" w:cs="Arial"/>
          <w:color w:val="000000"/>
        </w:rPr>
        <w:t>,</w:t>
      </w:r>
      <w:r>
        <w:rPr>
          <w:rFonts w:ascii="Arial" w:hAnsi="Arial" w:cs="Arial"/>
          <w:color w:val="000000"/>
        </w:rPr>
        <w:t xml:space="preserve"> a member who transitioned from the 1995 Section to the 2015 Scheme will have the 1995 Section element subject to abatement until age 60. However, the 2015 Scheme element of the pension will remain subject to abatement until they reach their normal pension age of the 2015 Scheme.</w:t>
      </w:r>
    </w:p>
    <w:p w14:paraId="7435CA76" w14:textId="77777777" w:rsidR="001C60B8" w:rsidRDefault="001C60B8" w:rsidP="001501B0">
      <w:pPr>
        <w:tabs>
          <w:tab w:val="left" w:pos="1134"/>
          <w:tab w:val="left" w:pos="1560"/>
          <w:tab w:val="left" w:pos="2127"/>
        </w:tabs>
        <w:spacing w:after="0"/>
        <w:rPr>
          <w:rFonts w:ascii="Arial" w:hAnsi="Arial" w:cs="Arial"/>
          <w:b/>
          <w:sz w:val="24"/>
        </w:rPr>
      </w:pPr>
    </w:p>
    <w:p w14:paraId="4EA51291" w14:textId="77777777" w:rsidR="00BC2ACA" w:rsidRPr="001A0BC8" w:rsidRDefault="001905E0" w:rsidP="001A0BC8">
      <w:pPr>
        <w:pStyle w:val="Heading2"/>
      </w:pPr>
      <w:bookmarkStart w:id="11" w:name="_Toc492453617"/>
      <w:r w:rsidRPr="001A0BC8">
        <w:t>Direction employment</w:t>
      </w:r>
      <w:bookmarkEnd w:id="11"/>
      <w:r w:rsidR="00BC2ACA" w:rsidRPr="001A0BC8">
        <w:t xml:space="preserve"> </w:t>
      </w:r>
    </w:p>
    <w:p w14:paraId="2DC62EB3" w14:textId="77777777" w:rsidR="001C60B8" w:rsidRDefault="001C60B8" w:rsidP="001501B0">
      <w:pPr>
        <w:pStyle w:val="Default"/>
        <w:tabs>
          <w:tab w:val="left" w:pos="1134"/>
          <w:tab w:val="left" w:pos="1560"/>
          <w:tab w:val="left" w:pos="2127"/>
        </w:tabs>
        <w:spacing w:line="276" w:lineRule="auto"/>
        <w:rPr>
          <w:sz w:val="22"/>
          <w:szCs w:val="22"/>
        </w:rPr>
      </w:pPr>
    </w:p>
    <w:p w14:paraId="26FA63B1" w14:textId="77777777" w:rsidR="00BC2ACA" w:rsidRDefault="00BC2ACA" w:rsidP="001501B0">
      <w:pPr>
        <w:pStyle w:val="Default"/>
        <w:tabs>
          <w:tab w:val="left" w:pos="1134"/>
          <w:tab w:val="left" w:pos="1560"/>
          <w:tab w:val="left" w:pos="2127"/>
        </w:tabs>
        <w:spacing w:line="276" w:lineRule="auto"/>
        <w:rPr>
          <w:sz w:val="22"/>
          <w:szCs w:val="22"/>
        </w:rPr>
      </w:pPr>
      <w:r w:rsidRPr="00D42F25">
        <w:rPr>
          <w:sz w:val="22"/>
          <w:szCs w:val="22"/>
        </w:rPr>
        <w:t xml:space="preserve">Although not directly employed by the NHS, pensioners who return to employment or start work for the first time with </w:t>
      </w:r>
      <w:r w:rsidR="001905E0">
        <w:rPr>
          <w:sz w:val="22"/>
          <w:szCs w:val="22"/>
        </w:rPr>
        <w:t>certain Direction e</w:t>
      </w:r>
      <w:r w:rsidRPr="00D42F25">
        <w:rPr>
          <w:sz w:val="22"/>
          <w:szCs w:val="22"/>
        </w:rPr>
        <w:t xml:space="preserve">mployers may be subject to abatement. </w:t>
      </w:r>
    </w:p>
    <w:p w14:paraId="6ECF4EE5" w14:textId="77777777" w:rsidR="001905E0" w:rsidRPr="00D42F25" w:rsidRDefault="001905E0" w:rsidP="001501B0">
      <w:pPr>
        <w:pStyle w:val="Default"/>
        <w:tabs>
          <w:tab w:val="left" w:pos="1134"/>
          <w:tab w:val="left" w:pos="1560"/>
          <w:tab w:val="left" w:pos="2127"/>
        </w:tabs>
        <w:spacing w:line="276" w:lineRule="auto"/>
        <w:rPr>
          <w:sz w:val="22"/>
          <w:szCs w:val="22"/>
        </w:rPr>
      </w:pPr>
    </w:p>
    <w:p w14:paraId="22129FFA" w14:textId="77777777" w:rsidR="00BC2ACA" w:rsidRDefault="00BC2ACA" w:rsidP="001501B0">
      <w:pPr>
        <w:tabs>
          <w:tab w:val="left" w:pos="1134"/>
          <w:tab w:val="left" w:pos="1560"/>
          <w:tab w:val="left" w:pos="2127"/>
        </w:tabs>
        <w:spacing w:after="0"/>
        <w:rPr>
          <w:rFonts w:ascii="Arial" w:hAnsi="Arial" w:cs="Arial"/>
        </w:rPr>
      </w:pPr>
      <w:r w:rsidRPr="00D42F25">
        <w:rPr>
          <w:rFonts w:ascii="Arial" w:hAnsi="Arial" w:cs="Arial"/>
        </w:rPr>
        <w:t xml:space="preserve">Those affected </w:t>
      </w:r>
      <w:r w:rsidR="00AE54E1">
        <w:rPr>
          <w:rFonts w:ascii="Arial" w:hAnsi="Arial" w:cs="Arial"/>
        </w:rPr>
        <w:t>include</w:t>
      </w:r>
      <w:r w:rsidR="00AE54E1" w:rsidRPr="00D42F25">
        <w:rPr>
          <w:rFonts w:ascii="Arial" w:hAnsi="Arial" w:cs="Arial"/>
        </w:rPr>
        <w:t xml:space="preserve"> </w:t>
      </w:r>
      <w:r w:rsidRPr="00D42F25">
        <w:rPr>
          <w:rFonts w:ascii="Arial" w:hAnsi="Arial" w:cs="Arial"/>
        </w:rPr>
        <w:t>pensioners who would otherwise satisfy the normal conditions to be a member of the Scheme with the direction employer, but who are not eligible to join because they are already in receipt of their pension.</w:t>
      </w:r>
    </w:p>
    <w:p w14:paraId="3F900C2B" w14:textId="77777777" w:rsidR="001C60B8" w:rsidRDefault="001C60B8" w:rsidP="001501B0">
      <w:pPr>
        <w:pStyle w:val="Default"/>
        <w:tabs>
          <w:tab w:val="left" w:pos="1134"/>
          <w:tab w:val="left" w:pos="1560"/>
          <w:tab w:val="left" w:pos="2127"/>
        </w:tabs>
        <w:spacing w:line="276" w:lineRule="auto"/>
        <w:rPr>
          <w:sz w:val="22"/>
          <w:szCs w:val="22"/>
        </w:rPr>
      </w:pPr>
    </w:p>
    <w:p w14:paraId="142F9901" w14:textId="77777777" w:rsidR="00BC2ACA" w:rsidRDefault="001905E0" w:rsidP="001501B0">
      <w:pPr>
        <w:pStyle w:val="Default"/>
        <w:tabs>
          <w:tab w:val="left" w:pos="1134"/>
          <w:tab w:val="left" w:pos="1560"/>
          <w:tab w:val="left" w:pos="2127"/>
        </w:tabs>
        <w:spacing w:line="276" w:lineRule="auto"/>
        <w:rPr>
          <w:sz w:val="22"/>
          <w:szCs w:val="22"/>
        </w:rPr>
      </w:pPr>
      <w:r>
        <w:rPr>
          <w:sz w:val="22"/>
          <w:szCs w:val="22"/>
        </w:rPr>
        <w:t>In summary, where a S</w:t>
      </w:r>
      <w:r w:rsidR="00BC2ACA">
        <w:rPr>
          <w:sz w:val="22"/>
          <w:szCs w:val="22"/>
        </w:rPr>
        <w:t>cheme pensioner ret</w:t>
      </w:r>
      <w:r>
        <w:rPr>
          <w:sz w:val="22"/>
          <w:szCs w:val="22"/>
        </w:rPr>
        <w:t>urns to (or joins) a Direction e</w:t>
      </w:r>
      <w:r w:rsidR="00BC2ACA">
        <w:rPr>
          <w:sz w:val="22"/>
          <w:szCs w:val="22"/>
        </w:rPr>
        <w:t xml:space="preserve">mployer, their NHS </w:t>
      </w:r>
      <w:r>
        <w:rPr>
          <w:sz w:val="22"/>
          <w:szCs w:val="22"/>
        </w:rPr>
        <w:t>pension benefi</w:t>
      </w:r>
      <w:r w:rsidR="00BC2ACA">
        <w:rPr>
          <w:sz w:val="22"/>
          <w:szCs w:val="22"/>
        </w:rPr>
        <w:t xml:space="preserve">ts may be suspended or abated if any of the following occur: </w:t>
      </w:r>
    </w:p>
    <w:p w14:paraId="010D6481" w14:textId="77777777" w:rsidR="00BC2ACA" w:rsidRDefault="00BC2ACA" w:rsidP="001501B0">
      <w:pPr>
        <w:pStyle w:val="Default"/>
        <w:tabs>
          <w:tab w:val="left" w:pos="1134"/>
          <w:tab w:val="left" w:pos="1560"/>
          <w:tab w:val="left" w:pos="2127"/>
        </w:tabs>
        <w:spacing w:line="276" w:lineRule="auto"/>
        <w:rPr>
          <w:sz w:val="22"/>
          <w:szCs w:val="22"/>
        </w:rPr>
      </w:pPr>
    </w:p>
    <w:p w14:paraId="79D5519F" w14:textId="77777777" w:rsidR="00BC2ACA" w:rsidRDefault="00BC2ACA" w:rsidP="001501B0">
      <w:pPr>
        <w:pStyle w:val="Default"/>
        <w:numPr>
          <w:ilvl w:val="0"/>
          <w:numId w:val="8"/>
        </w:numPr>
        <w:tabs>
          <w:tab w:val="left" w:pos="1134"/>
          <w:tab w:val="left" w:pos="1560"/>
          <w:tab w:val="left" w:pos="2127"/>
        </w:tabs>
        <w:spacing w:line="276" w:lineRule="auto"/>
        <w:rPr>
          <w:sz w:val="22"/>
          <w:szCs w:val="22"/>
        </w:rPr>
      </w:pPr>
      <w:r>
        <w:rPr>
          <w:sz w:val="22"/>
          <w:szCs w:val="22"/>
        </w:rPr>
        <w:t>The employee would have</w:t>
      </w:r>
      <w:r w:rsidR="001905E0">
        <w:rPr>
          <w:sz w:val="22"/>
          <w:szCs w:val="22"/>
        </w:rPr>
        <w:t xml:space="preserve"> potentially been eligible for </w:t>
      </w:r>
      <w:r w:rsidR="00EB4D19">
        <w:rPr>
          <w:sz w:val="22"/>
          <w:szCs w:val="22"/>
        </w:rPr>
        <w:t xml:space="preserve">NHS Pension </w:t>
      </w:r>
      <w:r w:rsidR="001905E0">
        <w:rPr>
          <w:sz w:val="22"/>
          <w:szCs w:val="22"/>
        </w:rPr>
        <w:t>S</w:t>
      </w:r>
      <w:r>
        <w:rPr>
          <w:sz w:val="22"/>
          <w:szCs w:val="22"/>
        </w:rPr>
        <w:t xml:space="preserve">cheme membership, under the terms of the Direction, had they not been in receipt of </w:t>
      </w:r>
      <w:r w:rsidR="00EB4D19">
        <w:rPr>
          <w:sz w:val="22"/>
          <w:szCs w:val="22"/>
        </w:rPr>
        <w:t xml:space="preserve">their </w:t>
      </w:r>
      <w:r>
        <w:rPr>
          <w:sz w:val="22"/>
          <w:szCs w:val="22"/>
        </w:rPr>
        <w:t xml:space="preserve">pension benefits. </w:t>
      </w:r>
    </w:p>
    <w:p w14:paraId="07A939C7" w14:textId="77777777" w:rsidR="00BC2ACA" w:rsidRDefault="00BC2ACA" w:rsidP="001501B0">
      <w:pPr>
        <w:pStyle w:val="Default"/>
        <w:numPr>
          <w:ilvl w:val="0"/>
          <w:numId w:val="8"/>
        </w:numPr>
        <w:tabs>
          <w:tab w:val="left" w:pos="1134"/>
          <w:tab w:val="left" w:pos="1560"/>
          <w:tab w:val="left" w:pos="2127"/>
        </w:tabs>
        <w:spacing w:line="276" w:lineRule="auto"/>
        <w:rPr>
          <w:sz w:val="22"/>
          <w:szCs w:val="22"/>
        </w:rPr>
      </w:pPr>
      <w:r>
        <w:rPr>
          <w:sz w:val="22"/>
          <w:szCs w:val="22"/>
        </w:rPr>
        <w:t>The re-employment (new employment) is in r</w:t>
      </w:r>
      <w:r w:rsidR="001905E0">
        <w:rPr>
          <w:sz w:val="22"/>
          <w:szCs w:val="22"/>
        </w:rPr>
        <w:t>espect of the provision of NHS s</w:t>
      </w:r>
      <w:r>
        <w:rPr>
          <w:sz w:val="22"/>
          <w:szCs w:val="22"/>
        </w:rPr>
        <w:t>ervices</w:t>
      </w:r>
      <w:r w:rsidR="00EB4D19">
        <w:rPr>
          <w:sz w:val="22"/>
          <w:szCs w:val="22"/>
        </w:rPr>
        <w:t xml:space="preserve"> or NHS Funded services</w:t>
      </w:r>
      <w:r>
        <w:rPr>
          <w:sz w:val="22"/>
          <w:szCs w:val="22"/>
        </w:rPr>
        <w:t xml:space="preserve">. </w:t>
      </w:r>
    </w:p>
    <w:p w14:paraId="021A2D70" w14:textId="77777777" w:rsidR="00441AB9" w:rsidRPr="00246011" w:rsidRDefault="001501B0" w:rsidP="001A0BC8">
      <w:pPr>
        <w:pStyle w:val="Heading1"/>
      </w:pPr>
      <w:bookmarkStart w:id="12" w:name="_Toc492453618"/>
      <w:r w:rsidRPr="001501B0">
        <w:rPr>
          <w:noProof/>
        </w:rPr>
        <w:drawing>
          <wp:anchor distT="0" distB="0" distL="114300" distR="114300" simplePos="0" relativeHeight="251658243" behindDoc="1" locked="0" layoutInCell="1" allowOverlap="1" wp14:anchorId="56518AFF" wp14:editId="114E3733">
            <wp:simplePos x="0" y="0"/>
            <wp:positionH relativeFrom="column">
              <wp:posOffset>-3810</wp:posOffset>
            </wp:positionH>
            <wp:positionV relativeFrom="paragraph">
              <wp:posOffset>-140335</wp:posOffset>
            </wp:positionV>
            <wp:extent cx="683895" cy="493395"/>
            <wp:effectExtent l="0" t="0" r="1905" b="1905"/>
            <wp:wrapTight wrapText="bothSides">
              <wp:wrapPolygon edited="0">
                <wp:start x="3610" y="0"/>
                <wp:lineTo x="0" y="3336"/>
                <wp:lineTo x="0" y="15846"/>
                <wp:lineTo x="3008" y="20849"/>
                <wp:lineTo x="11432" y="20849"/>
                <wp:lineTo x="15643" y="13344"/>
                <wp:lineTo x="21058" y="11676"/>
                <wp:lineTo x="21058" y="9174"/>
                <wp:lineTo x="10830" y="0"/>
                <wp:lineTo x="361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389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0DE">
        <w:t>Example</w:t>
      </w:r>
      <w:r w:rsidR="00441AB9" w:rsidRPr="00246011">
        <w:t xml:space="preserve">: Payable </w:t>
      </w:r>
      <w:r w:rsidR="001905E0" w:rsidRPr="00246011">
        <w:t>d</w:t>
      </w:r>
      <w:r w:rsidR="00441AB9" w:rsidRPr="00246011">
        <w:t>ate on or after 01/05/2014</w:t>
      </w:r>
      <w:bookmarkEnd w:id="12"/>
      <w:r w:rsidR="00441AB9" w:rsidRPr="00246011">
        <w:t xml:space="preserve"> </w:t>
      </w:r>
    </w:p>
    <w:p w14:paraId="414DC042" w14:textId="77777777" w:rsidR="00441AB9" w:rsidRPr="00441AB9" w:rsidRDefault="00441AB9" w:rsidP="001501B0">
      <w:pPr>
        <w:tabs>
          <w:tab w:val="left" w:pos="1134"/>
          <w:tab w:val="left" w:pos="1560"/>
          <w:tab w:val="left" w:pos="2127"/>
        </w:tabs>
        <w:autoSpaceDE w:val="0"/>
        <w:autoSpaceDN w:val="0"/>
        <w:adjustRightInd w:val="0"/>
        <w:spacing w:after="0"/>
        <w:rPr>
          <w:rFonts w:ascii="Arial" w:hAnsi="Arial" w:cs="Arial"/>
          <w:sz w:val="24"/>
          <w:szCs w:val="24"/>
          <w:lang w:eastAsia="en-GB"/>
        </w:rPr>
      </w:pPr>
    </w:p>
    <w:p w14:paraId="5ED58203" w14:textId="77777777" w:rsidR="00441AB9" w:rsidRDefault="009A12F9" w:rsidP="001501B0">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 xml:space="preserve">Factors used have been taken from the </w:t>
      </w:r>
      <w:r w:rsidR="001905E0">
        <w:rPr>
          <w:rFonts w:ascii="Arial" w:hAnsi="Arial" w:cs="Arial"/>
          <w:lang w:eastAsia="en-GB"/>
        </w:rPr>
        <w:t>Government Actuaries Department (</w:t>
      </w:r>
      <w:r>
        <w:rPr>
          <w:rFonts w:ascii="Arial" w:hAnsi="Arial" w:cs="Arial"/>
          <w:lang w:eastAsia="en-GB"/>
        </w:rPr>
        <w:t>GAD</w:t>
      </w:r>
      <w:r w:rsidR="001905E0">
        <w:rPr>
          <w:rFonts w:ascii="Arial" w:hAnsi="Arial" w:cs="Arial"/>
          <w:lang w:eastAsia="en-GB"/>
        </w:rPr>
        <w:t>)</w:t>
      </w:r>
      <w:r>
        <w:rPr>
          <w:rFonts w:ascii="Arial" w:hAnsi="Arial" w:cs="Arial"/>
          <w:lang w:eastAsia="en-GB"/>
        </w:rPr>
        <w:t xml:space="preserve"> Abatement</w:t>
      </w:r>
      <w:r w:rsidR="00441AB9" w:rsidRPr="00441AB9">
        <w:rPr>
          <w:rFonts w:ascii="Arial" w:hAnsi="Arial" w:cs="Arial"/>
          <w:lang w:eastAsia="en-GB"/>
        </w:rPr>
        <w:t xml:space="preserve"> tables dated 10 March 2014. </w:t>
      </w:r>
    </w:p>
    <w:p w14:paraId="3FE99C5C" w14:textId="77777777" w:rsidR="00441AB9" w:rsidRDefault="00441AB9" w:rsidP="001501B0">
      <w:pPr>
        <w:tabs>
          <w:tab w:val="left" w:pos="1134"/>
          <w:tab w:val="left" w:pos="1560"/>
          <w:tab w:val="left" w:pos="2127"/>
        </w:tabs>
        <w:autoSpaceDE w:val="0"/>
        <w:autoSpaceDN w:val="0"/>
        <w:adjustRightInd w:val="0"/>
        <w:spacing w:after="0"/>
        <w:rPr>
          <w:rFonts w:ascii="Arial" w:hAnsi="Arial" w:cs="Arial"/>
          <w:lang w:eastAsia="en-GB"/>
        </w:rPr>
      </w:pPr>
    </w:p>
    <w:p w14:paraId="00204526" w14:textId="77777777" w:rsidR="00441AB9" w:rsidRPr="00246011" w:rsidRDefault="001905E0" w:rsidP="001501B0">
      <w:pPr>
        <w:tabs>
          <w:tab w:val="left" w:pos="1134"/>
          <w:tab w:val="left" w:pos="1560"/>
          <w:tab w:val="left" w:pos="2127"/>
        </w:tabs>
        <w:autoSpaceDE w:val="0"/>
        <w:autoSpaceDN w:val="0"/>
        <w:adjustRightInd w:val="0"/>
        <w:spacing w:after="0"/>
        <w:rPr>
          <w:rFonts w:ascii="Arial" w:hAnsi="Arial" w:cs="Arial"/>
          <w:b/>
          <w:bCs/>
          <w:sz w:val="24"/>
          <w:szCs w:val="23"/>
          <w:lang w:eastAsia="en-GB"/>
        </w:rPr>
      </w:pPr>
      <w:r w:rsidRPr="00246011">
        <w:rPr>
          <w:rFonts w:ascii="Arial" w:hAnsi="Arial" w:cs="Arial"/>
          <w:b/>
          <w:bCs/>
          <w:sz w:val="24"/>
          <w:szCs w:val="23"/>
          <w:lang w:eastAsia="en-GB"/>
        </w:rPr>
        <w:t>1995 S</w:t>
      </w:r>
      <w:r w:rsidR="00441AB9" w:rsidRPr="00246011">
        <w:rPr>
          <w:rFonts w:ascii="Arial" w:hAnsi="Arial" w:cs="Arial"/>
          <w:b/>
          <w:bCs/>
          <w:sz w:val="24"/>
          <w:szCs w:val="23"/>
          <w:lang w:eastAsia="en-GB"/>
        </w:rPr>
        <w:t xml:space="preserve">ection </w:t>
      </w:r>
      <w:r w:rsidRPr="00246011">
        <w:rPr>
          <w:rFonts w:ascii="Arial" w:hAnsi="Arial" w:cs="Arial"/>
          <w:b/>
          <w:bCs/>
          <w:sz w:val="24"/>
          <w:szCs w:val="23"/>
          <w:lang w:eastAsia="en-GB"/>
        </w:rPr>
        <w:t>active/de</w:t>
      </w:r>
      <w:r w:rsidR="00441AB9" w:rsidRPr="00246011">
        <w:rPr>
          <w:rFonts w:ascii="Arial" w:hAnsi="Arial" w:cs="Arial"/>
          <w:b/>
          <w:bCs/>
          <w:sz w:val="24"/>
          <w:szCs w:val="23"/>
          <w:lang w:eastAsia="en-GB"/>
        </w:rPr>
        <w:t xml:space="preserve">ferred Tier 1 with Added Years for payable dates on or after 23/03/2011 </w:t>
      </w:r>
    </w:p>
    <w:p w14:paraId="71098078" w14:textId="77777777" w:rsidR="00441AB9" w:rsidRPr="00441AB9" w:rsidRDefault="00441AB9" w:rsidP="005F0F6B">
      <w:pPr>
        <w:tabs>
          <w:tab w:val="left" w:pos="1134"/>
          <w:tab w:val="left" w:pos="1560"/>
          <w:tab w:val="left" w:pos="2127"/>
        </w:tabs>
        <w:autoSpaceDE w:val="0"/>
        <w:autoSpaceDN w:val="0"/>
        <w:adjustRightInd w:val="0"/>
        <w:spacing w:after="0" w:line="240" w:lineRule="auto"/>
        <w:rPr>
          <w:rFonts w:ascii="Arial" w:hAnsi="Arial" w:cs="Arial"/>
          <w:sz w:val="23"/>
          <w:szCs w:val="23"/>
          <w:lang w:eastAsia="en-GB"/>
        </w:rPr>
      </w:pPr>
    </w:p>
    <w:p w14:paraId="1492683F" w14:textId="77777777" w:rsidR="00441AB9" w:rsidRDefault="001905E0" w:rsidP="005F0F6B">
      <w:pPr>
        <w:tabs>
          <w:tab w:val="left" w:pos="1134"/>
          <w:tab w:val="left" w:pos="1560"/>
          <w:tab w:val="left" w:pos="2127"/>
        </w:tabs>
        <w:autoSpaceDE w:val="0"/>
        <w:autoSpaceDN w:val="0"/>
        <w:adjustRightInd w:val="0"/>
        <w:spacing w:after="0" w:line="240" w:lineRule="auto"/>
        <w:rPr>
          <w:rFonts w:ascii="Arial" w:hAnsi="Arial" w:cs="Arial"/>
          <w:lang w:eastAsia="en-GB"/>
        </w:rPr>
      </w:pPr>
      <w:r>
        <w:rPr>
          <w:rFonts w:ascii="Arial" w:hAnsi="Arial" w:cs="Arial"/>
          <w:lang w:eastAsia="en-GB"/>
        </w:rPr>
        <w:t>Date of b</w:t>
      </w:r>
      <w:r w:rsidR="00441AB9" w:rsidRPr="00441AB9">
        <w:rPr>
          <w:rFonts w:ascii="Arial" w:hAnsi="Arial" w:cs="Arial"/>
          <w:lang w:eastAsia="en-GB"/>
        </w:rPr>
        <w:t xml:space="preserve">irth: 18/04/1959 </w:t>
      </w:r>
      <w:r w:rsidR="003E4FEE">
        <w:rPr>
          <w:rFonts w:ascii="Arial" w:hAnsi="Arial" w:cs="Arial"/>
          <w:lang w:eastAsia="en-GB"/>
        </w:rPr>
        <w:tab/>
      </w:r>
      <w:r w:rsidR="003E4FEE">
        <w:rPr>
          <w:rFonts w:ascii="Arial" w:hAnsi="Arial" w:cs="Arial"/>
          <w:lang w:eastAsia="en-GB"/>
        </w:rPr>
        <w:tab/>
      </w:r>
      <w:r w:rsidR="003E4FEE">
        <w:rPr>
          <w:rFonts w:ascii="Arial" w:hAnsi="Arial" w:cs="Arial"/>
          <w:lang w:eastAsia="en-GB"/>
        </w:rPr>
        <w:tab/>
      </w:r>
      <w:r w:rsidR="001A0047">
        <w:rPr>
          <w:rFonts w:ascii="Arial" w:hAnsi="Arial" w:cs="Arial"/>
          <w:lang w:eastAsia="en-GB"/>
        </w:rPr>
        <w:tab/>
      </w:r>
      <w:r w:rsidR="00441AB9" w:rsidRPr="00441AB9">
        <w:rPr>
          <w:rFonts w:ascii="Arial" w:hAnsi="Arial" w:cs="Arial"/>
          <w:lang w:eastAsia="en-GB"/>
        </w:rPr>
        <w:t xml:space="preserve">Disallowed </w:t>
      </w:r>
      <w:r>
        <w:rPr>
          <w:rFonts w:ascii="Arial" w:hAnsi="Arial" w:cs="Arial"/>
          <w:lang w:eastAsia="en-GB"/>
        </w:rPr>
        <w:t>d</w:t>
      </w:r>
      <w:r w:rsidR="00441AB9" w:rsidRPr="00441AB9">
        <w:rPr>
          <w:rFonts w:ascii="Arial" w:hAnsi="Arial" w:cs="Arial"/>
          <w:lang w:eastAsia="en-GB"/>
        </w:rPr>
        <w:t xml:space="preserve">ays: 0:001 </w:t>
      </w:r>
    </w:p>
    <w:p w14:paraId="4FB5E2EC" w14:textId="77777777" w:rsidR="00441AB9" w:rsidRPr="00441AB9" w:rsidRDefault="00441AB9" w:rsidP="005F0F6B">
      <w:pPr>
        <w:tabs>
          <w:tab w:val="left" w:pos="1134"/>
          <w:tab w:val="left" w:pos="1560"/>
          <w:tab w:val="left" w:pos="2127"/>
        </w:tabs>
        <w:autoSpaceDE w:val="0"/>
        <w:autoSpaceDN w:val="0"/>
        <w:adjustRightInd w:val="0"/>
        <w:spacing w:after="0" w:line="240" w:lineRule="auto"/>
        <w:rPr>
          <w:rFonts w:ascii="Arial" w:hAnsi="Arial" w:cs="Arial"/>
          <w:lang w:eastAsia="en-GB"/>
        </w:rPr>
      </w:pPr>
    </w:p>
    <w:p w14:paraId="0FCF4DC1" w14:textId="77777777" w:rsidR="00441AB9" w:rsidRDefault="00441AB9" w:rsidP="005F0F6B">
      <w:pPr>
        <w:tabs>
          <w:tab w:val="left" w:pos="1134"/>
          <w:tab w:val="left" w:pos="1560"/>
          <w:tab w:val="left" w:pos="2127"/>
        </w:tabs>
        <w:autoSpaceDE w:val="0"/>
        <w:autoSpaceDN w:val="0"/>
        <w:adjustRightInd w:val="0"/>
        <w:spacing w:after="0" w:line="240" w:lineRule="auto"/>
        <w:rPr>
          <w:rFonts w:ascii="Arial" w:hAnsi="Arial" w:cs="Arial"/>
          <w:lang w:eastAsia="en-GB"/>
        </w:rPr>
      </w:pPr>
      <w:r w:rsidRPr="00441AB9">
        <w:rPr>
          <w:rFonts w:ascii="Arial" w:hAnsi="Arial" w:cs="Arial"/>
          <w:lang w:eastAsia="en-GB"/>
        </w:rPr>
        <w:t xml:space="preserve">Payable </w:t>
      </w:r>
      <w:r w:rsidR="001905E0">
        <w:rPr>
          <w:rFonts w:ascii="Arial" w:hAnsi="Arial" w:cs="Arial"/>
          <w:lang w:eastAsia="en-GB"/>
        </w:rPr>
        <w:t>d</w:t>
      </w:r>
      <w:r w:rsidRPr="00441AB9">
        <w:rPr>
          <w:rFonts w:ascii="Arial" w:hAnsi="Arial" w:cs="Arial"/>
          <w:lang w:eastAsia="en-GB"/>
        </w:rPr>
        <w:t xml:space="preserve">ate: 02/06/2014 </w:t>
      </w:r>
      <w:r w:rsidR="003E4FEE">
        <w:rPr>
          <w:rFonts w:ascii="Arial" w:hAnsi="Arial" w:cs="Arial"/>
          <w:lang w:eastAsia="en-GB"/>
        </w:rPr>
        <w:tab/>
      </w:r>
      <w:r w:rsidR="003E4FEE">
        <w:rPr>
          <w:rFonts w:ascii="Arial" w:hAnsi="Arial" w:cs="Arial"/>
          <w:lang w:eastAsia="en-GB"/>
        </w:rPr>
        <w:tab/>
      </w:r>
      <w:r w:rsidR="003E4FEE">
        <w:rPr>
          <w:rFonts w:ascii="Arial" w:hAnsi="Arial" w:cs="Arial"/>
          <w:lang w:eastAsia="en-GB"/>
        </w:rPr>
        <w:tab/>
      </w:r>
      <w:r w:rsidR="001A0047">
        <w:rPr>
          <w:rFonts w:ascii="Arial" w:hAnsi="Arial" w:cs="Arial"/>
          <w:lang w:eastAsia="en-GB"/>
        </w:rPr>
        <w:tab/>
      </w:r>
      <w:r w:rsidRPr="00441AB9">
        <w:rPr>
          <w:rFonts w:ascii="Arial" w:hAnsi="Arial" w:cs="Arial"/>
          <w:lang w:eastAsia="en-GB"/>
        </w:rPr>
        <w:t xml:space="preserve">Pension </w:t>
      </w:r>
      <w:r w:rsidR="001905E0">
        <w:rPr>
          <w:rFonts w:ascii="Arial" w:hAnsi="Arial" w:cs="Arial"/>
          <w:lang w:eastAsia="en-GB"/>
        </w:rPr>
        <w:t>f</w:t>
      </w:r>
      <w:r w:rsidRPr="00441AB9">
        <w:rPr>
          <w:rFonts w:ascii="Arial" w:hAnsi="Arial" w:cs="Arial"/>
          <w:lang w:eastAsia="en-GB"/>
        </w:rPr>
        <w:t xml:space="preserve">actor AB1: 0.793 </w:t>
      </w:r>
    </w:p>
    <w:p w14:paraId="1EE6ACAC" w14:textId="77777777" w:rsidR="00441AB9" w:rsidRPr="00441AB9" w:rsidRDefault="00441AB9" w:rsidP="005F0F6B">
      <w:pPr>
        <w:tabs>
          <w:tab w:val="left" w:pos="1134"/>
          <w:tab w:val="left" w:pos="1560"/>
          <w:tab w:val="left" w:pos="2127"/>
        </w:tabs>
        <w:autoSpaceDE w:val="0"/>
        <w:autoSpaceDN w:val="0"/>
        <w:adjustRightInd w:val="0"/>
        <w:spacing w:after="0" w:line="240" w:lineRule="auto"/>
        <w:rPr>
          <w:rFonts w:ascii="Arial" w:hAnsi="Arial" w:cs="Arial"/>
          <w:lang w:eastAsia="en-GB"/>
        </w:rPr>
      </w:pPr>
    </w:p>
    <w:p w14:paraId="127B07DF" w14:textId="77777777" w:rsidR="00441AB9" w:rsidRDefault="00441AB9" w:rsidP="005F0F6B">
      <w:pPr>
        <w:tabs>
          <w:tab w:val="left" w:pos="1134"/>
          <w:tab w:val="left" w:pos="1560"/>
          <w:tab w:val="left" w:pos="2127"/>
        </w:tabs>
        <w:autoSpaceDE w:val="0"/>
        <w:autoSpaceDN w:val="0"/>
        <w:adjustRightInd w:val="0"/>
        <w:spacing w:after="0" w:line="240" w:lineRule="auto"/>
        <w:rPr>
          <w:rFonts w:ascii="Arial" w:hAnsi="Arial" w:cs="Arial"/>
          <w:lang w:eastAsia="en-GB"/>
        </w:rPr>
      </w:pPr>
      <w:r w:rsidRPr="00441AB9">
        <w:rPr>
          <w:rFonts w:ascii="Arial" w:hAnsi="Arial" w:cs="Arial"/>
          <w:lang w:eastAsia="en-GB"/>
        </w:rPr>
        <w:t xml:space="preserve">Age at </w:t>
      </w:r>
      <w:r w:rsidR="001905E0" w:rsidRPr="00441AB9">
        <w:rPr>
          <w:rFonts w:ascii="Arial" w:hAnsi="Arial" w:cs="Arial"/>
          <w:lang w:eastAsia="en-GB"/>
        </w:rPr>
        <w:t>payable d</w:t>
      </w:r>
      <w:r w:rsidRPr="00441AB9">
        <w:rPr>
          <w:rFonts w:ascii="Arial" w:hAnsi="Arial" w:cs="Arial"/>
          <w:lang w:eastAsia="en-GB"/>
        </w:rPr>
        <w:t>ate: 55 y</w:t>
      </w:r>
      <w:r w:rsidR="001905E0">
        <w:rPr>
          <w:rFonts w:ascii="Arial" w:hAnsi="Arial" w:cs="Arial"/>
          <w:lang w:eastAsia="en-GB"/>
        </w:rPr>
        <w:t>ea</w:t>
      </w:r>
      <w:r w:rsidRPr="00441AB9">
        <w:rPr>
          <w:rFonts w:ascii="Arial" w:hAnsi="Arial" w:cs="Arial"/>
          <w:lang w:eastAsia="en-GB"/>
        </w:rPr>
        <w:t xml:space="preserve">rs 1 month </w:t>
      </w:r>
      <w:r w:rsidR="003E4FEE">
        <w:rPr>
          <w:rFonts w:ascii="Arial" w:hAnsi="Arial" w:cs="Arial"/>
          <w:lang w:eastAsia="en-GB"/>
        </w:rPr>
        <w:tab/>
      </w:r>
      <w:r w:rsidR="001A0047">
        <w:rPr>
          <w:rFonts w:ascii="Arial" w:hAnsi="Arial" w:cs="Arial"/>
          <w:lang w:eastAsia="en-GB"/>
        </w:rPr>
        <w:tab/>
      </w:r>
      <w:r w:rsidRPr="00441AB9">
        <w:rPr>
          <w:rFonts w:ascii="Arial" w:hAnsi="Arial" w:cs="Arial"/>
          <w:lang w:eastAsia="en-GB"/>
        </w:rPr>
        <w:t xml:space="preserve">Added Years </w:t>
      </w:r>
      <w:r w:rsidR="001905E0">
        <w:rPr>
          <w:rFonts w:ascii="Arial" w:hAnsi="Arial" w:cs="Arial"/>
          <w:lang w:eastAsia="en-GB"/>
        </w:rPr>
        <w:t>f</w:t>
      </w:r>
      <w:r w:rsidRPr="00441AB9">
        <w:rPr>
          <w:rFonts w:ascii="Arial" w:hAnsi="Arial" w:cs="Arial"/>
          <w:lang w:eastAsia="en-GB"/>
        </w:rPr>
        <w:t xml:space="preserve">actor AB1/AB2/AB5: 0.793 </w:t>
      </w:r>
    </w:p>
    <w:p w14:paraId="14E9B122" w14:textId="77777777" w:rsidR="00441AB9" w:rsidRPr="00441AB9" w:rsidRDefault="00441AB9" w:rsidP="001501B0">
      <w:pPr>
        <w:tabs>
          <w:tab w:val="left" w:pos="1134"/>
          <w:tab w:val="left" w:pos="1560"/>
          <w:tab w:val="left" w:pos="2127"/>
        </w:tabs>
        <w:autoSpaceDE w:val="0"/>
        <w:autoSpaceDN w:val="0"/>
        <w:adjustRightInd w:val="0"/>
        <w:spacing w:after="0"/>
        <w:rPr>
          <w:rFonts w:ascii="Arial" w:hAnsi="Arial" w:cs="Arial"/>
          <w:lang w:eastAsia="en-GB"/>
        </w:rPr>
      </w:pPr>
    </w:p>
    <w:p w14:paraId="643D24E4" w14:textId="77777777" w:rsidR="00441AB9" w:rsidRPr="00441AB9" w:rsidRDefault="00441AB9" w:rsidP="001501B0">
      <w:pPr>
        <w:tabs>
          <w:tab w:val="left" w:pos="1134"/>
          <w:tab w:val="left" w:pos="1560"/>
          <w:tab w:val="left" w:pos="2127"/>
        </w:tabs>
        <w:autoSpaceDE w:val="0"/>
        <w:autoSpaceDN w:val="0"/>
        <w:adjustRightInd w:val="0"/>
        <w:spacing w:after="0"/>
        <w:rPr>
          <w:rFonts w:ascii="Arial" w:hAnsi="Arial" w:cs="Arial"/>
          <w:b/>
          <w:lang w:eastAsia="en-GB"/>
        </w:rPr>
      </w:pPr>
      <w:r w:rsidRPr="00441AB9">
        <w:rPr>
          <w:rFonts w:ascii="Arial" w:hAnsi="Arial" w:cs="Arial"/>
          <w:b/>
          <w:lang w:eastAsia="en-GB"/>
        </w:rPr>
        <w:t xml:space="preserve">Pension in </w:t>
      </w:r>
      <w:r w:rsidR="001905E0">
        <w:rPr>
          <w:rFonts w:ascii="Arial" w:hAnsi="Arial" w:cs="Arial"/>
          <w:b/>
          <w:lang w:eastAsia="en-GB"/>
        </w:rPr>
        <w:t>p</w:t>
      </w:r>
      <w:r w:rsidRPr="00441AB9">
        <w:rPr>
          <w:rFonts w:ascii="Arial" w:hAnsi="Arial" w:cs="Arial"/>
          <w:b/>
          <w:lang w:eastAsia="en-GB"/>
        </w:rPr>
        <w:t xml:space="preserve">ayment: </w:t>
      </w:r>
    </w:p>
    <w:p w14:paraId="18BD19DE" w14:textId="77777777" w:rsidR="00441AB9" w:rsidRDefault="00441AB9" w:rsidP="001501B0">
      <w:pPr>
        <w:tabs>
          <w:tab w:val="left" w:pos="1134"/>
          <w:tab w:val="left" w:pos="1560"/>
          <w:tab w:val="left" w:pos="2127"/>
        </w:tabs>
        <w:autoSpaceDE w:val="0"/>
        <w:autoSpaceDN w:val="0"/>
        <w:adjustRightInd w:val="0"/>
        <w:spacing w:after="0"/>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788"/>
        <w:gridCol w:w="5017"/>
        <w:gridCol w:w="1462"/>
      </w:tblGrid>
      <w:tr w:rsidR="001A4031" w14:paraId="58279951" w14:textId="77777777" w:rsidTr="005F0F6B">
        <w:tc>
          <w:tcPr>
            <w:tcW w:w="2518" w:type="dxa"/>
          </w:tcPr>
          <w:p w14:paraId="299627BA"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 xml:space="preserve">Basic </w:t>
            </w:r>
          </w:p>
        </w:tc>
        <w:tc>
          <w:tcPr>
            <w:tcW w:w="804" w:type="dxa"/>
          </w:tcPr>
          <w:p w14:paraId="007EC864"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w:t>
            </w:r>
          </w:p>
        </w:tc>
        <w:tc>
          <w:tcPr>
            <w:tcW w:w="5150" w:type="dxa"/>
          </w:tcPr>
          <w:p w14:paraId="1ADA5230"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£36,567.41</w:t>
            </w:r>
          </w:p>
        </w:tc>
        <w:tc>
          <w:tcPr>
            <w:tcW w:w="1496" w:type="dxa"/>
          </w:tcPr>
          <w:p w14:paraId="448FB535"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p>
        </w:tc>
      </w:tr>
      <w:tr w:rsidR="001A4031" w:rsidRPr="001A4031" w14:paraId="2139C1D3" w14:textId="77777777" w:rsidTr="005F0F6B">
        <w:tc>
          <w:tcPr>
            <w:tcW w:w="3322" w:type="dxa"/>
            <w:gridSpan w:val="2"/>
          </w:tcPr>
          <w:p w14:paraId="02319F88"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5150" w:type="dxa"/>
          </w:tcPr>
          <w:p w14:paraId="44C1D57C"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1496" w:type="dxa"/>
          </w:tcPr>
          <w:p w14:paraId="5B27CEEA"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8"/>
                <w:szCs w:val="8"/>
                <w:lang w:eastAsia="en-GB"/>
              </w:rPr>
            </w:pPr>
          </w:p>
        </w:tc>
      </w:tr>
      <w:tr w:rsidR="001A4031" w14:paraId="63223FAE" w14:textId="77777777" w:rsidTr="005F0F6B">
        <w:tc>
          <w:tcPr>
            <w:tcW w:w="2518" w:type="dxa"/>
          </w:tcPr>
          <w:p w14:paraId="3FCD74D3" w14:textId="77777777" w:rsidR="001A4031" w:rsidRDefault="001A4031" w:rsidP="001A4031">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 xml:space="preserve">Enhancement </w:t>
            </w:r>
          </w:p>
        </w:tc>
        <w:tc>
          <w:tcPr>
            <w:tcW w:w="804" w:type="dxa"/>
          </w:tcPr>
          <w:p w14:paraId="48078CD5"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w:t>
            </w:r>
          </w:p>
        </w:tc>
        <w:tc>
          <w:tcPr>
            <w:tcW w:w="5150" w:type="dxa"/>
          </w:tcPr>
          <w:p w14:paraId="64B29A79"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£0.00</w:t>
            </w:r>
          </w:p>
        </w:tc>
        <w:tc>
          <w:tcPr>
            <w:tcW w:w="1496" w:type="dxa"/>
          </w:tcPr>
          <w:p w14:paraId="32DCFEA8"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p>
        </w:tc>
      </w:tr>
      <w:tr w:rsidR="001A4031" w:rsidRPr="001A4031" w14:paraId="410EB8D0" w14:textId="77777777" w:rsidTr="005F0F6B">
        <w:tc>
          <w:tcPr>
            <w:tcW w:w="3322" w:type="dxa"/>
            <w:gridSpan w:val="2"/>
          </w:tcPr>
          <w:p w14:paraId="33F1EF72"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5150" w:type="dxa"/>
          </w:tcPr>
          <w:p w14:paraId="637BBE35"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1496" w:type="dxa"/>
          </w:tcPr>
          <w:p w14:paraId="1D3CD045"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8"/>
                <w:szCs w:val="8"/>
                <w:lang w:eastAsia="en-GB"/>
              </w:rPr>
            </w:pPr>
          </w:p>
        </w:tc>
      </w:tr>
      <w:tr w:rsidR="001A4031" w14:paraId="56811BC8" w14:textId="77777777" w:rsidTr="005F0F6B">
        <w:tc>
          <w:tcPr>
            <w:tcW w:w="2518" w:type="dxa"/>
          </w:tcPr>
          <w:p w14:paraId="6CD4E3EB"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 xml:space="preserve">Added Years </w:t>
            </w:r>
          </w:p>
        </w:tc>
        <w:tc>
          <w:tcPr>
            <w:tcW w:w="804" w:type="dxa"/>
          </w:tcPr>
          <w:p w14:paraId="3E389ED7"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w:t>
            </w:r>
          </w:p>
        </w:tc>
        <w:tc>
          <w:tcPr>
            <w:tcW w:w="5150" w:type="dxa"/>
          </w:tcPr>
          <w:p w14:paraId="1D326A4F"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£5,743.01</w:t>
            </w:r>
          </w:p>
        </w:tc>
        <w:tc>
          <w:tcPr>
            <w:tcW w:w="1496" w:type="dxa"/>
          </w:tcPr>
          <w:p w14:paraId="32252820"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p>
        </w:tc>
      </w:tr>
      <w:tr w:rsidR="001A4031" w:rsidRPr="001A4031" w14:paraId="2F2EC2C5" w14:textId="77777777" w:rsidTr="005F0F6B">
        <w:tc>
          <w:tcPr>
            <w:tcW w:w="3322" w:type="dxa"/>
            <w:gridSpan w:val="2"/>
          </w:tcPr>
          <w:p w14:paraId="32139E6D"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10"/>
                <w:szCs w:val="10"/>
                <w:lang w:eastAsia="en-GB"/>
              </w:rPr>
            </w:pPr>
          </w:p>
        </w:tc>
        <w:tc>
          <w:tcPr>
            <w:tcW w:w="5150" w:type="dxa"/>
          </w:tcPr>
          <w:p w14:paraId="35B17C1D"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10"/>
                <w:szCs w:val="10"/>
                <w:lang w:eastAsia="en-GB"/>
              </w:rPr>
            </w:pPr>
          </w:p>
        </w:tc>
        <w:tc>
          <w:tcPr>
            <w:tcW w:w="1496" w:type="dxa"/>
          </w:tcPr>
          <w:p w14:paraId="74F32712" w14:textId="77777777" w:rsidR="001A4031" w:rsidRPr="001A4031" w:rsidRDefault="001A4031" w:rsidP="001501B0">
            <w:pPr>
              <w:tabs>
                <w:tab w:val="left" w:pos="1134"/>
                <w:tab w:val="left" w:pos="1560"/>
                <w:tab w:val="left" w:pos="2127"/>
              </w:tabs>
              <w:autoSpaceDE w:val="0"/>
              <w:autoSpaceDN w:val="0"/>
              <w:adjustRightInd w:val="0"/>
              <w:spacing w:after="0"/>
              <w:rPr>
                <w:rFonts w:ascii="Arial" w:hAnsi="Arial" w:cs="Arial"/>
                <w:sz w:val="10"/>
                <w:szCs w:val="10"/>
                <w:lang w:eastAsia="en-GB"/>
              </w:rPr>
            </w:pPr>
          </w:p>
        </w:tc>
      </w:tr>
      <w:tr w:rsidR="001A4031" w14:paraId="228D86F5" w14:textId="77777777" w:rsidTr="005F0F6B">
        <w:tc>
          <w:tcPr>
            <w:tcW w:w="2518" w:type="dxa"/>
          </w:tcPr>
          <w:p w14:paraId="2FF2C254"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 xml:space="preserve">Total </w:t>
            </w:r>
            <w:r>
              <w:rPr>
                <w:rFonts w:ascii="Arial" w:hAnsi="Arial" w:cs="Arial"/>
                <w:lang w:eastAsia="en-GB"/>
              </w:rPr>
              <w:t>p</w:t>
            </w:r>
            <w:r w:rsidRPr="00441AB9">
              <w:rPr>
                <w:rFonts w:ascii="Arial" w:hAnsi="Arial" w:cs="Arial"/>
                <w:lang w:eastAsia="en-GB"/>
              </w:rPr>
              <w:t>ension</w:t>
            </w:r>
            <w:r>
              <w:rPr>
                <w:rFonts w:ascii="Arial" w:hAnsi="Arial" w:cs="Arial"/>
                <w:lang w:eastAsia="en-GB"/>
              </w:rPr>
              <w:t xml:space="preserve"> </w:t>
            </w:r>
          </w:p>
        </w:tc>
        <w:tc>
          <w:tcPr>
            <w:tcW w:w="804" w:type="dxa"/>
          </w:tcPr>
          <w:p w14:paraId="0F15E44A"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w:t>
            </w:r>
          </w:p>
        </w:tc>
        <w:tc>
          <w:tcPr>
            <w:tcW w:w="5150" w:type="dxa"/>
          </w:tcPr>
          <w:p w14:paraId="55E3A134"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£42,310.42</w:t>
            </w:r>
          </w:p>
        </w:tc>
        <w:tc>
          <w:tcPr>
            <w:tcW w:w="1496" w:type="dxa"/>
          </w:tcPr>
          <w:p w14:paraId="18AC3C2F"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b/>
                <w:lang w:eastAsia="en-GB"/>
              </w:rPr>
              <w:t>(A)</w:t>
            </w:r>
          </w:p>
        </w:tc>
      </w:tr>
    </w:tbl>
    <w:p w14:paraId="2A7F1B1B" w14:textId="77777777" w:rsidR="00441AB9" w:rsidRPr="00441AB9" w:rsidRDefault="00441AB9" w:rsidP="001501B0">
      <w:pPr>
        <w:tabs>
          <w:tab w:val="left" w:pos="1134"/>
          <w:tab w:val="left" w:pos="1560"/>
          <w:tab w:val="left" w:pos="2127"/>
        </w:tabs>
        <w:autoSpaceDE w:val="0"/>
        <w:autoSpaceDN w:val="0"/>
        <w:adjustRightInd w:val="0"/>
        <w:spacing w:after="0"/>
        <w:rPr>
          <w:rFonts w:ascii="Arial" w:hAnsi="Arial" w:cs="Arial"/>
          <w:lang w:eastAsia="en-GB"/>
        </w:rPr>
      </w:pPr>
    </w:p>
    <w:p w14:paraId="693F93D4" w14:textId="77777777" w:rsidR="00441AB9" w:rsidRPr="00441AB9" w:rsidRDefault="001905E0" w:rsidP="001501B0">
      <w:pPr>
        <w:tabs>
          <w:tab w:val="left" w:pos="1134"/>
          <w:tab w:val="left" w:pos="1560"/>
          <w:tab w:val="left" w:pos="2127"/>
        </w:tabs>
        <w:autoSpaceDE w:val="0"/>
        <w:autoSpaceDN w:val="0"/>
        <w:adjustRightInd w:val="0"/>
        <w:spacing w:after="0"/>
        <w:rPr>
          <w:rFonts w:ascii="Arial" w:hAnsi="Arial" w:cs="Arial"/>
          <w:b/>
          <w:lang w:eastAsia="en-GB"/>
        </w:rPr>
      </w:pPr>
      <w:r>
        <w:rPr>
          <w:rFonts w:ascii="Arial" w:hAnsi="Arial" w:cs="Arial"/>
          <w:b/>
          <w:lang w:eastAsia="en-GB"/>
        </w:rPr>
        <w:t>Actuarially reduced voluntary early retirement (</w:t>
      </w:r>
      <w:r w:rsidR="00441AB9" w:rsidRPr="00441AB9">
        <w:rPr>
          <w:rFonts w:ascii="Arial" w:hAnsi="Arial" w:cs="Arial"/>
          <w:b/>
          <w:lang w:eastAsia="en-GB"/>
        </w:rPr>
        <w:t>ARVER</w:t>
      </w:r>
      <w:r>
        <w:rPr>
          <w:rFonts w:ascii="Arial" w:hAnsi="Arial" w:cs="Arial"/>
          <w:b/>
          <w:lang w:eastAsia="en-GB"/>
        </w:rPr>
        <w:t>) p</w:t>
      </w:r>
      <w:r w:rsidR="00441AB9" w:rsidRPr="00441AB9">
        <w:rPr>
          <w:rFonts w:ascii="Arial" w:hAnsi="Arial" w:cs="Arial"/>
          <w:b/>
          <w:lang w:eastAsia="en-GB"/>
        </w:rPr>
        <w:t xml:space="preserve">ension: </w:t>
      </w:r>
    </w:p>
    <w:p w14:paraId="47170E9F" w14:textId="77777777" w:rsidR="00441AB9" w:rsidRPr="00441AB9" w:rsidRDefault="00441AB9" w:rsidP="001501B0">
      <w:pPr>
        <w:tabs>
          <w:tab w:val="left" w:pos="1134"/>
          <w:tab w:val="left" w:pos="1560"/>
          <w:tab w:val="left" w:pos="2127"/>
        </w:tabs>
        <w:autoSpaceDE w:val="0"/>
        <w:autoSpaceDN w:val="0"/>
        <w:adjustRightInd w:val="0"/>
        <w:spacing w:after="0"/>
        <w:rPr>
          <w:rFonts w:ascii="Arial" w:hAnsi="Arial" w:cs="Arial"/>
          <w:lang w:eastAsia="en-GB"/>
        </w:rPr>
      </w:pPr>
    </w:p>
    <w:p w14:paraId="5A98C519" w14:textId="77777777" w:rsidR="00441AB9" w:rsidRDefault="00441AB9" w:rsidP="001501B0">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 xml:space="preserve">Basic </w:t>
      </w:r>
      <w:r w:rsidR="001905E0">
        <w:rPr>
          <w:rFonts w:ascii="Arial" w:hAnsi="Arial" w:cs="Arial"/>
          <w:lang w:eastAsia="en-GB"/>
        </w:rPr>
        <w:t>membership</w:t>
      </w:r>
      <w:r w:rsidRPr="00441AB9">
        <w:rPr>
          <w:rFonts w:ascii="Arial" w:hAnsi="Arial" w:cs="Arial"/>
          <w:lang w:eastAsia="en-GB"/>
        </w:rPr>
        <w:t xml:space="preserve"> = 28 years 95 days </w:t>
      </w:r>
    </w:p>
    <w:p w14:paraId="31CE3A08" w14:textId="77777777" w:rsidR="00441AB9" w:rsidRDefault="00441AB9" w:rsidP="001501B0">
      <w:pPr>
        <w:tabs>
          <w:tab w:val="left" w:pos="1134"/>
          <w:tab w:val="left" w:pos="1560"/>
          <w:tab w:val="left" w:pos="2127"/>
        </w:tabs>
        <w:autoSpaceDE w:val="0"/>
        <w:autoSpaceDN w:val="0"/>
        <w:adjustRightInd w:val="0"/>
        <w:spacing w:after="0"/>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339"/>
        <w:gridCol w:w="912"/>
        <w:gridCol w:w="4715"/>
        <w:gridCol w:w="1469"/>
      </w:tblGrid>
      <w:tr w:rsidR="005F0F6B" w14:paraId="25DDA1AA" w14:textId="77777777" w:rsidTr="00407078">
        <w:tc>
          <w:tcPr>
            <w:tcW w:w="9968" w:type="dxa"/>
            <w:gridSpan w:val="5"/>
          </w:tcPr>
          <w:p w14:paraId="4F95189A"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Added Years =</w:t>
            </w:r>
          </w:p>
        </w:tc>
      </w:tr>
      <w:tr w:rsidR="001A4031" w14:paraId="410E4180" w14:textId="77777777" w:rsidTr="005F0F6B">
        <w:tc>
          <w:tcPr>
            <w:tcW w:w="2376" w:type="dxa"/>
          </w:tcPr>
          <w:p w14:paraId="428FC8CE" w14:textId="77777777" w:rsidR="001A4031" w:rsidRPr="005F0F6B" w:rsidRDefault="001A4031" w:rsidP="005F0F6B">
            <w:pPr>
              <w:pStyle w:val="ListParagraph"/>
              <w:numPr>
                <w:ilvl w:val="0"/>
                <w:numId w:val="11"/>
              </w:numPr>
              <w:tabs>
                <w:tab w:val="left" w:pos="1134"/>
                <w:tab w:val="left" w:pos="1560"/>
                <w:tab w:val="left" w:pos="2127"/>
              </w:tabs>
              <w:autoSpaceDE w:val="0"/>
              <w:autoSpaceDN w:val="0"/>
              <w:adjustRightInd w:val="0"/>
              <w:spacing w:after="0"/>
              <w:jc w:val="right"/>
              <w:rPr>
                <w:rFonts w:ascii="Arial" w:hAnsi="Arial" w:cs="Arial"/>
                <w:lang w:eastAsia="en-GB"/>
              </w:rPr>
            </w:pPr>
          </w:p>
        </w:tc>
        <w:tc>
          <w:tcPr>
            <w:tcW w:w="6096" w:type="dxa"/>
            <w:gridSpan w:val="3"/>
          </w:tcPr>
          <w:p w14:paraId="21175CB5" w14:textId="77777777" w:rsidR="001A4031" w:rsidRDefault="001A4031"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Intended purchase (to age 60) = 1903 days</w:t>
            </w:r>
          </w:p>
        </w:tc>
        <w:tc>
          <w:tcPr>
            <w:tcW w:w="1496" w:type="dxa"/>
          </w:tcPr>
          <w:p w14:paraId="184C4560" w14:textId="77777777" w:rsidR="001A4031" w:rsidRDefault="001A4031" w:rsidP="00C3234B">
            <w:pPr>
              <w:tabs>
                <w:tab w:val="left" w:pos="1134"/>
                <w:tab w:val="left" w:pos="1560"/>
                <w:tab w:val="left" w:pos="2127"/>
              </w:tabs>
              <w:autoSpaceDE w:val="0"/>
              <w:autoSpaceDN w:val="0"/>
              <w:adjustRightInd w:val="0"/>
              <w:spacing w:after="0"/>
              <w:rPr>
                <w:rFonts w:ascii="Arial" w:hAnsi="Arial" w:cs="Arial"/>
                <w:lang w:eastAsia="en-GB"/>
              </w:rPr>
            </w:pPr>
            <w:r w:rsidRPr="0000596F">
              <w:rPr>
                <w:rFonts w:ascii="Arial" w:hAnsi="Arial" w:cs="Arial"/>
                <w:b/>
                <w:lang w:eastAsia="en-GB"/>
              </w:rPr>
              <w:t>(B)</w:t>
            </w:r>
          </w:p>
        </w:tc>
      </w:tr>
      <w:tr w:rsidR="001A4031" w:rsidRPr="001A4031" w14:paraId="003D40F5" w14:textId="77777777" w:rsidTr="005F0F6B">
        <w:tc>
          <w:tcPr>
            <w:tcW w:w="2721" w:type="dxa"/>
            <w:gridSpan w:val="2"/>
          </w:tcPr>
          <w:p w14:paraId="5AF3AC3B" w14:textId="77777777" w:rsidR="001A4031" w:rsidRPr="001A4031" w:rsidRDefault="001A4031" w:rsidP="005F0F6B">
            <w:pPr>
              <w:tabs>
                <w:tab w:val="left" w:pos="1134"/>
                <w:tab w:val="left" w:pos="1560"/>
                <w:tab w:val="left" w:pos="2127"/>
              </w:tabs>
              <w:autoSpaceDE w:val="0"/>
              <w:autoSpaceDN w:val="0"/>
              <w:adjustRightInd w:val="0"/>
              <w:spacing w:after="0"/>
              <w:jc w:val="right"/>
              <w:rPr>
                <w:rFonts w:ascii="Arial" w:hAnsi="Arial" w:cs="Arial"/>
                <w:sz w:val="8"/>
                <w:szCs w:val="8"/>
                <w:lang w:eastAsia="en-GB"/>
              </w:rPr>
            </w:pPr>
          </w:p>
        </w:tc>
        <w:tc>
          <w:tcPr>
            <w:tcW w:w="5751" w:type="dxa"/>
            <w:gridSpan w:val="2"/>
          </w:tcPr>
          <w:p w14:paraId="51234061" w14:textId="77777777" w:rsidR="001A4031" w:rsidRPr="001A4031" w:rsidRDefault="001A4031"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1496" w:type="dxa"/>
          </w:tcPr>
          <w:p w14:paraId="5069A71F" w14:textId="77777777" w:rsidR="001A4031" w:rsidRPr="001A4031" w:rsidRDefault="001A4031"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r>
      <w:tr w:rsidR="001A4031" w14:paraId="163CA2B7" w14:textId="77777777" w:rsidTr="005F0F6B">
        <w:tc>
          <w:tcPr>
            <w:tcW w:w="2376" w:type="dxa"/>
          </w:tcPr>
          <w:p w14:paraId="48F1B1AC" w14:textId="77777777" w:rsidR="001A4031" w:rsidRPr="005F0F6B" w:rsidRDefault="001A4031" w:rsidP="005F0F6B">
            <w:pPr>
              <w:pStyle w:val="ListParagraph"/>
              <w:numPr>
                <w:ilvl w:val="0"/>
                <w:numId w:val="11"/>
              </w:numPr>
              <w:tabs>
                <w:tab w:val="left" w:pos="1134"/>
                <w:tab w:val="left" w:pos="1560"/>
                <w:tab w:val="left" w:pos="2127"/>
              </w:tabs>
              <w:autoSpaceDE w:val="0"/>
              <w:autoSpaceDN w:val="0"/>
              <w:adjustRightInd w:val="0"/>
              <w:spacing w:after="0"/>
              <w:jc w:val="right"/>
              <w:rPr>
                <w:rFonts w:ascii="Arial" w:hAnsi="Arial" w:cs="Arial"/>
                <w:lang w:eastAsia="en-GB"/>
              </w:rPr>
            </w:pPr>
          </w:p>
        </w:tc>
        <w:tc>
          <w:tcPr>
            <w:tcW w:w="6096" w:type="dxa"/>
            <w:gridSpan w:val="3"/>
          </w:tcPr>
          <w:p w14:paraId="7B39F5F0" w14:textId="77777777" w:rsidR="001A4031" w:rsidRDefault="001A4031"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Actual period of payment = 5323 day</w:t>
            </w:r>
          </w:p>
        </w:tc>
        <w:tc>
          <w:tcPr>
            <w:tcW w:w="1496" w:type="dxa"/>
          </w:tcPr>
          <w:p w14:paraId="799CFA56" w14:textId="77777777" w:rsidR="001A4031" w:rsidRDefault="001A4031" w:rsidP="001A4031">
            <w:pPr>
              <w:tabs>
                <w:tab w:val="left" w:pos="1134"/>
                <w:tab w:val="left" w:pos="1560"/>
                <w:tab w:val="left" w:pos="2127"/>
              </w:tabs>
              <w:autoSpaceDE w:val="0"/>
              <w:autoSpaceDN w:val="0"/>
              <w:adjustRightInd w:val="0"/>
              <w:spacing w:after="0"/>
              <w:rPr>
                <w:rFonts w:ascii="Arial" w:hAnsi="Arial" w:cs="Arial"/>
                <w:lang w:eastAsia="en-GB"/>
              </w:rPr>
            </w:pPr>
            <w:r w:rsidRPr="0000596F">
              <w:rPr>
                <w:rFonts w:ascii="Arial" w:hAnsi="Arial" w:cs="Arial"/>
                <w:b/>
                <w:lang w:eastAsia="en-GB"/>
              </w:rPr>
              <w:t>(</w:t>
            </w:r>
            <w:r>
              <w:rPr>
                <w:rFonts w:ascii="Arial" w:hAnsi="Arial" w:cs="Arial"/>
                <w:b/>
                <w:lang w:eastAsia="en-GB"/>
              </w:rPr>
              <w:t>C</w:t>
            </w:r>
            <w:r w:rsidRPr="0000596F">
              <w:rPr>
                <w:rFonts w:ascii="Arial" w:hAnsi="Arial" w:cs="Arial"/>
                <w:b/>
                <w:lang w:eastAsia="en-GB"/>
              </w:rPr>
              <w:t>)</w:t>
            </w:r>
          </w:p>
        </w:tc>
      </w:tr>
      <w:tr w:rsidR="001A4031" w:rsidRPr="001A4031" w14:paraId="565F4CB9" w14:textId="77777777" w:rsidTr="005F0F6B">
        <w:tc>
          <w:tcPr>
            <w:tcW w:w="2721" w:type="dxa"/>
            <w:gridSpan w:val="2"/>
          </w:tcPr>
          <w:p w14:paraId="2F3B087E" w14:textId="77777777" w:rsidR="001A4031" w:rsidRPr="001A4031" w:rsidRDefault="001A4031" w:rsidP="005F0F6B">
            <w:pPr>
              <w:tabs>
                <w:tab w:val="left" w:pos="1134"/>
                <w:tab w:val="left" w:pos="1560"/>
                <w:tab w:val="left" w:pos="2127"/>
              </w:tabs>
              <w:autoSpaceDE w:val="0"/>
              <w:autoSpaceDN w:val="0"/>
              <w:adjustRightInd w:val="0"/>
              <w:spacing w:after="0"/>
              <w:jc w:val="right"/>
              <w:rPr>
                <w:rFonts w:ascii="Arial" w:hAnsi="Arial" w:cs="Arial"/>
                <w:sz w:val="10"/>
                <w:szCs w:val="10"/>
                <w:lang w:eastAsia="en-GB"/>
              </w:rPr>
            </w:pPr>
          </w:p>
        </w:tc>
        <w:tc>
          <w:tcPr>
            <w:tcW w:w="5751" w:type="dxa"/>
            <w:gridSpan w:val="2"/>
          </w:tcPr>
          <w:p w14:paraId="06C1A497" w14:textId="77777777" w:rsidR="001A4031" w:rsidRPr="001A4031" w:rsidRDefault="001A4031" w:rsidP="00C3234B">
            <w:pPr>
              <w:tabs>
                <w:tab w:val="left" w:pos="1134"/>
                <w:tab w:val="left" w:pos="1560"/>
                <w:tab w:val="left" w:pos="2127"/>
              </w:tabs>
              <w:autoSpaceDE w:val="0"/>
              <w:autoSpaceDN w:val="0"/>
              <w:adjustRightInd w:val="0"/>
              <w:spacing w:after="0"/>
              <w:rPr>
                <w:rFonts w:ascii="Arial" w:hAnsi="Arial" w:cs="Arial"/>
                <w:sz w:val="10"/>
                <w:szCs w:val="10"/>
                <w:lang w:eastAsia="en-GB"/>
              </w:rPr>
            </w:pPr>
          </w:p>
        </w:tc>
        <w:tc>
          <w:tcPr>
            <w:tcW w:w="1496" w:type="dxa"/>
          </w:tcPr>
          <w:p w14:paraId="4DD3EE06" w14:textId="77777777" w:rsidR="001A4031" w:rsidRPr="001A4031" w:rsidRDefault="001A4031" w:rsidP="00C3234B">
            <w:pPr>
              <w:tabs>
                <w:tab w:val="left" w:pos="1134"/>
                <w:tab w:val="left" w:pos="1560"/>
                <w:tab w:val="left" w:pos="2127"/>
              </w:tabs>
              <w:autoSpaceDE w:val="0"/>
              <w:autoSpaceDN w:val="0"/>
              <w:adjustRightInd w:val="0"/>
              <w:spacing w:after="0"/>
              <w:rPr>
                <w:rFonts w:ascii="Arial" w:hAnsi="Arial" w:cs="Arial"/>
                <w:sz w:val="10"/>
                <w:szCs w:val="10"/>
                <w:lang w:eastAsia="en-GB"/>
              </w:rPr>
            </w:pPr>
          </w:p>
        </w:tc>
      </w:tr>
      <w:tr w:rsidR="001A4031" w14:paraId="064A5497" w14:textId="77777777" w:rsidTr="005F0F6B">
        <w:tc>
          <w:tcPr>
            <w:tcW w:w="2376" w:type="dxa"/>
          </w:tcPr>
          <w:p w14:paraId="210F284E" w14:textId="77777777" w:rsidR="001A4031" w:rsidRPr="005F0F6B" w:rsidRDefault="001A4031" w:rsidP="005F0F6B">
            <w:pPr>
              <w:pStyle w:val="ListParagraph"/>
              <w:numPr>
                <w:ilvl w:val="0"/>
                <w:numId w:val="11"/>
              </w:numPr>
              <w:tabs>
                <w:tab w:val="left" w:pos="1134"/>
                <w:tab w:val="left" w:pos="1560"/>
                <w:tab w:val="left" w:pos="2127"/>
              </w:tabs>
              <w:autoSpaceDE w:val="0"/>
              <w:autoSpaceDN w:val="0"/>
              <w:adjustRightInd w:val="0"/>
              <w:spacing w:after="0"/>
              <w:jc w:val="right"/>
              <w:rPr>
                <w:rFonts w:ascii="Arial" w:hAnsi="Arial" w:cs="Arial"/>
                <w:lang w:eastAsia="en-GB"/>
              </w:rPr>
            </w:pPr>
          </w:p>
        </w:tc>
        <w:tc>
          <w:tcPr>
            <w:tcW w:w="6096" w:type="dxa"/>
            <w:gridSpan w:val="3"/>
          </w:tcPr>
          <w:p w14:paraId="5D89FCAB" w14:textId="77777777" w:rsidR="001A4031" w:rsidRDefault="001A4031"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Intended period of payment = 7665 days</w:t>
            </w:r>
          </w:p>
        </w:tc>
        <w:tc>
          <w:tcPr>
            <w:tcW w:w="1496" w:type="dxa"/>
          </w:tcPr>
          <w:p w14:paraId="11AF1F24" w14:textId="77777777" w:rsidR="001A4031" w:rsidRDefault="001A4031" w:rsidP="001A4031">
            <w:pPr>
              <w:tabs>
                <w:tab w:val="left" w:pos="1134"/>
                <w:tab w:val="left" w:pos="1560"/>
                <w:tab w:val="left" w:pos="2127"/>
              </w:tabs>
              <w:autoSpaceDE w:val="0"/>
              <w:autoSpaceDN w:val="0"/>
              <w:adjustRightInd w:val="0"/>
              <w:spacing w:after="0"/>
              <w:rPr>
                <w:rFonts w:ascii="Arial" w:hAnsi="Arial" w:cs="Arial"/>
                <w:lang w:eastAsia="en-GB"/>
              </w:rPr>
            </w:pPr>
            <w:r w:rsidRPr="0000596F">
              <w:rPr>
                <w:rFonts w:ascii="Arial" w:hAnsi="Arial" w:cs="Arial"/>
                <w:b/>
                <w:lang w:eastAsia="en-GB"/>
              </w:rPr>
              <w:t>(</w:t>
            </w:r>
            <w:r>
              <w:rPr>
                <w:rFonts w:ascii="Arial" w:hAnsi="Arial" w:cs="Arial"/>
                <w:b/>
                <w:lang w:eastAsia="en-GB"/>
              </w:rPr>
              <w:t>D</w:t>
            </w:r>
            <w:r w:rsidRPr="0000596F">
              <w:rPr>
                <w:rFonts w:ascii="Arial" w:hAnsi="Arial" w:cs="Arial"/>
                <w:b/>
                <w:lang w:eastAsia="en-GB"/>
              </w:rPr>
              <w:t>)</w:t>
            </w:r>
          </w:p>
        </w:tc>
      </w:tr>
      <w:tr w:rsidR="001A4031" w:rsidRPr="001A4031" w14:paraId="4E30F24F" w14:textId="77777777" w:rsidTr="005F0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1" w:type="dxa"/>
            <w:gridSpan w:val="2"/>
            <w:tcBorders>
              <w:top w:val="nil"/>
              <w:left w:val="nil"/>
              <w:bottom w:val="nil"/>
              <w:right w:val="nil"/>
            </w:tcBorders>
          </w:tcPr>
          <w:p w14:paraId="6C9BD448" w14:textId="77777777" w:rsidR="001A4031" w:rsidRPr="001A4031" w:rsidRDefault="001A4031" w:rsidP="005F0F6B">
            <w:pPr>
              <w:tabs>
                <w:tab w:val="left" w:pos="1134"/>
                <w:tab w:val="left" w:pos="1560"/>
                <w:tab w:val="left" w:pos="2127"/>
              </w:tabs>
              <w:autoSpaceDE w:val="0"/>
              <w:autoSpaceDN w:val="0"/>
              <w:adjustRightInd w:val="0"/>
              <w:spacing w:after="0"/>
              <w:jc w:val="right"/>
              <w:rPr>
                <w:rFonts w:ascii="Arial" w:hAnsi="Arial" w:cs="Arial"/>
                <w:sz w:val="10"/>
                <w:szCs w:val="10"/>
                <w:lang w:eastAsia="en-GB"/>
              </w:rPr>
            </w:pPr>
          </w:p>
        </w:tc>
        <w:tc>
          <w:tcPr>
            <w:tcW w:w="5751" w:type="dxa"/>
            <w:gridSpan w:val="2"/>
            <w:tcBorders>
              <w:top w:val="nil"/>
              <w:left w:val="nil"/>
              <w:bottom w:val="nil"/>
              <w:right w:val="nil"/>
            </w:tcBorders>
          </w:tcPr>
          <w:p w14:paraId="312BCD89" w14:textId="77777777" w:rsidR="001A4031" w:rsidRPr="001A4031" w:rsidRDefault="001A4031" w:rsidP="00C3234B">
            <w:pPr>
              <w:tabs>
                <w:tab w:val="left" w:pos="1134"/>
                <w:tab w:val="left" w:pos="1560"/>
                <w:tab w:val="left" w:pos="2127"/>
              </w:tabs>
              <w:autoSpaceDE w:val="0"/>
              <w:autoSpaceDN w:val="0"/>
              <w:adjustRightInd w:val="0"/>
              <w:spacing w:after="0"/>
              <w:rPr>
                <w:rFonts w:ascii="Arial" w:hAnsi="Arial" w:cs="Arial"/>
                <w:sz w:val="10"/>
                <w:szCs w:val="10"/>
                <w:lang w:eastAsia="en-GB"/>
              </w:rPr>
            </w:pPr>
          </w:p>
        </w:tc>
        <w:tc>
          <w:tcPr>
            <w:tcW w:w="1496" w:type="dxa"/>
            <w:tcBorders>
              <w:top w:val="nil"/>
              <w:left w:val="nil"/>
              <w:bottom w:val="nil"/>
              <w:right w:val="nil"/>
            </w:tcBorders>
          </w:tcPr>
          <w:p w14:paraId="7878D283" w14:textId="77777777" w:rsidR="001A4031" w:rsidRPr="001A4031" w:rsidRDefault="001A4031" w:rsidP="00C3234B">
            <w:pPr>
              <w:tabs>
                <w:tab w:val="left" w:pos="1134"/>
                <w:tab w:val="left" w:pos="1560"/>
                <w:tab w:val="left" w:pos="2127"/>
              </w:tabs>
              <w:autoSpaceDE w:val="0"/>
              <w:autoSpaceDN w:val="0"/>
              <w:adjustRightInd w:val="0"/>
              <w:spacing w:after="0"/>
              <w:rPr>
                <w:rFonts w:ascii="Arial" w:hAnsi="Arial" w:cs="Arial"/>
                <w:sz w:val="10"/>
                <w:szCs w:val="10"/>
                <w:lang w:eastAsia="en-GB"/>
              </w:rPr>
            </w:pPr>
          </w:p>
        </w:tc>
      </w:tr>
      <w:tr w:rsidR="001A4031" w14:paraId="24CBBF8A" w14:textId="77777777" w:rsidTr="005F0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14:paraId="46CCB151" w14:textId="77777777" w:rsidR="001A4031" w:rsidRPr="005F0F6B" w:rsidRDefault="001A4031" w:rsidP="005F0F6B">
            <w:pPr>
              <w:pStyle w:val="ListParagraph"/>
              <w:numPr>
                <w:ilvl w:val="0"/>
                <w:numId w:val="11"/>
              </w:numPr>
              <w:tabs>
                <w:tab w:val="left" w:pos="1134"/>
                <w:tab w:val="left" w:pos="1560"/>
                <w:tab w:val="left" w:pos="2127"/>
              </w:tabs>
              <w:autoSpaceDE w:val="0"/>
              <w:autoSpaceDN w:val="0"/>
              <w:adjustRightInd w:val="0"/>
              <w:spacing w:after="0"/>
              <w:jc w:val="right"/>
              <w:rPr>
                <w:rFonts w:ascii="Arial" w:hAnsi="Arial" w:cs="Arial"/>
                <w:lang w:eastAsia="en-GB"/>
              </w:rPr>
            </w:pPr>
          </w:p>
        </w:tc>
        <w:tc>
          <w:tcPr>
            <w:tcW w:w="1276" w:type="dxa"/>
            <w:gridSpan w:val="2"/>
            <w:tcBorders>
              <w:top w:val="nil"/>
              <w:left w:val="nil"/>
              <w:bottom w:val="single" w:sz="4" w:space="0" w:color="auto"/>
              <w:right w:val="nil"/>
            </w:tcBorders>
            <w:vAlign w:val="center"/>
          </w:tcPr>
          <w:p w14:paraId="35BB4A7E" w14:textId="77777777" w:rsidR="001A4031" w:rsidRDefault="001A4031" w:rsidP="001A4031">
            <w:pPr>
              <w:tabs>
                <w:tab w:val="left" w:pos="1134"/>
                <w:tab w:val="left" w:pos="1560"/>
                <w:tab w:val="left" w:pos="2127"/>
              </w:tabs>
              <w:autoSpaceDE w:val="0"/>
              <w:autoSpaceDN w:val="0"/>
              <w:adjustRightInd w:val="0"/>
              <w:spacing w:after="0"/>
              <w:jc w:val="center"/>
              <w:rPr>
                <w:rFonts w:ascii="Arial" w:hAnsi="Arial" w:cs="Arial"/>
                <w:lang w:eastAsia="en-GB"/>
              </w:rPr>
            </w:pPr>
            <w:r w:rsidRPr="009F76D9">
              <w:rPr>
                <w:rFonts w:ascii="Arial" w:hAnsi="Arial" w:cs="Arial"/>
                <w:lang w:eastAsia="en-GB"/>
              </w:rPr>
              <w:t>B x C</w:t>
            </w:r>
          </w:p>
        </w:tc>
        <w:tc>
          <w:tcPr>
            <w:tcW w:w="4820" w:type="dxa"/>
            <w:tcBorders>
              <w:top w:val="nil"/>
              <w:left w:val="nil"/>
              <w:bottom w:val="nil"/>
              <w:right w:val="nil"/>
            </w:tcBorders>
          </w:tcPr>
          <w:p w14:paraId="6D2583FC" w14:textId="77777777" w:rsidR="001A4031" w:rsidRDefault="001A4031" w:rsidP="00C3234B">
            <w:pPr>
              <w:tabs>
                <w:tab w:val="left" w:pos="1134"/>
                <w:tab w:val="left" w:pos="1560"/>
                <w:tab w:val="left" w:pos="2127"/>
              </w:tabs>
              <w:autoSpaceDE w:val="0"/>
              <w:autoSpaceDN w:val="0"/>
              <w:adjustRightInd w:val="0"/>
              <w:spacing w:after="0"/>
              <w:rPr>
                <w:rFonts w:ascii="Arial" w:hAnsi="Arial" w:cs="Arial"/>
                <w:lang w:eastAsia="en-GB"/>
              </w:rPr>
            </w:pPr>
            <w:r w:rsidRPr="009F76D9">
              <w:rPr>
                <w:rFonts w:ascii="Arial" w:hAnsi="Arial" w:cs="Arial"/>
                <w:lang w:eastAsia="en-GB"/>
              </w:rPr>
              <w:t>= 1322 day</w:t>
            </w:r>
            <w:r>
              <w:rPr>
                <w:rFonts w:ascii="Arial" w:hAnsi="Arial" w:cs="Arial"/>
                <w:lang w:eastAsia="en-GB"/>
              </w:rPr>
              <w:t>s</w:t>
            </w:r>
          </w:p>
        </w:tc>
        <w:tc>
          <w:tcPr>
            <w:tcW w:w="1496" w:type="dxa"/>
            <w:tcBorders>
              <w:top w:val="nil"/>
              <w:left w:val="nil"/>
              <w:bottom w:val="nil"/>
              <w:right w:val="nil"/>
            </w:tcBorders>
          </w:tcPr>
          <w:p w14:paraId="53454DF0" w14:textId="77777777" w:rsidR="001A4031" w:rsidRDefault="001A4031" w:rsidP="00C3234B">
            <w:pPr>
              <w:tabs>
                <w:tab w:val="left" w:pos="1134"/>
                <w:tab w:val="left" w:pos="1560"/>
                <w:tab w:val="left" w:pos="2127"/>
              </w:tabs>
              <w:autoSpaceDE w:val="0"/>
              <w:autoSpaceDN w:val="0"/>
              <w:adjustRightInd w:val="0"/>
              <w:spacing w:after="0"/>
              <w:rPr>
                <w:rFonts w:ascii="Arial" w:hAnsi="Arial" w:cs="Arial"/>
                <w:lang w:eastAsia="en-GB"/>
              </w:rPr>
            </w:pPr>
          </w:p>
        </w:tc>
      </w:tr>
      <w:tr w:rsidR="001A4031" w14:paraId="16388A96" w14:textId="77777777" w:rsidTr="005F0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14:paraId="377FD252" w14:textId="77777777" w:rsidR="001A4031" w:rsidRDefault="001A4031" w:rsidP="00C3234B">
            <w:pPr>
              <w:tabs>
                <w:tab w:val="left" w:pos="1134"/>
                <w:tab w:val="left" w:pos="1560"/>
                <w:tab w:val="left" w:pos="2127"/>
              </w:tabs>
              <w:autoSpaceDE w:val="0"/>
              <w:autoSpaceDN w:val="0"/>
              <w:adjustRightInd w:val="0"/>
              <w:spacing w:after="0"/>
              <w:rPr>
                <w:rFonts w:ascii="Arial" w:hAnsi="Arial" w:cs="Arial"/>
                <w:lang w:eastAsia="en-GB"/>
              </w:rPr>
            </w:pPr>
          </w:p>
        </w:tc>
        <w:tc>
          <w:tcPr>
            <w:tcW w:w="1276" w:type="dxa"/>
            <w:gridSpan w:val="2"/>
            <w:tcBorders>
              <w:top w:val="nil"/>
              <w:left w:val="nil"/>
              <w:bottom w:val="nil"/>
              <w:right w:val="nil"/>
            </w:tcBorders>
            <w:vAlign w:val="center"/>
          </w:tcPr>
          <w:p w14:paraId="3DB46EAD" w14:textId="77777777" w:rsidR="001A4031" w:rsidRPr="009F76D9" w:rsidRDefault="001A4031" w:rsidP="001A4031">
            <w:pPr>
              <w:tabs>
                <w:tab w:val="left" w:pos="1134"/>
                <w:tab w:val="left" w:pos="1560"/>
                <w:tab w:val="left" w:pos="2127"/>
              </w:tabs>
              <w:autoSpaceDE w:val="0"/>
              <w:autoSpaceDN w:val="0"/>
              <w:adjustRightInd w:val="0"/>
              <w:spacing w:after="0"/>
              <w:jc w:val="center"/>
              <w:rPr>
                <w:rFonts w:ascii="Arial" w:hAnsi="Arial" w:cs="Arial"/>
                <w:lang w:eastAsia="en-GB"/>
              </w:rPr>
            </w:pPr>
            <w:r>
              <w:rPr>
                <w:rFonts w:ascii="Arial" w:hAnsi="Arial" w:cs="Arial"/>
                <w:lang w:eastAsia="en-GB"/>
              </w:rPr>
              <w:t>D</w:t>
            </w:r>
          </w:p>
        </w:tc>
        <w:tc>
          <w:tcPr>
            <w:tcW w:w="4820" w:type="dxa"/>
            <w:tcBorders>
              <w:top w:val="nil"/>
              <w:left w:val="nil"/>
              <w:bottom w:val="nil"/>
              <w:right w:val="nil"/>
            </w:tcBorders>
          </w:tcPr>
          <w:p w14:paraId="4E06C959" w14:textId="77777777" w:rsidR="001A4031" w:rsidRPr="009F76D9" w:rsidRDefault="001A4031" w:rsidP="00C3234B">
            <w:pPr>
              <w:tabs>
                <w:tab w:val="left" w:pos="1134"/>
                <w:tab w:val="left" w:pos="1560"/>
                <w:tab w:val="left" w:pos="2127"/>
              </w:tabs>
              <w:autoSpaceDE w:val="0"/>
              <w:autoSpaceDN w:val="0"/>
              <w:adjustRightInd w:val="0"/>
              <w:spacing w:after="0"/>
              <w:rPr>
                <w:rFonts w:ascii="Arial" w:hAnsi="Arial" w:cs="Arial"/>
                <w:lang w:eastAsia="en-GB"/>
              </w:rPr>
            </w:pPr>
          </w:p>
        </w:tc>
        <w:tc>
          <w:tcPr>
            <w:tcW w:w="1496" w:type="dxa"/>
            <w:tcBorders>
              <w:top w:val="nil"/>
              <w:left w:val="nil"/>
              <w:bottom w:val="nil"/>
              <w:right w:val="nil"/>
            </w:tcBorders>
          </w:tcPr>
          <w:p w14:paraId="756747C0" w14:textId="77777777" w:rsidR="001A4031" w:rsidRPr="0000596F" w:rsidRDefault="001A4031" w:rsidP="00C3234B">
            <w:pPr>
              <w:tabs>
                <w:tab w:val="left" w:pos="1134"/>
                <w:tab w:val="left" w:pos="1560"/>
                <w:tab w:val="left" w:pos="2127"/>
              </w:tabs>
              <w:autoSpaceDE w:val="0"/>
              <w:autoSpaceDN w:val="0"/>
              <w:adjustRightInd w:val="0"/>
              <w:spacing w:after="0"/>
              <w:rPr>
                <w:rFonts w:ascii="Arial" w:hAnsi="Arial" w:cs="Arial"/>
                <w:b/>
                <w:lang w:eastAsia="en-GB"/>
              </w:rPr>
            </w:pPr>
          </w:p>
        </w:tc>
      </w:tr>
    </w:tbl>
    <w:p w14:paraId="12295D75" w14:textId="77777777" w:rsidR="001A4031" w:rsidRDefault="001A4031" w:rsidP="001501B0">
      <w:pPr>
        <w:tabs>
          <w:tab w:val="left" w:pos="1134"/>
          <w:tab w:val="left" w:pos="1560"/>
          <w:tab w:val="left" w:pos="2127"/>
        </w:tabs>
        <w:autoSpaceDE w:val="0"/>
        <w:autoSpaceDN w:val="0"/>
        <w:adjustRightInd w:val="0"/>
        <w:spacing w:after="0"/>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345"/>
        <w:gridCol w:w="2647"/>
        <w:gridCol w:w="3028"/>
        <w:gridCol w:w="1465"/>
      </w:tblGrid>
      <w:tr w:rsidR="006F65B2" w14:paraId="3ECC28C2" w14:textId="77777777" w:rsidTr="005F0F6B">
        <w:tc>
          <w:tcPr>
            <w:tcW w:w="2315" w:type="dxa"/>
          </w:tcPr>
          <w:p w14:paraId="57F3177C" w14:textId="77777777" w:rsidR="006F65B2" w:rsidRDefault="006F65B2"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Pension</w:t>
            </w:r>
          </w:p>
        </w:tc>
        <w:tc>
          <w:tcPr>
            <w:tcW w:w="345" w:type="dxa"/>
          </w:tcPr>
          <w:p w14:paraId="23D8E2EA" w14:textId="77777777" w:rsidR="006F65B2" w:rsidRDefault="006F65B2" w:rsidP="00C3234B">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w:t>
            </w:r>
          </w:p>
        </w:tc>
        <w:tc>
          <w:tcPr>
            <w:tcW w:w="2693" w:type="dxa"/>
            <w:tcBorders>
              <w:bottom w:val="single" w:sz="4" w:space="0" w:color="auto"/>
            </w:tcBorders>
            <w:vAlign w:val="center"/>
          </w:tcPr>
          <w:p w14:paraId="5285EFF1" w14:textId="77777777" w:rsidR="006F65B2" w:rsidRDefault="006F65B2" w:rsidP="006F65B2">
            <w:pPr>
              <w:tabs>
                <w:tab w:val="left" w:pos="1134"/>
                <w:tab w:val="left" w:pos="1560"/>
                <w:tab w:val="left" w:pos="2127"/>
              </w:tabs>
              <w:autoSpaceDE w:val="0"/>
              <w:autoSpaceDN w:val="0"/>
              <w:adjustRightInd w:val="0"/>
              <w:spacing w:after="0"/>
              <w:jc w:val="center"/>
              <w:rPr>
                <w:rFonts w:ascii="Arial" w:hAnsi="Arial" w:cs="Arial"/>
                <w:lang w:eastAsia="en-GB"/>
              </w:rPr>
            </w:pPr>
            <w:r>
              <w:rPr>
                <w:rFonts w:ascii="Arial" w:hAnsi="Arial" w:cs="Arial"/>
                <w:lang w:eastAsia="en-GB"/>
              </w:rPr>
              <w:t>£103,516.07 x 10315</w:t>
            </w:r>
          </w:p>
        </w:tc>
        <w:tc>
          <w:tcPr>
            <w:tcW w:w="4615" w:type="dxa"/>
            <w:gridSpan w:val="2"/>
          </w:tcPr>
          <w:p w14:paraId="7752CE95" w14:textId="77777777" w:rsidR="006F65B2" w:rsidRDefault="006F65B2"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 £36,567.41 x Factor AB1</w:t>
            </w:r>
          </w:p>
        </w:tc>
      </w:tr>
      <w:tr w:rsidR="006F65B2" w14:paraId="6719C366" w14:textId="77777777" w:rsidTr="005F0F6B">
        <w:tc>
          <w:tcPr>
            <w:tcW w:w="2660" w:type="dxa"/>
            <w:gridSpan w:val="2"/>
          </w:tcPr>
          <w:p w14:paraId="3944736B" w14:textId="77777777" w:rsidR="006F65B2" w:rsidRDefault="006F65B2" w:rsidP="00C3234B">
            <w:pPr>
              <w:tabs>
                <w:tab w:val="left" w:pos="1134"/>
                <w:tab w:val="left" w:pos="1560"/>
                <w:tab w:val="left" w:pos="2127"/>
              </w:tabs>
              <w:autoSpaceDE w:val="0"/>
              <w:autoSpaceDN w:val="0"/>
              <w:adjustRightInd w:val="0"/>
              <w:spacing w:after="0"/>
              <w:rPr>
                <w:rFonts w:ascii="Arial" w:hAnsi="Arial" w:cs="Arial"/>
                <w:lang w:eastAsia="en-GB"/>
              </w:rPr>
            </w:pPr>
          </w:p>
        </w:tc>
        <w:tc>
          <w:tcPr>
            <w:tcW w:w="2693" w:type="dxa"/>
            <w:tcBorders>
              <w:top w:val="single" w:sz="4" w:space="0" w:color="auto"/>
            </w:tcBorders>
            <w:vAlign w:val="center"/>
          </w:tcPr>
          <w:p w14:paraId="120C9AA7" w14:textId="77777777" w:rsidR="006F65B2" w:rsidRDefault="006F65B2" w:rsidP="006F65B2">
            <w:pPr>
              <w:tabs>
                <w:tab w:val="left" w:pos="1134"/>
                <w:tab w:val="left" w:pos="1560"/>
                <w:tab w:val="left" w:pos="2127"/>
              </w:tabs>
              <w:autoSpaceDE w:val="0"/>
              <w:autoSpaceDN w:val="0"/>
              <w:adjustRightInd w:val="0"/>
              <w:spacing w:after="0"/>
              <w:jc w:val="center"/>
              <w:rPr>
                <w:rFonts w:ascii="Arial" w:hAnsi="Arial" w:cs="Arial"/>
                <w:lang w:eastAsia="en-GB"/>
              </w:rPr>
            </w:pPr>
            <w:r w:rsidRPr="00441AB9">
              <w:rPr>
                <w:rFonts w:ascii="Arial" w:hAnsi="Arial" w:cs="Arial"/>
                <w:lang w:eastAsia="en-GB"/>
              </w:rPr>
              <w:t>29200</w:t>
            </w:r>
          </w:p>
        </w:tc>
        <w:tc>
          <w:tcPr>
            <w:tcW w:w="3119" w:type="dxa"/>
          </w:tcPr>
          <w:p w14:paraId="0895B6CA" w14:textId="77777777" w:rsidR="006F65B2" w:rsidRDefault="006F65B2" w:rsidP="00C3234B">
            <w:pPr>
              <w:tabs>
                <w:tab w:val="left" w:pos="1134"/>
                <w:tab w:val="left" w:pos="1560"/>
                <w:tab w:val="left" w:pos="2127"/>
              </w:tabs>
              <w:autoSpaceDE w:val="0"/>
              <w:autoSpaceDN w:val="0"/>
              <w:adjustRightInd w:val="0"/>
              <w:spacing w:after="0"/>
              <w:rPr>
                <w:rFonts w:ascii="Arial" w:hAnsi="Arial" w:cs="Arial"/>
                <w:lang w:eastAsia="en-GB"/>
              </w:rPr>
            </w:pPr>
          </w:p>
        </w:tc>
        <w:tc>
          <w:tcPr>
            <w:tcW w:w="1496" w:type="dxa"/>
          </w:tcPr>
          <w:p w14:paraId="729206BF" w14:textId="77777777" w:rsidR="006F65B2" w:rsidRDefault="006F65B2" w:rsidP="00C3234B">
            <w:pPr>
              <w:tabs>
                <w:tab w:val="left" w:pos="1134"/>
                <w:tab w:val="left" w:pos="1560"/>
                <w:tab w:val="left" w:pos="2127"/>
              </w:tabs>
              <w:autoSpaceDE w:val="0"/>
              <w:autoSpaceDN w:val="0"/>
              <w:adjustRightInd w:val="0"/>
              <w:spacing w:after="0"/>
              <w:rPr>
                <w:rFonts w:ascii="Arial" w:hAnsi="Arial" w:cs="Arial"/>
                <w:lang w:eastAsia="en-GB"/>
              </w:rPr>
            </w:pPr>
          </w:p>
        </w:tc>
      </w:tr>
      <w:tr w:rsidR="006F65B2" w:rsidRPr="001A4031" w14:paraId="5256CDFE" w14:textId="77777777" w:rsidTr="005F0F6B">
        <w:tc>
          <w:tcPr>
            <w:tcW w:w="2660" w:type="dxa"/>
            <w:gridSpan w:val="2"/>
          </w:tcPr>
          <w:p w14:paraId="6269FD30" w14:textId="77777777" w:rsidR="006F65B2" w:rsidRPr="001A4031" w:rsidRDefault="006F65B2"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5812" w:type="dxa"/>
            <w:gridSpan w:val="2"/>
          </w:tcPr>
          <w:p w14:paraId="1723122D" w14:textId="77777777" w:rsidR="006F65B2" w:rsidRPr="001A4031" w:rsidRDefault="006F65B2"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1496" w:type="dxa"/>
          </w:tcPr>
          <w:p w14:paraId="377D05DD" w14:textId="77777777" w:rsidR="006F65B2" w:rsidRPr="001A4031" w:rsidRDefault="006F65B2"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r>
      <w:tr w:rsidR="005F0F6B" w14:paraId="091EA48D" w14:textId="77777777" w:rsidTr="005F0F6B">
        <w:tc>
          <w:tcPr>
            <w:tcW w:w="2315" w:type="dxa"/>
          </w:tcPr>
          <w:p w14:paraId="672979E3"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p>
        </w:tc>
        <w:tc>
          <w:tcPr>
            <w:tcW w:w="345" w:type="dxa"/>
          </w:tcPr>
          <w:p w14:paraId="3D35F9E4"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w:t>
            </w:r>
          </w:p>
        </w:tc>
        <w:tc>
          <w:tcPr>
            <w:tcW w:w="5812" w:type="dxa"/>
            <w:gridSpan w:val="2"/>
          </w:tcPr>
          <w:p w14:paraId="5AC08667"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sidRPr="009F76D9">
              <w:rPr>
                <w:rFonts w:ascii="Arial" w:hAnsi="Arial" w:cs="Arial"/>
                <w:lang w:eastAsia="en-GB"/>
              </w:rPr>
              <w:t>£36,567.41 x 0.793 = £28,997.96</w:t>
            </w:r>
          </w:p>
        </w:tc>
        <w:tc>
          <w:tcPr>
            <w:tcW w:w="1496" w:type="dxa"/>
          </w:tcPr>
          <w:p w14:paraId="26F110CF"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sidRPr="009F76D9">
              <w:rPr>
                <w:rFonts w:ascii="Arial" w:hAnsi="Arial" w:cs="Arial"/>
                <w:b/>
                <w:lang w:eastAsia="en-GB"/>
              </w:rPr>
              <w:t>(E)</w:t>
            </w:r>
          </w:p>
        </w:tc>
      </w:tr>
    </w:tbl>
    <w:p w14:paraId="779B7668" w14:textId="77777777" w:rsidR="005F0F6B" w:rsidRDefault="005F0F6B" w:rsidP="005F0F6B">
      <w:pPr>
        <w:tabs>
          <w:tab w:val="left" w:pos="1134"/>
          <w:tab w:val="left" w:pos="1560"/>
          <w:tab w:val="left" w:pos="2127"/>
        </w:tabs>
        <w:autoSpaceDE w:val="0"/>
        <w:autoSpaceDN w:val="0"/>
        <w:adjustRightInd w:val="0"/>
        <w:spacing w:after="0"/>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345"/>
        <w:gridCol w:w="2649"/>
        <w:gridCol w:w="3029"/>
        <w:gridCol w:w="1465"/>
      </w:tblGrid>
      <w:tr w:rsidR="005F0F6B" w14:paraId="1A2F7ACE" w14:textId="77777777" w:rsidTr="005F0F6B">
        <w:tc>
          <w:tcPr>
            <w:tcW w:w="2315" w:type="dxa"/>
          </w:tcPr>
          <w:p w14:paraId="221A7509"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Added Years</w:t>
            </w:r>
          </w:p>
        </w:tc>
        <w:tc>
          <w:tcPr>
            <w:tcW w:w="345" w:type="dxa"/>
          </w:tcPr>
          <w:p w14:paraId="6C089A7B"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w:t>
            </w:r>
          </w:p>
        </w:tc>
        <w:tc>
          <w:tcPr>
            <w:tcW w:w="2693" w:type="dxa"/>
            <w:tcBorders>
              <w:bottom w:val="single" w:sz="4" w:space="0" w:color="auto"/>
            </w:tcBorders>
            <w:vAlign w:val="center"/>
          </w:tcPr>
          <w:p w14:paraId="211B5413" w14:textId="77777777" w:rsidR="005F0F6B" w:rsidRDefault="005F0F6B" w:rsidP="00C3234B">
            <w:pPr>
              <w:tabs>
                <w:tab w:val="left" w:pos="1134"/>
                <w:tab w:val="left" w:pos="1560"/>
                <w:tab w:val="left" w:pos="2127"/>
              </w:tabs>
              <w:autoSpaceDE w:val="0"/>
              <w:autoSpaceDN w:val="0"/>
              <w:adjustRightInd w:val="0"/>
              <w:spacing w:after="0"/>
              <w:jc w:val="center"/>
              <w:rPr>
                <w:rFonts w:ascii="Arial" w:hAnsi="Arial" w:cs="Arial"/>
                <w:lang w:eastAsia="en-GB"/>
              </w:rPr>
            </w:pPr>
            <w:r w:rsidRPr="00441AB9">
              <w:rPr>
                <w:rFonts w:ascii="Arial" w:hAnsi="Arial" w:cs="Arial"/>
                <w:lang w:eastAsia="en-GB"/>
              </w:rPr>
              <w:t>£103,516.07 x 1322</w:t>
            </w:r>
          </w:p>
        </w:tc>
        <w:tc>
          <w:tcPr>
            <w:tcW w:w="4615" w:type="dxa"/>
            <w:gridSpan w:val="2"/>
          </w:tcPr>
          <w:p w14:paraId="30752C41"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 £4,686.58 x Factor AB1</w:t>
            </w:r>
          </w:p>
        </w:tc>
      </w:tr>
      <w:tr w:rsidR="005F0F6B" w14:paraId="2D1CAB2E" w14:textId="77777777" w:rsidTr="005F0F6B">
        <w:tc>
          <w:tcPr>
            <w:tcW w:w="2660" w:type="dxa"/>
            <w:gridSpan w:val="2"/>
          </w:tcPr>
          <w:p w14:paraId="2A86E55D"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p>
        </w:tc>
        <w:tc>
          <w:tcPr>
            <w:tcW w:w="2693" w:type="dxa"/>
            <w:tcBorders>
              <w:top w:val="single" w:sz="4" w:space="0" w:color="auto"/>
            </w:tcBorders>
            <w:vAlign w:val="center"/>
          </w:tcPr>
          <w:p w14:paraId="1419E0ED" w14:textId="77777777" w:rsidR="005F0F6B" w:rsidRDefault="005F0F6B" w:rsidP="00C3234B">
            <w:pPr>
              <w:tabs>
                <w:tab w:val="left" w:pos="1134"/>
                <w:tab w:val="left" w:pos="1560"/>
                <w:tab w:val="left" w:pos="2127"/>
              </w:tabs>
              <w:autoSpaceDE w:val="0"/>
              <w:autoSpaceDN w:val="0"/>
              <w:adjustRightInd w:val="0"/>
              <w:spacing w:after="0"/>
              <w:jc w:val="center"/>
              <w:rPr>
                <w:rFonts w:ascii="Arial" w:hAnsi="Arial" w:cs="Arial"/>
                <w:lang w:eastAsia="en-GB"/>
              </w:rPr>
            </w:pPr>
            <w:r w:rsidRPr="00441AB9">
              <w:rPr>
                <w:rFonts w:ascii="Arial" w:hAnsi="Arial" w:cs="Arial"/>
                <w:lang w:eastAsia="en-GB"/>
              </w:rPr>
              <w:t>29200</w:t>
            </w:r>
          </w:p>
        </w:tc>
        <w:tc>
          <w:tcPr>
            <w:tcW w:w="3119" w:type="dxa"/>
          </w:tcPr>
          <w:p w14:paraId="3FD6AA28"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p>
        </w:tc>
        <w:tc>
          <w:tcPr>
            <w:tcW w:w="1496" w:type="dxa"/>
          </w:tcPr>
          <w:p w14:paraId="294A9401"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p>
        </w:tc>
      </w:tr>
      <w:tr w:rsidR="005F0F6B" w:rsidRPr="001A4031" w14:paraId="62686BE8" w14:textId="77777777" w:rsidTr="005F0F6B">
        <w:tc>
          <w:tcPr>
            <w:tcW w:w="2660" w:type="dxa"/>
            <w:gridSpan w:val="2"/>
          </w:tcPr>
          <w:p w14:paraId="3FDFBBC2" w14:textId="77777777" w:rsidR="005F0F6B" w:rsidRPr="001A4031" w:rsidRDefault="005F0F6B"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5812" w:type="dxa"/>
            <w:gridSpan w:val="2"/>
          </w:tcPr>
          <w:p w14:paraId="0532D639" w14:textId="77777777" w:rsidR="005F0F6B" w:rsidRPr="001A4031" w:rsidRDefault="005F0F6B"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c>
          <w:tcPr>
            <w:tcW w:w="1496" w:type="dxa"/>
          </w:tcPr>
          <w:p w14:paraId="0A510CE5" w14:textId="77777777" w:rsidR="005F0F6B" w:rsidRPr="001A4031" w:rsidRDefault="005F0F6B" w:rsidP="00C3234B">
            <w:pPr>
              <w:tabs>
                <w:tab w:val="left" w:pos="1134"/>
                <w:tab w:val="left" w:pos="1560"/>
                <w:tab w:val="left" w:pos="2127"/>
              </w:tabs>
              <w:autoSpaceDE w:val="0"/>
              <w:autoSpaceDN w:val="0"/>
              <w:adjustRightInd w:val="0"/>
              <w:spacing w:after="0"/>
              <w:rPr>
                <w:rFonts w:ascii="Arial" w:hAnsi="Arial" w:cs="Arial"/>
                <w:sz w:val="8"/>
                <w:szCs w:val="8"/>
                <w:lang w:eastAsia="en-GB"/>
              </w:rPr>
            </w:pPr>
          </w:p>
        </w:tc>
      </w:tr>
      <w:tr w:rsidR="005F0F6B" w14:paraId="2A203B5B" w14:textId="77777777" w:rsidTr="005F0F6B">
        <w:tc>
          <w:tcPr>
            <w:tcW w:w="2315" w:type="dxa"/>
          </w:tcPr>
          <w:p w14:paraId="5B007E65"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p>
        </w:tc>
        <w:tc>
          <w:tcPr>
            <w:tcW w:w="345" w:type="dxa"/>
          </w:tcPr>
          <w:p w14:paraId="3CFDBDBC"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w:t>
            </w:r>
          </w:p>
        </w:tc>
        <w:tc>
          <w:tcPr>
            <w:tcW w:w="5812" w:type="dxa"/>
            <w:gridSpan w:val="2"/>
          </w:tcPr>
          <w:p w14:paraId="6D64B55A"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£4.686.58 x 0.793 = £3,716.46</w:t>
            </w:r>
          </w:p>
        </w:tc>
        <w:tc>
          <w:tcPr>
            <w:tcW w:w="1496" w:type="dxa"/>
          </w:tcPr>
          <w:p w14:paraId="4B8E38A7" w14:textId="77777777" w:rsidR="005F0F6B" w:rsidRDefault="005F0F6B" w:rsidP="005F0F6B">
            <w:pPr>
              <w:tabs>
                <w:tab w:val="left" w:pos="1134"/>
                <w:tab w:val="left" w:pos="1560"/>
                <w:tab w:val="left" w:pos="2127"/>
              </w:tabs>
              <w:autoSpaceDE w:val="0"/>
              <w:autoSpaceDN w:val="0"/>
              <w:adjustRightInd w:val="0"/>
              <w:spacing w:after="0"/>
              <w:rPr>
                <w:rFonts w:ascii="Arial" w:hAnsi="Arial" w:cs="Arial"/>
                <w:lang w:eastAsia="en-GB"/>
              </w:rPr>
            </w:pPr>
            <w:r w:rsidRPr="009F76D9">
              <w:rPr>
                <w:rFonts w:ascii="Arial" w:hAnsi="Arial" w:cs="Arial"/>
                <w:b/>
                <w:lang w:eastAsia="en-GB"/>
              </w:rPr>
              <w:t>(</w:t>
            </w:r>
            <w:r>
              <w:rPr>
                <w:rFonts w:ascii="Arial" w:hAnsi="Arial" w:cs="Arial"/>
                <w:b/>
                <w:lang w:eastAsia="en-GB"/>
              </w:rPr>
              <w:t>F</w:t>
            </w:r>
            <w:r w:rsidRPr="009F76D9">
              <w:rPr>
                <w:rFonts w:ascii="Arial" w:hAnsi="Arial" w:cs="Arial"/>
                <w:b/>
                <w:lang w:eastAsia="en-GB"/>
              </w:rPr>
              <w:t>)</w:t>
            </w:r>
          </w:p>
        </w:tc>
      </w:tr>
    </w:tbl>
    <w:p w14:paraId="3191DFFC" w14:textId="77777777" w:rsidR="005F0F6B" w:rsidRDefault="005F0F6B" w:rsidP="005F0F6B">
      <w:pPr>
        <w:tabs>
          <w:tab w:val="left" w:pos="1134"/>
          <w:tab w:val="left" w:pos="1560"/>
          <w:tab w:val="left" w:pos="2127"/>
        </w:tabs>
        <w:autoSpaceDE w:val="0"/>
        <w:autoSpaceDN w:val="0"/>
        <w:adjustRightInd w:val="0"/>
        <w:spacing w:after="0"/>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45"/>
        <w:gridCol w:w="5669"/>
        <w:gridCol w:w="1465"/>
      </w:tblGrid>
      <w:tr w:rsidR="005F0F6B" w14:paraId="2F8392C2" w14:textId="77777777" w:rsidTr="005F0F6B">
        <w:tc>
          <w:tcPr>
            <w:tcW w:w="2315" w:type="dxa"/>
          </w:tcPr>
          <w:p w14:paraId="444A9CCA"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Total p</w:t>
            </w:r>
            <w:r w:rsidRPr="00441AB9">
              <w:rPr>
                <w:rFonts w:ascii="Arial" w:hAnsi="Arial" w:cs="Arial"/>
                <w:lang w:eastAsia="en-GB"/>
              </w:rPr>
              <w:t>ension (</w:t>
            </w:r>
            <w:r w:rsidRPr="00441AB9">
              <w:rPr>
                <w:rFonts w:ascii="Arial" w:hAnsi="Arial" w:cs="Arial"/>
                <w:b/>
                <w:lang w:eastAsia="en-GB"/>
              </w:rPr>
              <w:t>E</w:t>
            </w:r>
            <w:r w:rsidRPr="00441AB9">
              <w:rPr>
                <w:rFonts w:ascii="Arial" w:hAnsi="Arial" w:cs="Arial"/>
                <w:lang w:eastAsia="en-GB"/>
              </w:rPr>
              <w:t xml:space="preserve"> +</w:t>
            </w:r>
            <w:r w:rsidRPr="00441AB9">
              <w:rPr>
                <w:rFonts w:ascii="Arial" w:hAnsi="Arial" w:cs="Arial"/>
                <w:b/>
                <w:lang w:eastAsia="en-GB"/>
              </w:rPr>
              <w:t xml:space="preserve"> F</w:t>
            </w:r>
            <w:r w:rsidRPr="00441AB9">
              <w:rPr>
                <w:rFonts w:ascii="Arial" w:hAnsi="Arial" w:cs="Arial"/>
                <w:lang w:eastAsia="en-GB"/>
              </w:rPr>
              <w:t>)</w:t>
            </w:r>
          </w:p>
        </w:tc>
        <w:tc>
          <w:tcPr>
            <w:tcW w:w="345" w:type="dxa"/>
          </w:tcPr>
          <w:p w14:paraId="7D6DCDD7"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Pr>
                <w:rFonts w:ascii="Arial" w:hAnsi="Arial" w:cs="Arial"/>
                <w:lang w:eastAsia="en-GB"/>
              </w:rPr>
              <w:t>=</w:t>
            </w:r>
          </w:p>
        </w:tc>
        <w:tc>
          <w:tcPr>
            <w:tcW w:w="5812" w:type="dxa"/>
            <w:vAlign w:val="center"/>
          </w:tcPr>
          <w:p w14:paraId="787EB6D9"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lang w:eastAsia="en-GB"/>
              </w:rPr>
              <w:t xml:space="preserve">= £28,997.96 + £3,716.46 = £32,714.42 </w:t>
            </w:r>
            <w:r w:rsidRPr="00441AB9">
              <w:rPr>
                <w:rFonts w:ascii="Arial" w:hAnsi="Arial" w:cs="Arial"/>
                <w:sz w:val="21"/>
                <w:szCs w:val="21"/>
                <w:lang w:eastAsia="en-GB"/>
              </w:rPr>
              <w:t>earned pension</w:t>
            </w:r>
          </w:p>
        </w:tc>
        <w:tc>
          <w:tcPr>
            <w:tcW w:w="1496" w:type="dxa"/>
            <w:vAlign w:val="center"/>
          </w:tcPr>
          <w:p w14:paraId="3039ABE1" w14:textId="77777777" w:rsidR="005F0F6B" w:rsidRDefault="005F0F6B" w:rsidP="00C3234B">
            <w:pPr>
              <w:tabs>
                <w:tab w:val="left" w:pos="1134"/>
                <w:tab w:val="left" w:pos="1560"/>
                <w:tab w:val="left" w:pos="2127"/>
              </w:tabs>
              <w:autoSpaceDE w:val="0"/>
              <w:autoSpaceDN w:val="0"/>
              <w:adjustRightInd w:val="0"/>
              <w:spacing w:after="0"/>
              <w:rPr>
                <w:rFonts w:ascii="Arial" w:hAnsi="Arial" w:cs="Arial"/>
                <w:lang w:eastAsia="en-GB"/>
              </w:rPr>
            </w:pPr>
            <w:r w:rsidRPr="00441AB9">
              <w:rPr>
                <w:rFonts w:ascii="Arial" w:hAnsi="Arial" w:cs="Arial"/>
                <w:b/>
                <w:lang w:eastAsia="en-GB"/>
              </w:rPr>
              <w:t>(G)</w:t>
            </w:r>
          </w:p>
        </w:tc>
      </w:tr>
    </w:tbl>
    <w:p w14:paraId="65A1E2E8" w14:textId="77777777" w:rsidR="005F0F6B" w:rsidRDefault="005F0F6B" w:rsidP="001501B0">
      <w:pPr>
        <w:tabs>
          <w:tab w:val="left" w:pos="1134"/>
          <w:tab w:val="left" w:pos="1560"/>
          <w:tab w:val="left" w:pos="2127"/>
        </w:tabs>
        <w:autoSpaceDE w:val="0"/>
        <w:autoSpaceDN w:val="0"/>
        <w:adjustRightInd w:val="0"/>
        <w:spacing w:after="0"/>
        <w:rPr>
          <w:rFonts w:ascii="Arial" w:hAnsi="Arial" w:cs="Arial"/>
          <w:lang w:eastAsia="en-GB"/>
        </w:rPr>
      </w:pPr>
    </w:p>
    <w:p w14:paraId="0E8AD499" w14:textId="77777777" w:rsidR="009F76D9" w:rsidRPr="005F0F6B" w:rsidRDefault="00441AB9" w:rsidP="001501B0">
      <w:pPr>
        <w:tabs>
          <w:tab w:val="left" w:pos="1134"/>
          <w:tab w:val="left" w:pos="1560"/>
          <w:tab w:val="left" w:pos="2127"/>
        </w:tabs>
        <w:autoSpaceDE w:val="0"/>
        <w:autoSpaceDN w:val="0"/>
        <w:adjustRightInd w:val="0"/>
        <w:spacing w:after="0"/>
        <w:rPr>
          <w:rFonts w:ascii="Arial" w:hAnsi="Arial" w:cs="Arial"/>
          <w:b/>
          <w:lang w:eastAsia="en-GB"/>
        </w:rPr>
      </w:pPr>
      <w:r w:rsidRPr="00441AB9">
        <w:rPr>
          <w:rFonts w:ascii="Arial" w:hAnsi="Arial" w:cs="Arial"/>
          <w:b/>
          <w:lang w:eastAsia="en-GB"/>
        </w:rPr>
        <w:t xml:space="preserve">Unearned element of pension </w:t>
      </w:r>
    </w:p>
    <w:p w14:paraId="7F0A9DC9" w14:textId="77777777" w:rsidR="001C60B8" w:rsidRDefault="00441AB9" w:rsidP="001501B0">
      <w:pPr>
        <w:tabs>
          <w:tab w:val="left" w:pos="1134"/>
          <w:tab w:val="left" w:pos="1560"/>
          <w:tab w:val="left" w:pos="2127"/>
        </w:tabs>
        <w:spacing w:after="0"/>
        <w:rPr>
          <w:rFonts w:ascii="Arial" w:hAnsi="Arial" w:cs="Arial"/>
          <w:lang w:eastAsia="en-GB"/>
        </w:rPr>
        <w:sectPr w:rsidR="001C60B8" w:rsidSect="0036294C">
          <w:pgSz w:w="11906" w:h="16838" w:code="9"/>
          <w:pgMar w:top="1440" w:right="1077" w:bottom="1440" w:left="1077" w:header="709" w:footer="590" w:gutter="0"/>
          <w:cols w:space="708"/>
          <w:docGrid w:linePitch="360"/>
        </w:sectPr>
      </w:pPr>
      <w:r w:rsidRPr="00441AB9">
        <w:rPr>
          <w:rFonts w:ascii="Arial" w:hAnsi="Arial" w:cs="Arial"/>
          <w:lang w:eastAsia="en-GB"/>
        </w:rPr>
        <w:t>£42,310.42 (</w:t>
      </w:r>
      <w:r w:rsidRPr="009F76D9">
        <w:rPr>
          <w:rFonts w:ascii="Arial" w:hAnsi="Arial" w:cs="Arial"/>
          <w:b/>
          <w:lang w:eastAsia="en-GB"/>
        </w:rPr>
        <w:t>A</w:t>
      </w:r>
      <w:r w:rsidRPr="00441AB9">
        <w:rPr>
          <w:rFonts w:ascii="Arial" w:hAnsi="Arial" w:cs="Arial"/>
          <w:lang w:eastAsia="en-GB"/>
        </w:rPr>
        <w:t>) - £32,714.42 (</w:t>
      </w:r>
      <w:r w:rsidRPr="009F76D9">
        <w:rPr>
          <w:rFonts w:ascii="Arial" w:hAnsi="Arial" w:cs="Arial"/>
          <w:b/>
          <w:lang w:eastAsia="en-GB"/>
        </w:rPr>
        <w:t>G</w:t>
      </w:r>
      <w:r w:rsidRPr="00441AB9">
        <w:rPr>
          <w:rFonts w:ascii="Arial" w:hAnsi="Arial" w:cs="Arial"/>
          <w:lang w:eastAsia="en-GB"/>
        </w:rPr>
        <w:t>) = £9,596.00</w:t>
      </w:r>
    </w:p>
    <w:p w14:paraId="55542EAA" w14:textId="1BCD40AD" w:rsidR="00967D30" w:rsidRDefault="00967D30" w:rsidP="005F0F6B">
      <w:pPr>
        <w:pStyle w:val="Heading1"/>
        <w:rPr>
          <w:lang w:val="en-US"/>
        </w:rPr>
      </w:pPr>
      <w:bookmarkStart w:id="13" w:name="_Toc492453619"/>
      <w:r>
        <w:rPr>
          <w:lang w:val="en-US"/>
        </w:rPr>
        <w:lastRenderedPageBreak/>
        <w:t>R</w:t>
      </w:r>
      <w:r w:rsidR="002746EC">
        <w:rPr>
          <w:lang w:val="en-US"/>
        </w:rPr>
        <w:t xml:space="preserve">etire </w:t>
      </w:r>
      <w:r w:rsidR="00A94025">
        <w:rPr>
          <w:lang w:val="en-US"/>
        </w:rPr>
        <w:t>and</w:t>
      </w:r>
      <w:r w:rsidR="00AC5171">
        <w:rPr>
          <w:lang w:val="en-US"/>
        </w:rPr>
        <w:t xml:space="preserve"> </w:t>
      </w:r>
      <w:proofErr w:type="gramStart"/>
      <w:r w:rsidR="00A94025">
        <w:rPr>
          <w:lang w:val="en-US"/>
        </w:rPr>
        <w:t>r</w:t>
      </w:r>
      <w:r w:rsidR="002746EC">
        <w:rPr>
          <w:lang w:val="en-US"/>
        </w:rPr>
        <w:t>eturn</w:t>
      </w:r>
      <w:bookmarkEnd w:id="13"/>
      <w:proofErr w:type="gramEnd"/>
    </w:p>
    <w:p w14:paraId="198F1956" w14:textId="77777777" w:rsidR="005F0F6B" w:rsidRDefault="005F0F6B" w:rsidP="001501B0">
      <w:pPr>
        <w:tabs>
          <w:tab w:val="left" w:pos="1134"/>
          <w:tab w:val="left" w:pos="1560"/>
          <w:tab w:val="left" w:pos="2127"/>
        </w:tabs>
        <w:spacing w:after="0"/>
        <w:rPr>
          <w:rFonts w:ascii="Arial" w:hAnsi="Arial" w:cs="Arial"/>
          <w:color w:val="009639"/>
          <w:sz w:val="32"/>
          <w:lang w:val="en-US"/>
        </w:rPr>
      </w:pPr>
    </w:p>
    <w:p w14:paraId="21CBA919" w14:textId="77777777" w:rsidR="00C03BB2" w:rsidRDefault="00C03BB2" w:rsidP="001501B0">
      <w:pPr>
        <w:tabs>
          <w:tab w:val="left" w:pos="1134"/>
          <w:tab w:val="left" w:pos="1560"/>
          <w:tab w:val="left" w:pos="2127"/>
        </w:tabs>
        <w:spacing w:after="0"/>
        <w:rPr>
          <w:rFonts w:ascii="Arial" w:hAnsi="Arial" w:cs="Arial"/>
          <w:lang w:eastAsia="en-GB"/>
        </w:rPr>
      </w:pPr>
      <w:r>
        <w:rPr>
          <w:rFonts w:ascii="Arial" w:hAnsi="Arial" w:cs="Arial"/>
          <w:lang w:eastAsia="en-GB"/>
        </w:rPr>
        <w:t>There are certain rules that may apply to m</w:t>
      </w:r>
      <w:r w:rsidRPr="00C03BB2">
        <w:rPr>
          <w:rFonts w:ascii="Arial" w:hAnsi="Arial" w:cs="Arial"/>
          <w:lang w:eastAsia="en-GB"/>
        </w:rPr>
        <w:t>e</w:t>
      </w:r>
      <w:r>
        <w:rPr>
          <w:rFonts w:ascii="Arial" w:hAnsi="Arial" w:cs="Arial"/>
          <w:lang w:eastAsia="en-GB"/>
        </w:rPr>
        <w:t>mbe</w:t>
      </w:r>
      <w:r w:rsidRPr="00C03BB2">
        <w:rPr>
          <w:rFonts w:ascii="Arial" w:hAnsi="Arial" w:cs="Arial"/>
          <w:lang w:eastAsia="en-GB"/>
        </w:rPr>
        <w:t>r</w:t>
      </w:r>
      <w:r>
        <w:rPr>
          <w:rFonts w:ascii="Arial" w:hAnsi="Arial" w:cs="Arial"/>
          <w:lang w:eastAsia="en-GB"/>
        </w:rPr>
        <w:t>s intending to return to work following normal or early retirement</w:t>
      </w:r>
      <w:r w:rsidR="00AC5171">
        <w:rPr>
          <w:rFonts w:ascii="Arial" w:hAnsi="Arial" w:cs="Arial"/>
          <w:lang w:eastAsia="en-GB"/>
        </w:rPr>
        <w:t>, excluding partial retirement (draw down)</w:t>
      </w:r>
      <w:r w:rsidR="00A94025">
        <w:rPr>
          <w:rFonts w:ascii="Arial" w:hAnsi="Arial" w:cs="Arial"/>
          <w:lang w:eastAsia="en-GB"/>
        </w:rPr>
        <w:t>:</w:t>
      </w:r>
    </w:p>
    <w:p w14:paraId="1D22E80B" w14:textId="77777777" w:rsidR="005F0F6B" w:rsidRDefault="005F0F6B" w:rsidP="001501B0">
      <w:pPr>
        <w:tabs>
          <w:tab w:val="left" w:pos="1134"/>
          <w:tab w:val="left" w:pos="1560"/>
          <w:tab w:val="left" w:pos="2127"/>
        </w:tabs>
        <w:spacing w:after="0"/>
        <w:rPr>
          <w:rFonts w:ascii="Arial" w:hAnsi="Arial" w:cs="Arial"/>
          <w:lang w:eastAsia="en-GB"/>
        </w:rPr>
      </w:pPr>
    </w:p>
    <w:p w14:paraId="5F2CBE2B" w14:textId="77777777" w:rsidR="00416E89" w:rsidRDefault="00C03BB2" w:rsidP="001501B0">
      <w:pPr>
        <w:pStyle w:val="ListParagraph"/>
        <w:numPr>
          <w:ilvl w:val="0"/>
          <w:numId w:val="9"/>
        </w:numPr>
        <w:tabs>
          <w:tab w:val="left" w:pos="1134"/>
          <w:tab w:val="left" w:pos="1560"/>
          <w:tab w:val="left" w:pos="2127"/>
        </w:tabs>
        <w:spacing w:after="0"/>
        <w:rPr>
          <w:rFonts w:ascii="Arial" w:hAnsi="Arial" w:cs="Arial"/>
          <w:lang w:eastAsia="en-GB"/>
        </w:rPr>
      </w:pPr>
      <w:r w:rsidRPr="00C03BB2">
        <w:rPr>
          <w:rFonts w:ascii="Arial" w:hAnsi="Arial" w:cs="Arial"/>
          <w:lang w:eastAsia="en-GB"/>
        </w:rPr>
        <w:t xml:space="preserve">If </w:t>
      </w:r>
      <w:r w:rsidR="00AC5171">
        <w:rPr>
          <w:rFonts w:ascii="Arial" w:hAnsi="Arial" w:cs="Arial"/>
          <w:lang w:eastAsia="en-GB"/>
        </w:rPr>
        <w:t>they</w:t>
      </w:r>
      <w:r w:rsidRPr="00C03BB2">
        <w:rPr>
          <w:rFonts w:ascii="Arial" w:hAnsi="Arial" w:cs="Arial"/>
          <w:lang w:eastAsia="en-GB"/>
        </w:rPr>
        <w:t xml:space="preserve"> </w:t>
      </w:r>
      <w:r w:rsidR="0096759B">
        <w:rPr>
          <w:rFonts w:ascii="Arial" w:hAnsi="Arial" w:cs="Arial"/>
          <w:lang w:eastAsia="en-GB"/>
        </w:rPr>
        <w:t xml:space="preserve">intend to </w:t>
      </w:r>
      <w:r w:rsidRPr="00C03BB2">
        <w:rPr>
          <w:rFonts w:ascii="Arial" w:hAnsi="Arial" w:cs="Arial"/>
          <w:lang w:eastAsia="en-GB"/>
        </w:rPr>
        <w:t xml:space="preserve">return </w:t>
      </w:r>
      <w:r w:rsidR="00F00E14">
        <w:rPr>
          <w:rFonts w:ascii="Arial" w:hAnsi="Arial" w:cs="Arial"/>
          <w:lang w:eastAsia="en-GB"/>
        </w:rPr>
        <w:t xml:space="preserve">to work following </w:t>
      </w:r>
      <w:proofErr w:type="gramStart"/>
      <w:r w:rsidR="00F00E14">
        <w:rPr>
          <w:rFonts w:ascii="Arial" w:hAnsi="Arial" w:cs="Arial"/>
          <w:lang w:eastAsia="en-GB"/>
        </w:rPr>
        <w:t>retirement</w:t>
      </w:r>
      <w:proofErr w:type="gramEnd"/>
      <w:r w:rsidR="00F00E14">
        <w:rPr>
          <w:rFonts w:ascii="Arial" w:hAnsi="Arial" w:cs="Arial"/>
          <w:lang w:eastAsia="en-GB"/>
        </w:rPr>
        <w:t xml:space="preserve"> they</w:t>
      </w:r>
      <w:r w:rsidRPr="00C03BB2">
        <w:rPr>
          <w:rFonts w:ascii="Arial" w:hAnsi="Arial" w:cs="Arial"/>
          <w:lang w:eastAsia="en-GB"/>
        </w:rPr>
        <w:t xml:space="preserve"> </w:t>
      </w:r>
      <w:r w:rsidR="0096759B">
        <w:rPr>
          <w:rFonts w:ascii="Arial" w:hAnsi="Arial" w:cs="Arial"/>
          <w:lang w:eastAsia="en-GB"/>
        </w:rPr>
        <w:t>must</w:t>
      </w:r>
      <w:r w:rsidRPr="00C03BB2">
        <w:rPr>
          <w:rFonts w:ascii="Arial" w:hAnsi="Arial" w:cs="Arial"/>
          <w:lang w:eastAsia="en-GB"/>
        </w:rPr>
        <w:t xml:space="preserve"> take a 24 hour brea</w:t>
      </w:r>
      <w:r w:rsidR="00F00E14">
        <w:rPr>
          <w:rFonts w:ascii="Arial" w:hAnsi="Arial" w:cs="Arial"/>
          <w:lang w:eastAsia="en-GB"/>
        </w:rPr>
        <w:t>k</w:t>
      </w:r>
    </w:p>
    <w:p w14:paraId="52885F19" w14:textId="77777777" w:rsidR="00416E89" w:rsidRDefault="00416E89" w:rsidP="001501B0">
      <w:pPr>
        <w:pStyle w:val="ListParagraph"/>
        <w:numPr>
          <w:ilvl w:val="0"/>
          <w:numId w:val="9"/>
        </w:numPr>
        <w:tabs>
          <w:tab w:val="left" w:pos="1134"/>
          <w:tab w:val="left" w:pos="1560"/>
          <w:tab w:val="left" w:pos="2127"/>
        </w:tabs>
        <w:spacing w:after="0"/>
        <w:rPr>
          <w:rFonts w:ascii="Arial" w:hAnsi="Arial" w:cs="Arial"/>
          <w:lang w:eastAsia="en-GB"/>
        </w:rPr>
      </w:pPr>
      <w:r>
        <w:rPr>
          <w:rFonts w:ascii="Arial" w:hAnsi="Arial" w:cs="Arial"/>
          <w:lang w:eastAsia="en-GB"/>
        </w:rPr>
        <w:t>The break is a termination of the contract,</w:t>
      </w:r>
      <w:r w:rsidR="00C03BB2">
        <w:rPr>
          <w:rFonts w:ascii="Arial" w:hAnsi="Arial" w:cs="Arial"/>
          <w:lang w:eastAsia="en-GB"/>
        </w:rPr>
        <w:t xml:space="preserve"> not annual leave</w:t>
      </w:r>
    </w:p>
    <w:p w14:paraId="54B51600" w14:textId="77777777" w:rsidR="00416E89" w:rsidRPr="00416E89" w:rsidRDefault="00416E89" w:rsidP="001501B0">
      <w:pPr>
        <w:pStyle w:val="ListParagraph"/>
        <w:numPr>
          <w:ilvl w:val="0"/>
          <w:numId w:val="9"/>
        </w:numPr>
        <w:tabs>
          <w:tab w:val="left" w:pos="1134"/>
          <w:tab w:val="left" w:pos="1560"/>
          <w:tab w:val="left" w:pos="2127"/>
        </w:tabs>
        <w:spacing w:after="0"/>
        <w:rPr>
          <w:rFonts w:ascii="Arial" w:hAnsi="Arial" w:cs="Arial"/>
          <w:lang w:eastAsia="en-GB"/>
        </w:rPr>
      </w:pPr>
      <w:r>
        <w:rPr>
          <w:rFonts w:ascii="Arial" w:hAnsi="Arial" w:cs="Arial"/>
          <w:lang w:eastAsia="en-GB"/>
        </w:rPr>
        <w:t>The break can be</w:t>
      </w:r>
      <w:r w:rsidR="00C03BB2">
        <w:rPr>
          <w:rFonts w:ascii="Arial" w:hAnsi="Arial" w:cs="Arial"/>
          <w:lang w:eastAsia="en-GB"/>
        </w:rPr>
        <w:t xml:space="preserve"> applicable to members in all sections </w:t>
      </w:r>
      <w:r>
        <w:rPr>
          <w:rFonts w:ascii="Arial" w:hAnsi="Arial" w:cs="Arial"/>
          <w:lang w:eastAsia="en-GB"/>
        </w:rPr>
        <w:t>and schemes</w:t>
      </w:r>
    </w:p>
    <w:p w14:paraId="76FE07CE" w14:textId="77777777" w:rsidR="005F0F6B" w:rsidRDefault="005F0F6B" w:rsidP="001501B0">
      <w:pPr>
        <w:tabs>
          <w:tab w:val="left" w:pos="1134"/>
          <w:tab w:val="left" w:pos="1560"/>
          <w:tab w:val="left" w:pos="2127"/>
        </w:tabs>
        <w:spacing w:after="0"/>
        <w:rPr>
          <w:rFonts w:ascii="Arial" w:hAnsi="Arial" w:cs="Arial"/>
          <w:color w:val="000000"/>
          <w:szCs w:val="23"/>
          <w:lang w:eastAsia="en-GB"/>
        </w:rPr>
      </w:pPr>
    </w:p>
    <w:p w14:paraId="2EC90B4E" w14:textId="77777777" w:rsidR="002F3AB5" w:rsidRDefault="002F3AB5" w:rsidP="001501B0">
      <w:pPr>
        <w:tabs>
          <w:tab w:val="left" w:pos="1134"/>
          <w:tab w:val="left" w:pos="1560"/>
          <w:tab w:val="left" w:pos="2127"/>
        </w:tabs>
        <w:spacing w:after="0"/>
        <w:rPr>
          <w:rFonts w:ascii="Arial" w:hAnsi="Arial" w:cs="Arial"/>
          <w:lang w:eastAsia="en-GB"/>
        </w:rPr>
      </w:pPr>
    </w:p>
    <w:p w14:paraId="727B7729" w14:textId="282FE02F" w:rsidR="005F0F6B" w:rsidRDefault="005F0F6B" w:rsidP="001501B0">
      <w:pPr>
        <w:tabs>
          <w:tab w:val="left" w:pos="1134"/>
          <w:tab w:val="left" w:pos="1560"/>
          <w:tab w:val="left" w:pos="2127"/>
        </w:tabs>
        <w:spacing w:after="0"/>
        <w:rPr>
          <w:rFonts w:ascii="Arial" w:hAnsi="Arial" w:cs="Arial"/>
          <w:color w:val="000000"/>
        </w:rPr>
      </w:pPr>
    </w:p>
    <w:p w14:paraId="4FB822F8" w14:textId="77777777" w:rsidR="003E52BA" w:rsidRDefault="003E52BA" w:rsidP="001501B0">
      <w:pPr>
        <w:tabs>
          <w:tab w:val="left" w:pos="1134"/>
          <w:tab w:val="left" w:pos="1560"/>
          <w:tab w:val="left" w:pos="2127"/>
        </w:tabs>
        <w:spacing w:after="0"/>
        <w:rPr>
          <w:rFonts w:ascii="Arial" w:hAnsi="Arial" w:cs="Arial"/>
          <w:lang w:eastAsia="en-GB"/>
        </w:rPr>
      </w:pPr>
    </w:p>
    <w:p w14:paraId="05974739" w14:textId="2D255957" w:rsidR="00FE7A38" w:rsidRPr="00FE7A38" w:rsidRDefault="00FE7A38">
      <w:pPr>
        <w:tabs>
          <w:tab w:val="left" w:pos="1134"/>
          <w:tab w:val="left" w:pos="1560"/>
          <w:tab w:val="left" w:pos="2127"/>
        </w:tabs>
        <w:spacing w:after="0"/>
        <w:rPr>
          <w:rFonts w:ascii="Arial" w:hAnsi="Arial" w:cs="Arial"/>
          <w:i/>
          <w:lang w:eastAsia="en-GB"/>
        </w:rPr>
      </w:pPr>
      <w:r>
        <w:rPr>
          <w:rFonts w:ascii="Arial" w:hAnsi="Arial" w:cs="Arial"/>
          <w:lang w:eastAsia="en-GB"/>
        </w:rPr>
        <w:t>For information on</w:t>
      </w:r>
      <w:r w:rsidR="002F3AB5">
        <w:rPr>
          <w:rFonts w:ascii="Arial" w:hAnsi="Arial" w:cs="Arial"/>
          <w:lang w:eastAsia="en-GB"/>
        </w:rPr>
        <w:t xml:space="preserve"> who is </w:t>
      </w:r>
      <w:r w:rsidR="00832210">
        <w:rPr>
          <w:rFonts w:ascii="Arial" w:hAnsi="Arial" w:cs="Arial"/>
          <w:lang w:eastAsia="en-GB"/>
        </w:rPr>
        <w:t>affected</w:t>
      </w:r>
      <w:r w:rsidR="002F3AB5">
        <w:rPr>
          <w:rFonts w:ascii="Arial" w:hAnsi="Arial" w:cs="Arial"/>
          <w:lang w:eastAsia="en-GB"/>
        </w:rPr>
        <w:t xml:space="preserve"> by</w:t>
      </w:r>
      <w:r>
        <w:rPr>
          <w:rFonts w:ascii="Arial" w:hAnsi="Arial" w:cs="Arial"/>
          <w:lang w:eastAsia="en-GB"/>
        </w:rPr>
        <w:t xml:space="preserve"> the </w:t>
      </w:r>
      <w:r w:rsidR="00745BBA">
        <w:rPr>
          <w:rFonts w:ascii="Arial" w:hAnsi="Arial" w:cs="Arial"/>
          <w:lang w:eastAsia="en-GB"/>
        </w:rPr>
        <w:t>24-hour</w:t>
      </w:r>
      <w:r>
        <w:rPr>
          <w:rFonts w:ascii="Arial" w:hAnsi="Arial" w:cs="Arial"/>
          <w:lang w:eastAsia="en-GB"/>
        </w:rPr>
        <w:t xml:space="preserve"> break</w:t>
      </w:r>
      <w:r w:rsidR="002F3AB5">
        <w:rPr>
          <w:rFonts w:ascii="Arial" w:hAnsi="Arial" w:cs="Arial"/>
          <w:lang w:eastAsia="en-GB"/>
        </w:rPr>
        <w:t xml:space="preserve"> rule</w:t>
      </w:r>
      <w:r>
        <w:rPr>
          <w:rFonts w:ascii="Arial" w:hAnsi="Arial" w:cs="Arial"/>
          <w:lang w:eastAsia="en-GB"/>
        </w:rPr>
        <w:t>, including a detailed flow chart please see the Retire and Return guide on our website.</w:t>
      </w:r>
    </w:p>
    <w:p w14:paraId="17941BC5" w14:textId="77777777" w:rsidR="005F0F6B" w:rsidRDefault="005F0F6B" w:rsidP="001501B0">
      <w:pPr>
        <w:shd w:val="clear" w:color="auto" w:fill="FFFFFF"/>
        <w:tabs>
          <w:tab w:val="left" w:pos="1134"/>
          <w:tab w:val="left" w:pos="1560"/>
          <w:tab w:val="left" w:pos="2127"/>
        </w:tabs>
        <w:spacing w:after="0"/>
        <w:ind w:right="150"/>
        <w:rPr>
          <w:rFonts w:ascii="Arial" w:hAnsi="Arial" w:cs="Arial"/>
          <w:color w:val="000000"/>
        </w:rPr>
      </w:pPr>
    </w:p>
    <w:p w14:paraId="3D1F0AA9" w14:textId="5F2ECFB9" w:rsidR="005F0F6B" w:rsidRDefault="002746EC" w:rsidP="001501B0">
      <w:pPr>
        <w:shd w:val="clear" w:color="auto" w:fill="FFFFFF"/>
        <w:tabs>
          <w:tab w:val="left" w:pos="1134"/>
          <w:tab w:val="left" w:pos="1560"/>
          <w:tab w:val="left" w:pos="2127"/>
        </w:tabs>
        <w:spacing w:after="0"/>
        <w:ind w:right="150"/>
        <w:rPr>
          <w:rFonts w:ascii="Arial" w:hAnsi="Arial" w:cs="Arial"/>
          <w:color w:val="000000"/>
        </w:rPr>
      </w:pPr>
      <w:r>
        <w:rPr>
          <w:rFonts w:ascii="Arial" w:hAnsi="Arial" w:cs="Arial"/>
          <w:color w:val="000000"/>
        </w:rPr>
        <w:t>Members</w:t>
      </w:r>
      <w:r w:rsidR="00A84DDF">
        <w:rPr>
          <w:rFonts w:ascii="Arial" w:hAnsi="Arial" w:cs="Arial"/>
          <w:color w:val="000000"/>
        </w:rPr>
        <w:t xml:space="preserve"> of the 1995 Section</w:t>
      </w:r>
      <w:r w:rsidRPr="003F65C3">
        <w:rPr>
          <w:rFonts w:ascii="Arial" w:hAnsi="Arial" w:cs="Arial"/>
          <w:color w:val="000000"/>
        </w:rPr>
        <w:t xml:space="preserve"> who hold </w:t>
      </w:r>
      <w:r>
        <w:rPr>
          <w:rFonts w:ascii="Arial" w:hAnsi="Arial" w:cs="Arial"/>
          <w:color w:val="000000"/>
        </w:rPr>
        <w:t>more than one</w:t>
      </w:r>
      <w:r w:rsidRPr="003F65C3">
        <w:rPr>
          <w:rFonts w:ascii="Arial" w:hAnsi="Arial" w:cs="Arial"/>
          <w:color w:val="000000"/>
        </w:rPr>
        <w:t xml:space="preserve"> NHS pensionabl</w:t>
      </w:r>
      <w:r>
        <w:rPr>
          <w:rFonts w:ascii="Arial" w:hAnsi="Arial" w:cs="Arial"/>
          <w:color w:val="000000"/>
        </w:rPr>
        <w:t>e employments at retirement</w:t>
      </w:r>
      <w:r w:rsidRPr="003F65C3">
        <w:rPr>
          <w:rFonts w:ascii="Arial" w:hAnsi="Arial" w:cs="Arial"/>
          <w:color w:val="000000"/>
        </w:rPr>
        <w:t xml:space="preserve"> </w:t>
      </w:r>
      <w:r w:rsidR="00DA6DE3">
        <w:rPr>
          <w:rFonts w:ascii="Arial" w:hAnsi="Arial" w:cs="Arial"/>
          <w:color w:val="000000"/>
        </w:rPr>
        <w:t>must</w:t>
      </w:r>
      <w:r w:rsidRPr="003F65C3">
        <w:rPr>
          <w:rFonts w:ascii="Arial" w:hAnsi="Arial" w:cs="Arial"/>
          <w:color w:val="000000"/>
        </w:rPr>
        <w:t xml:space="preserve"> take a 24hour break </w:t>
      </w:r>
      <w:r w:rsidR="00EA7F03">
        <w:rPr>
          <w:rFonts w:ascii="Arial" w:hAnsi="Arial" w:cs="Arial"/>
          <w:color w:val="000000"/>
        </w:rPr>
        <w:t>from</w:t>
      </w:r>
      <w:r w:rsidR="004A05B8">
        <w:rPr>
          <w:rFonts w:ascii="Arial" w:hAnsi="Arial" w:cs="Arial"/>
          <w:color w:val="000000"/>
        </w:rPr>
        <w:t xml:space="preserve"> </w:t>
      </w:r>
      <w:r w:rsidR="0022607B">
        <w:rPr>
          <w:rFonts w:ascii="Arial" w:hAnsi="Arial" w:cs="Arial"/>
          <w:color w:val="000000"/>
        </w:rPr>
        <w:t>all posts</w:t>
      </w:r>
      <w:proofErr w:type="gramStart"/>
      <w:r w:rsidR="0022607B">
        <w:rPr>
          <w:rFonts w:ascii="Arial" w:hAnsi="Arial" w:cs="Arial"/>
          <w:color w:val="000000"/>
        </w:rPr>
        <w:t xml:space="preserve">. </w:t>
      </w:r>
      <w:r w:rsidRPr="003F65C3">
        <w:rPr>
          <w:rFonts w:ascii="Arial" w:hAnsi="Arial" w:cs="Arial"/>
          <w:color w:val="000000"/>
        </w:rPr>
        <w:t>,</w:t>
      </w:r>
      <w:proofErr w:type="gramEnd"/>
      <w:r w:rsidRPr="003F65C3">
        <w:rPr>
          <w:rFonts w:ascii="Arial" w:hAnsi="Arial" w:cs="Arial"/>
          <w:color w:val="000000"/>
        </w:rPr>
        <w:t xml:space="preserve"> </w:t>
      </w:r>
      <w:r w:rsidR="006F5B03">
        <w:rPr>
          <w:rFonts w:ascii="Arial" w:hAnsi="Arial" w:cs="Arial"/>
          <w:color w:val="000000"/>
        </w:rPr>
        <w:t xml:space="preserve">  This must be a </w:t>
      </w:r>
      <w:r w:rsidR="00220373">
        <w:rPr>
          <w:rFonts w:ascii="Arial" w:hAnsi="Arial" w:cs="Arial"/>
          <w:color w:val="000000"/>
        </w:rPr>
        <w:t xml:space="preserve">full </w:t>
      </w:r>
      <w:r w:rsidR="00BB4D90">
        <w:rPr>
          <w:rFonts w:ascii="Arial" w:hAnsi="Arial" w:cs="Arial"/>
          <w:color w:val="000000"/>
        </w:rPr>
        <w:t xml:space="preserve">break </w:t>
      </w:r>
      <w:r w:rsidR="00EA7F03">
        <w:rPr>
          <w:rFonts w:ascii="Arial" w:hAnsi="Arial" w:cs="Arial"/>
          <w:color w:val="000000"/>
        </w:rPr>
        <w:t xml:space="preserve">in </w:t>
      </w:r>
      <w:r w:rsidR="007B0D86">
        <w:rPr>
          <w:rFonts w:ascii="Arial" w:hAnsi="Arial" w:cs="Arial"/>
          <w:color w:val="000000"/>
        </w:rPr>
        <w:t xml:space="preserve">each </w:t>
      </w:r>
      <w:r w:rsidR="00EA7F03">
        <w:rPr>
          <w:rFonts w:ascii="Arial" w:hAnsi="Arial" w:cs="Arial"/>
          <w:color w:val="000000"/>
        </w:rPr>
        <w:t>contract</w:t>
      </w:r>
      <w:r w:rsidR="007B0D86">
        <w:rPr>
          <w:rFonts w:ascii="Arial" w:hAnsi="Arial" w:cs="Arial"/>
          <w:color w:val="000000"/>
        </w:rPr>
        <w:t xml:space="preserve"> </w:t>
      </w:r>
      <w:r w:rsidR="00EA7F03">
        <w:rPr>
          <w:rFonts w:ascii="Arial" w:hAnsi="Arial" w:cs="Arial"/>
          <w:color w:val="000000"/>
        </w:rPr>
        <w:t>of employment</w:t>
      </w:r>
      <w:r w:rsidR="00932108">
        <w:rPr>
          <w:rFonts w:ascii="Arial" w:hAnsi="Arial" w:cs="Arial"/>
          <w:color w:val="000000"/>
        </w:rPr>
        <w:t>.</w:t>
      </w:r>
    </w:p>
    <w:p w14:paraId="1425FE18" w14:textId="77777777" w:rsidR="00E054DA" w:rsidRDefault="00E054DA" w:rsidP="001501B0">
      <w:pPr>
        <w:shd w:val="clear" w:color="auto" w:fill="FFFFFF"/>
        <w:tabs>
          <w:tab w:val="left" w:pos="1134"/>
          <w:tab w:val="left" w:pos="1560"/>
          <w:tab w:val="left" w:pos="2127"/>
        </w:tabs>
        <w:spacing w:after="0"/>
        <w:ind w:right="150"/>
        <w:rPr>
          <w:rFonts w:ascii="Arial" w:hAnsi="Arial" w:cs="Arial"/>
          <w:color w:val="000000"/>
        </w:rPr>
      </w:pPr>
    </w:p>
    <w:p w14:paraId="01125A96" w14:textId="77777777" w:rsidR="005F0F6B" w:rsidRDefault="005F0F6B" w:rsidP="001501B0">
      <w:pPr>
        <w:shd w:val="clear" w:color="auto" w:fill="FFFFFF"/>
        <w:tabs>
          <w:tab w:val="left" w:pos="1134"/>
          <w:tab w:val="left" w:pos="1560"/>
          <w:tab w:val="left" w:pos="2127"/>
        </w:tabs>
        <w:spacing w:after="0"/>
        <w:ind w:right="150"/>
        <w:rPr>
          <w:rFonts w:ascii="Arial" w:hAnsi="Arial" w:cs="Arial"/>
          <w:color w:val="000000"/>
        </w:rPr>
      </w:pPr>
    </w:p>
    <w:p w14:paraId="3829CA64" w14:textId="7B306BF2" w:rsidR="002746EC" w:rsidRPr="003F65C3" w:rsidRDefault="00915849" w:rsidP="001501B0">
      <w:pPr>
        <w:shd w:val="clear" w:color="auto" w:fill="FFFFFF"/>
        <w:tabs>
          <w:tab w:val="left" w:pos="1134"/>
          <w:tab w:val="left" w:pos="1560"/>
          <w:tab w:val="left" w:pos="2127"/>
        </w:tabs>
        <w:spacing w:after="0"/>
        <w:ind w:right="150"/>
        <w:rPr>
          <w:rFonts w:ascii="Arial" w:hAnsi="Arial" w:cs="Arial"/>
          <w:color w:val="000000"/>
        </w:rPr>
      </w:pPr>
      <w:r>
        <w:rPr>
          <w:rFonts w:ascii="Arial" w:hAnsi="Arial" w:cs="Arial"/>
          <w:color w:val="000000"/>
        </w:rPr>
        <w:t>Members of the 2008 Section or 2015 Scheme must cease all NHS</w:t>
      </w:r>
      <w:r w:rsidR="00A94025">
        <w:rPr>
          <w:rFonts w:ascii="Arial" w:hAnsi="Arial" w:cs="Arial"/>
          <w:color w:val="000000"/>
        </w:rPr>
        <w:t xml:space="preserve"> employment </w:t>
      </w:r>
      <w:r w:rsidR="00F1461C">
        <w:rPr>
          <w:rFonts w:ascii="Arial" w:hAnsi="Arial" w:cs="Arial"/>
          <w:color w:val="000000"/>
        </w:rPr>
        <w:t xml:space="preserve">for at least 24 hours </w:t>
      </w:r>
      <w:r w:rsidR="00A94025">
        <w:rPr>
          <w:rFonts w:ascii="Arial" w:hAnsi="Arial" w:cs="Arial"/>
          <w:color w:val="000000"/>
        </w:rPr>
        <w:t>to claim their NHS p</w:t>
      </w:r>
      <w:r>
        <w:rPr>
          <w:rFonts w:ascii="Arial" w:hAnsi="Arial" w:cs="Arial"/>
          <w:color w:val="000000"/>
        </w:rPr>
        <w:t>ension from that Section/Scheme.</w:t>
      </w:r>
    </w:p>
    <w:p w14:paraId="36462403" w14:textId="335CE58C" w:rsidR="00852D82" w:rsidRDefault="00852D82" w:rsidP="001501B0">
      <w:pPr>
        <w:tabs>
          <w:tab w:val="left" w:pos="1134"/>
          <w:tab w:val="left" w:pos="1560"/>
          <w:tab w:val="left" w:pos="2127"/>
        </w:tabs>
        <w:spacing w:after="0"/>
        <w:rPr>
          <w:rFonts w:ascii="Arial" w:hAnsi="Arial" w:cs="Arial"/>
          <w:b/>
          <w:lang w:eastAsia="en-GB"/>
        </w:rPr>
      </w:pPr>
    </w:p>
    <w:p w14:paraId="0DDEE87B" w14:textId="539E4A7D" w:rsidR="00453EC1" w:rsidRDefault="00453EC1" w:rsidP="001501B0">
      <w:pPr>
        <w:tabs>
          <w:tab w:val="left" w:pos="1134"/>
          <w:tab w:val="left" w:pos="1560"/>
          <w:tab w:val="left" w:pos="2127"/>
        </w:tabs>
        <w:spacing w:after="0"/>
        <w:rPr>
          <w:rFonts w:ascii="Arial" w:hAnsi="Arial" w:cs="Arial"/>
          <w:b/>
          <w:lang w:eastAsia="en-GB"/>
        </w:rPr>
      </w:pPr>
    </w:p>
    <w:p w14:paraId="7A9C7213" w14:textId="1EBF5CDF" w:rsidR="00453EC1" w:rsidRDefault="00453EC1" w:rsidP="001501B0">
      <w:pPr>
        <w:tabs>
          <w:tab w:val="left" w:pos="1134"/>
          <w:tab w:val="left" w:pos="1560"/>
          <w:tab w:val="left" w:pos="2127"/>
        </w:tabs>
        <w:spacing w:after="0"/>
        <w:rPr>
          <w:rFonts w:ascii="Arial" w:hAnsi="Arial" w:cs="Arial"/>
          <w:b/>
          <w:lang w:eastAsia="en-GB"/>
        </w:rPr>
      </w:pPr>
    </w:p>
    <w:p w14:paraId="2E5A93C8" w14:textId="0F49A3F9" w:rsidR="00453EC1" w:rsidRDefault="00453EC1" w:rsidP="001501B0">
      <w:pPr>
        <w:tabs>
          <w:tab w:val="left" w:pos="1134"/>
          <w:tab w:val="left" w:pos="1560"/>
          <w:tab w:val="left" w:pos="2127"/>
        </w:tabs>
        <w:spacing w:after="0"/>
        <w:rPr>
          <w:rFonts w:ascii="Arial" w:hAnsi="Arial" w:cs="Arial"/>
          <w:b/>
          <w:lang w:eastAsia="en-GB"/>
        </w:rPr>
      </w:pPr>
    </w:p>
    <w:p w14:paraId="172436AA" w14:textId="74617C6C" w:rsidR="00453EC1" w:rsidRDefault="00453EC1" w:rsidP="001501B0">
      <w:pPr>
        <w:tabs>
          <w:tab w:val="left" w:pos="1134"/>
          <w:tab w:val="left" w:pos="1560"/>
          <w:tab w:val="left" w:pos="2127"/>
        </w:tabs>
        <w:spacing w:after="0"/>
        <w:rPr>
          <w:rFonts w:ascii="Arial" w:hAnsi="Arial" w:cs="Arial"/>
          <w:b/>
          <w:lang w:eastAsia="en-GB"/>
        </w:rPr>
      </w:pPr>
    </w:p>
    <w:p w14:paraId="006E8630" w14:textId="3AD84488" w:rsidR="00B024CF" w:rsidRPr="00F10C37" w:rsidRDefault="00B024CF" w:rsidP="00B024CF">
      <w:pPr>
        <w:tabs>
          <w:tab w:val="left" w:pos="1134"/>
          <w:tab w:val="left" w:pos="1560"/>
          <w:tab w:val="left" w:pos="2127"/>
        </w:tabs>
        <w:spacing w:after="0"/>
        <w:rPr>
          <w:rFonts w:ascii="Arial" w:hAnsi="Arial" w:cs="Arial"/>
          <w:b/>
          <w:lang w:eastAsia="en-GB"/>
        </w:rPr>
      </w:pPr>
      <w:r w:rsidRPr="00F10C37">
        <w:rPr>
          <w:rFonts w:ascii="Arial" w:hAnsi="Arial" w:cs="Arial"/>
          <w:b/>
          <w:lang w:eastAsia="en-GB"/>
        </w:rPr>
        <w:t xml:space="preserve">Abatement for </w:t>
      </w:r>
      <w:r w:rsidR="007B37BD">
        <w:rPr>
          <w:rFonts w:ascii="Arial" w:hAnsi="Arial" w:cs="Arial"/>
          <w:b/>
          <w:lang w:eastAsia="en-GB"/>
        </w:rPr>
        <w:t>Partial Retirement (draw down)</w:t>
      </w:r>
    </w:p>
    <w:p w14:paraId="5AEF4241" w14:textId="4FA6385C" w:rsidR="00453EC1" w:rsidRPr="00F10C37" w:rsidRDefault="00453EC1" w:rsidP="001501B0">
      <w:pPr>
        <w:tabs>
          <w:tab w:val="left" w:pos="1134"/>
          <w:tab w:val="left" w:pos="1560"/>
          <w:tab w:val="left" w:pos="2127"/>
        </w:tabs>
        <w:spacing w:after="0"/>
        <w:rPr>
          <w:rFonts w:ascii="Arial" w:hAnsi="Arial" w:cs="Arial"/>
          <w:b/>
          <w:lang w:eastAsia="en-GB"/>
        </w:rPr>
      </w:pPr>
    </w:p>
    <w:p w14:paraId="0FFC1489" w14:textId="77777777" w:rsidR="00D51293" w:rsidRDefault="00B024CF" w:rsidP="001501B0">
      <w:pPr>
        <w:tabs>
          <w:tab w:val="left" w:pos="1134"/>
          <w:tab w:val="left" w:pos="1560"/>
          <w:tab w:val="left" w:pos="2127"/>
        </w:tabs>
        <w:spacing w:after="0"/>
        <w:rPr>
          <w:rFonts w:ascii="Arial" w:hAnsi="Arial" w:cs="Arial"/>
        </w:rPr>
      </w:pPr>
      <w:r w:rsidRPr="008F3332">
        <w:rPr>
          <w:rFonts w:ascii="Arial" w:hAnsi="Arial" w:cs="Arial"/>
        </w:rPr>
        <w:t xml:space="preserve">Both the employer and the member must inform NHS Pensions of any increases to the level of pay or changes to the conditions of employment. The pension will be abated in full (cease) if in the 12 months after the date the member elects to draw down: </w:t>
      </w:r>
    </w:p>
    <w:p w14:paraId="5311A887" w14:textId="77777777" w:rsidR="007B37BD" w:rsidRPr="008F3332" w:rsidRDefault="007B37BD" w:rsidP="001501B0">
      <w:pPr>
        <w:tabs>
          <w:tab w:val="left" w:pos="1134"/>
          <w:tab w:val="left" w:pos="1560"/>
          <w:tab w:val="left" w:pos="2127"/>
        </w:tabs>
        <w:spacing w:after="0"/>
        <w:rPr>
          <w:rFonts w:ascii="Arial" w:hAnsi="Arial" w:cs="Arial"/>
        </w:rPr>
      </w:pPr>
    </w:p>
    <w:p w14:paraId="3D7B9F92" w14:textId="11FE46C4" w:rsidR="007B37BD" w:rsidRDefault="00B024CF" w:rsidP="007B37BD">
      <w:pPr>
        <w:pStyle w:val="ListParagraph"/>
        <w:numPr>
          <w:ilvl w:val="0"/>
          <w:numId w:val="12"/>
        </w:numPr>
        <w:tabs>
          <w:tab w:val="left" w:pos="1134"/>
          <w:tab w:val="left" w:pos="1560"/>
          <w:tab w:val="left" w:pos="2127"/>
        </w:tabs>
        <w:spacing w:after="0"/>
        <w:rPr>
          <w:rFonts w:ascii="Arial" w:hAnsi="Arial" w:cs="Arial"/>
        </w:rPr>
      </w:pPr>
      <w:r w:rsidRPr="008F3332">
        <w:rPr>
          <w:rFonts w:ascii="Arial" w:hAnsi="Arial" w:cs="Arial"/>
        </w:rPr>
        <w:t>The terms on which the continuing NHS employment(s) are held change again or the member begins a new NHS employment as an active or a non-contributing member (This is a member who is no longer required to make contributions to the Scheme</w:t>
      </w:r>
      <w:proofErr w:type="gramStart"/>
      <w:r w:rsidRPr="008F3332">
        <w:rPr>
          <w:rFonts w:ascii="Arial" w:hAnsi="Arial" w:cs="Arial"/>
        </w:rPr>
        <w:t>);</w:t>
      </w:r>
      <w:proofErr w:type="gramEnd"/>
      <w:r w:rsidRPr="008F3332">
        <w:rPr>
          <w:rFonts w:ascii="Arial" w:hAnsi="Arial" w:cs="Arial"/>
        </w:rPr>
        <w:t xml:space="preserve"> and </w:t>
      </w:r>
      <w:r w:rsidR="007B37BD" w:rsidRPr="008F3332">
        <w:rPr>
          <w:rFonts w:ascii="Arial" w:hAnsi="Arial" w:cs="Arial"/>
        </w:rPr>
        <w:t>pensionable p</w:t>
      </w:r>
      <w:r w:rsidRPr="008F3332">
        <w:rPr>
          <w:rFonts w:ascii="Arial" w:hAnsi="Arial" w:cs="Arial"/>
        </w:rPr>
        <w:t>ay increases</w:t>
      </w:r>
      <w:r w:rsidR="007B37BD" w:rsidRPr="008F3332">
        <w:rPr>
          <w:rFonts w:ascii="Arial" w:hAnsi="Arial" w:cs="Arial"/>
        </w:rPr>
        <w:t>.</w:t>
      </w:r>
    </w:p>
    <w:p w14:paraId="62548FA6" w14:textId="77777777" w:rsidR="007B37BD" w:rsidRPr="008F3332" w:rsidRDefault="007B37BD" w:rsidP="008F3332">
      <w:pPr>
        <w:pStyle w:val="ListParagraph"/>
        <w:tabs>
          <w:tab w:val="left" w:pos="1134"/>
          <w:tab w:val="left" w:pos="1560"/>
          <w:tab w:val="left" w:pos="2127"/>
        </w:tabs>
        <w:spacing w:after="0"/>
        <w:rPr>
          <w:rFonts w:ascii="Arial" w:hAnsi="Arial" w:cs="Arial"/>
        </w:rPr>
      </w:pPr>
    </w:p>
    <w:p w14:paraId="226BDB55" w14:textId="43E8D273" w:rsidR="00D51293" w:rsidRDefault="00B024CF" w:rsidP="001501B0">
      <w:pPr>
        <w:pStyle w:val="ListParagraph"/>
        <w:numPr>
          <w:ilvl w:val="0"/>
          <w:numId w:val="12"/>
        </w:numPr>
        <w:tabs>
          <w:tab w:val="left" w:pos="1134"/>
          <w:tab w:val="left" w:pos="1560"/>
          <w:tab w:val="left" w:pos="2127"/>
        </w:tabs>
        <w:spacing w:after="0"/>
        <w:rPr>
          <w:rFonts w:ascii="Arial" w:hAnsi="Arial" w:cs="Arial"/>
        </w:rPr>
      </w:pPr>
      <w:r w:rsidRPr="008F3332">
        <w:rPr>
          <w:rFonts w:ascii="Arial" w:hAnsi="Arial" w:cs="Arial"/>
        </w:rPr>
        <w:t xml:space="preserve">The sum of the pensionable pay from all employment(s) held by an Officer member is more than 90% of the pensionable pay on which the decision to allow </w:t>
      </w:r>
      <w:r w:rsidR="007B37BD">
        <w:rPr>
          <w:rFonts w:ascii="Arial" w:hAnsi="Arial" w:cs="Arial"/>
        </w:rPr>
        <w:t>partial retirement</w:t>
      </w:r>
      <w:r w:rsidRPr="008F3332">
        <w:rPr>
          <w:rFonts w:ascii="Arial" w:hAnsi="Arial" w:cs="Arial"/>
        </w:rPr>
        <w:t xml:space="preserve"> was assessed; or </w:t>
      </w:r>
    </w:p>
    <w:p w14:paraId="27C904E2" w14:textId="77777777" w:rsidR="007B37BD" w:rsidRDefault="007B37BD" w:rsidP="008F3332">
      <w:pPr>
        <w:pStyle w:val="ListParagraph"/>
        <w:tabs>
          <w:tab w:val="left" w:pos="1134"/>
          <w:tab w:val="left" w:pos="1560"/>
          <w:tab w:val="left" w:pos="2127"/>
        </w:tabs>
        <w:spacing w:after="0"/>
        <w:rPr>
          <w:rFonts w:ascii="Arial" w:hAnsi="Arial" w:cs="Arial"/>
        </w:rPr>
      </w:pPr>
    </w:p>
    <w:p w14:paraId="6AC4A533" w14:textId="4D355705" w:rsidR="007B37BD" w:rsidRDefault="00B024CF" w:rsidP="001501B0">
      <w:pPr>
        <w:pStyle w:val="ListParagraph"/>
        <w:numPr>
          <w:ilvl w:val="0"/>
          <w:numId w:val="12"/>
        </w:numPr>
        <w:tabs>
          <w:tab w:val="left" w:pos="1134"/>
          <w:tab w:val="left" w:pos="1560"/>
          <w:tab w:val="left" w:pos="2127"/>
        </w:tabs>
        <w:spacing w:after="0"/>
        <w:rPr>
          <w:rFonts w:ascii="Arial" w:hAnsi="Arial" w:cs="Arial"/>
        </w:rPr>
      </w:pPr>
      <w:r w:rsidRPr="008F3332">
        <w:rPr>
          <w:rFonts w:ascii="Arial" w:hAnsi="Arial" w:cs="Arial"/>
        </w:rPr>
        <w:t xml:space="preserve">The level of engagement of a Practitioner member is more than 90% of the commitment on which the decision to allow </w:t>
      </w:r>
      <w:r w:rsidR="007B37BD">
        <w:rPr>
          <w:rFonts w:ascii="Arial" w:hAnsi="Arial" w:cs="Arial"/>
        </w:rPr>
        <w:t>partial retirement</w:t>
      </w:r>
      <w:r w:rsidRPr="008F3332">
        <w:rPr>
          <w:rFonts w:ascii="Arial" w:hAnsi="Arial" w:cs="Arial"/>
        </w:rPr>
        <w:t xml:space="preserve"> was assessed. When abatement applies the next and all subsequent pension payments due after the increase in pensionable pay or level of engagement are reduced to zero. Effect of pay rises and changes to terms and conditions </w:t>
      </w:r>
    </w:p>
    <w:p w14:paraId="404DFDC9" w14:textId="77777777" w:rsidR="007B37BD" w:rsidRDefault="00B024CF" w:rsidP="007B37BD">
      <w:pPr>
        <w:tabs>
          <w:tab w:val="left" w:pos="1134"/>
          <w:tab w:val="left" w:pos="1560"/>
          <w:tab w:val="left" w:pos="2127"/>
        </w:tabs>
        <w:spacing w:after="0"/>
        <w:rPr>
          <w:rFonts w:ascii="Arial" w:hAnsi="Arial" w:cs="Arial"/>
        </w:rPr>
      </w:pPr>
      <w:r w:rsidRPr="008F3332">
        <w:rPr>
          <w:rFonts w:ascii="Arial" w:hAnsi="Arial" w:cs="Arial"/>
        </w:rPr>
        <w:lastRenderedPageBreak/>
        <w:t xml:space="preserve">If </w:t>
      </w:r>
      <w:proofErr w:type="gramStart"/>
      <w:r w:rsidRPr="008F3332">
        <w:rPr>
          <w:rFonts w:ascii="Arial" w:hAnsi="Arial" w:cs="Arial"/>
        </w:rPr>
        <w:t>as a result of</w:t>
      </w:r>
      <w:proofErr w:type="gramEnd"/>
      <w:r w:rsidRPr="008F3332">
        <w:rPr>
          <w:rFonts w:ascii="Arial" w:hAnsi="Arial" w:cs="Arial"/>
        </w:rPr>
        <w:t xml:space="preserve"> a routine pay rise (i.e. progression on a pay scale) pensionable pay increases to more than 90% of the pay on which the decision to allow drawdown was assessed but the terms and conditions of an Officer member’s employment(s) are otherwise unchanged, the pension is not abated. </w:t>
      </w:r>
    </w:p>
    <w:p w14:paraId="7D875720" w14:textId="77777777" w:rsidR="007B37BD" w:rsidRDefault="007B37BD" w:rsidP="007B37BD">
      <w:pPr>
        <w:tabs>
          <w:tab w:val="left" w:pos="1134"/>
          <w:tab w:val="left" w:pos="1560"/>
          <w:tab w:val="left" w:pos="2127"/>
        </w:tabs>
        <w:spacing w:after="0"/>
        <w:rPr>
          <w:rFonts w:ascii="Arial" w:hAnsi="Arial" w:cs="Arial"/>
        </w:rPr>
      </w:pPr>
    </w:p>
    <w:p w14:paraId="4CCAFBB7" w14:textId="5F27C8D6" w:rsidR="00D51293" w:rsidRDefault="00B024CF" w:rsidP="007B37BD">
      <w:pPr>
        <w:tabs>
          <w:tab w:val="left" w:pos="1134"/>
          <w:tab w:val="left" w:pos="1560"/>
          <w:tab w:val="left" w:pos="2127"/>
        </w:tabs>
        <w:spacing w:after="0"/>
        <w:rPr>
          <w:rFonts w:ascii="Arial" w:hAnsi="Arial" w:cs="Arial"/>
        </w:rPr>
      </w:pPr>
      <w:r w:rsidRPr="008F3332">
        <w:rPr>
          <w:rFonts w:ascii="Arial" w:hAnsi="Arial" w:cs="Arial"/>
        </w:rPr>
        <w:t xml:space="preserve">However, if the terms and conditions of the Officer member’s employment(s) do change, the increased annual rate of pensionable pay prior to the change will be used to determine whether the pension ceases. Recommencement of an abated pension will recommence if there is a further change to the terms of the employment and for: </w:t>
      </w:r>
    </w:p>
    <w:p w14:paraId="1C12481C" w14:textId="77777777" w:rsidR="007B37BD" w:rsidRPr="008F3332" w:rsidRDefault="007B37BD" w:rsidP="007B37BD">
      <w:pPr>
        <w:tabs>
          <w:tab w:val="left" w:pos="1134"/>
          <w:tab w:val="left" w:pos="1560"/>
          <w:tab w:val="left" w:pos="2127"/>
        </w:tabs>
        <w:spacing w:after="0"/>
        <w:rPr>
          <w:rFonts w:ascii="Arial" w:hAnsi="Arial" w:cs="Arial"/>
        </w:rPr>
      </w:pPr>
    </w:p>
    <w:p w14:paraId="6CF3F7FF" w14:textId="77777777" w:rsidR="00D51293" w:rsidRDefault="00B024CF" w:rsidP="001501B0">
      <w:pPr>
        <w:tabs>
          <w:tab w:val="left" w:pos="1134"/>
          <w:tab w:val="left" w:pos="1560"/>
          <w:tab w:val="left" w:pos="2127"/>
        </w:tabs>
        <w:spacing w:after="0"/>
        <w:rPr>
          <w:rFonts w:ascii="Arial" w:hAnsi="Arial" w:cs="Arial"/>
        </w:rPr>
      </w:pPr>
      <w:r w:rsidRPr="008F3332">
        <w:rPr>
          <w:rFonts w:ascii="Arial" w:hAnsi="Arial" w:cs="Arial"/>
        </w:rPr>
        <w:sym w:font="Symbol" w:char="F0B7"/>
      </w:r>
      <w:r w:rsidRPr="008F3332">
        <w:rPr>
          <w:rFonts w:ascii="Arial" w:hAnsi="Arial" w:cs="Arial"/>
        </w:rPr>
        <w:t xml:space="preserve"> An Officer member - The sum of the pensionable pay from all employment(s) held by an Officer member is again reduced by a minimum of 10% of the pensionable pay on which the decision to allow draw down was based. </w:t>
      </w:r>
    </w:p>
    <w:p w14:paraId="1C6D1AA9" w14:textId="77777777" w:rsidR="007B37BD" w:rsidRPr="008F3332" w:rsidRDefault="007B37BD" w:rsidP="001501B0">
      <w:pPr>
        <w:tabs>
          <w:tab w:val="left" w:pos="1134"/>
          <w:tab w:val="left" w:pos="1560"/>
          <w:tab w:val="left" w:pos="2127"/>
        </w:tabs>
        <w:spacing w:after="0"/>
        <w:rPr>
          <w:rFonts w:ascii="Arial" w:hAnsi="Arial" w:cs="Arial"/>
        </w:rPr>
      </w:pPr>
    </w:p>
    <w:p w14:paraId="4FA65F92" w14:textId="77777777" w:rsidR="007B37BD" w:rsidRDefault="00B024CF" w:rsidP="001501B0">
      <w:pPr>
        <w:tabs>
          <w:tab w:val="left" w:pos="1134"/>
          <w:tab w:val="left" w:pos="1560"/>
          <w:tab w:val="left" w:pos="2127"/>
        </w:tabs>
        <w:spacing w:after="0"/>
        <w:rPr>
          <w:rFonts w:ascii="Arial" w:hAnsi="Arial" w:cs="Arial"/>
        </w:rPr>
      </w:pPr>
      <w:r w:rsidRPr="008F3332">
        <w:rPr>
          <w:rFonts w:ascii="Arial" w:hAnsi="Arial" w:cs="Arial"/>
        </w:rPr>
        <w:sym w:font="Symbol" w:char="F0B7"/>
      </w:r>
      <w:r w:rsidRPr="008F3332">
        <w:rPr>
          <w:rFonts w:ascii="Arial" w:hAnsi="Arial" w:cs="Arial"/>
        </w:rPr>
        <w:t xml:space="preserve"> A Practitioner member - The level of engagement of a Practitioner member is again reduced by a minimum of 10% of the commitment on which the decision to allow draw down was based. </w:t>
      </w:r>
    </w:p>
    <w:p w14:paraId="1C547131" w14:textId="77777777" w:rsidR="007B37BD" w:rsidRDefault="007B37BD" w:rsidP="001501B0">
      <w:pPr>
        <w:tabs>
          <w:tab w:val="left" w:pos="1134"/>
          <w:tab w:val="left" w:pos="1560"/>
          <w:tab w:val="left" w:pos="2127"/>
        </w:tabs>
        <w:spacing w:after="0"/>
        <w:rPr>
          <w:rFonts w:ascii="Arial" w:hAnsi="Arial" w:cs="Arial"/>
        </w:rPr>
      </w:pPr>
    </w:p>
    <w:p w14:paraId="5769B08A" w14:textId="1450A6EA" w:rsidR="007B37BD" w:rsidRDefault="00B024CF" w:rsidP="001501B0">
      <w:pPr>
        <w:tabs>
          <w:tab w:val="left" w:pos="1134"/>
          <w:tab w:val="left" w:pos="1560"/>
          <w:tab w:val="left" w:pos="2127"/>
        </w:tabs>
        <w:spacing w:after="0"/>
        <w:rPr>
          <w:rFonts w:ascii="Arial" w:hAnsi="Arial" w:cs="Arial"/>
        </w:rPr>
      </w:pPr>
      <w:r w:rsidRPr="008F3332">
        <w:rPr>
          <w:rFonts w:ascii="Arial" w:hAnsi="Arial" w:cs="Arial"/>
        </w:rPr>
        <w:t>When the above condition is met the pension will recommence from the next pension payment date after the reduction in the member’s pensionable pay. If there is no change the pension will recommence when the member either:</w:t>
      </w:r>
    </w:p>
    <w:p w14:paraId="31AAE3A0" w14:textId="77777777" w:rsidR="007B37BD" w:rsidRPr="008F3332" w:rsidRDefault="007B37BD" w:rsidP="001501B0">
      <w:pPr>
        <w:tabs>
          <w:tab w:val="left" w:pos="1134"/>
          <w:tab w:val="left" w:pos="1560"/>
          <w:tab w:val="left" w:pos="2127"/>
        </w:tabs>
        <w:spacing w:after="0"/>
        <w:rPr>
          <w:rFonts w:ascii="Arial" w:hAnsi="Arial" w:cs="Arial"/>
        </w:rPr>
      </w:pPr>
    </w:p>
    <w:p w14:paraId="6FB434FB" w14:textId="35EEFBC8" w:rsidR="00052625" w:rsidRPr="008F3332" w:rsidRDefault="007B37BD" w:rsidP="001501B0">
      <w:pPr>
        <w:tabs>
          <w:tab w:val="left" w:pos="1134"/>
          <w:tab w:val="left" w:pos="1560"/>
          <w:tab w:val="left" w:pos="2127"/>
        </w:tabs>
        <w:spacing w:after="0"/>
        <w:rPr>
          <w:rFonts w:ascii="Arial" w:hAnsi="Arial" w:cs="Arial"/>
        </w:rPr>
      </w:pPr>
      <w:r>
        <w:rPr>
          <w:rFonts w:ascii="Arial" w:hAnsi="Arial" w:cs="Arial"/>
        </w:rPr>
        <w:tab/>
      </w:r>
      <w:r w:rsidR="00B024CF" w:rsidRPr="008F3332">
        <w:rPr>
          <w:rFonts w:ascii="Arial" w:hAnsi="Arial" w:cs="Arial"/>
        </w:rPr>
        <w:t xml:space="preserve">a) Retires from pensionable employment; or </w:t>
      </w:r>
    </w:p>
    <w:p w14:paraId="53A08C0F" w14:textId="45C31745" w:rsidR="00052625" w:rsidRPr="008F3332" w:rsidRDefault="00B024CF" w:rsidP="008F3332">
      <w:pPr>
        <w:tabs>
          <w:tab w:val="left" w:pos="1134"/>
          <w:tab w:val="left" w:pos="1560"/>
          <w:tab w:val="left" w:pos="2127"/>
        </w:tabs>
        <w:spacing w:after="0"/>
        <w:ind w:left="1134"/>
        <w:rPr>
          <w:rFonts w:ascii="Arial" w:hAnsi="Arial" w:cs="Arial"/>
        </w:rPr>
      </w:pPr>
      <w:r w:rsidRPr="008F3332">
        <w:rPr>
          <w:rFonts w:ascii="Arial" w:hAnsi="Arial" w:cs="Arial"/>
        </w:rPr>
        <w:t xml:space="preserve">b) Partially retires from pensionable employment for a second time and meets the eligibility criteria to draw down; or </w:t>
      </w:r>
    </w:p>
    <w:p w14:paraId="23134D87" w14:textId="09BCA136" w:rsidR="00B024CF" w:rsidRPr="008F3332" w:rsidRDefault="007B37BD" w:rsidP="001501B0">
      <w:pPr>
        <w:tabs>
          <w:tab w:val="left" w:pos="1134"/>
          <w:tab w:val="left" w:pos="1560"/>
          <w:tab w:val="left" w:pos="2127"/>
        </w:tabs>
        <w:spacing w:after="0"/>
        <w:rPr>
          <w:rFonts w:ascii="Arial" w:hAnsi="Arial" w:cs="Arial"/>
        </w:rPr>
      </w:pPr>
      <w:r>
        <w:rPr>
          <w:rFonts w:ascii="Arial" w:hAnsi="Arial" w:cs="Arial"/>
        </w:rPr>
        <w:tab/>
      </w:r>
      <w:r w:rsidR="00B024CF" w:rsidRPr="008F3332">
        <w:rPr>
          <w:rFonts w:ascii="Arial" w:hAnsi="Arial" w:cs="Arial"/>
        </w:rPr>
        <w:t>c) Attains the age of 75</w:t>
      </w:r>
    </w:p>
    <w:p w14:paraId="6C927FEA" w14:textId="77777777" w:rsidR="00B024CF" w:rsidRPr="008F3332" w:rsidRDefault="00B024CF" w:rsidP="001501B0">
      <w:pPr>
        <w:tabs>
          <w:tab w:val="left" w:pos="1134"/>
          <w:tab w:val="left" w:pos="1560"/>
          <w:tab w:val="left" w:pos="2127"/>
        </w:tabs>
        <w:spacing w:after="0"/>
        <w:rPr>
          <w:rFonts w:ascii="Arial" w:hAnsi="Arial" w:cs="Arial"/>
        </w:rPr>
      </w:pPr>
    </w:p>
    <w:p w14:paraId="227A0025" w14:textId="4287F91A" w:rsidR="004331AD" w:rsidRPr="00F10C37" w:rsidRDefault="004331AD" w:rsidP="001501B0">
      <w:pPr>
        <w:tabs>
          <w:tab w:val="left" w:pos="1134"/>
          <w:tab w:val="left" w:pos="1560"/>
          <w:tab w:val="left" w:pos="2127"/>
        </w:tabs>
        <w:spacing w:after="0"/>
        <w:rPr>
          <w:rFonts w:ascii="Arial" w:hAnsi="Arial" w:cs="Arial"/>
          <w:b/>
          <w:lang w:eastAsia="en-GB"/>
        </w:rPr>
      </w:pPr>
    </w:p>
    <w:p w14:paraId="756C3EEC" w14:textId="35FF9E0A" w:rsidR="004331AD" w:rsidRPr="00F10C37" w:rsidRDefault="004331AD" w:rsidP="00B024CF">
      <w:pPr>
        <w:tabs>
          <w:tab w:val="left" w:pos="1134"/>
          <w:tab w:val="left" w:pos="1560"/>
          <w:tab w:val="left" w:pos="2127"/>
        </w:tabs>
        <w:spacing w:after="0"/>
        <w:rPr>
          <w:rFonts w:ascii="Arial" w:hAnsi="Arial" w:cs="Arial"/>
          <w:b/>
          <w:lang w:eastAsia="en-GB"/>
        </w:rPr>
      </w:pPr>
    </w:p>
    <w:sectPr w:rsidR="004331AD" w:rsidRPr="00F10C37" w:rsidSect="0036294C">
      <w:pgSz w:w="11906" w:h="16838" w:code="9"/>
      <w:pgMar w:top="1440" w:right="1077" w:bottom="1440" w:left="1077"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9C4C" w14:textId="77777777" w:rsidR="0036294C" w:rsidRDefault="0036294C">
      <w:pPr>
        <w:spacing w:after="0" w:line="240" w:lineRule="auto"/>
      </w:pPr>
      <w:r>
        <w:separator/>
      </w:r>
    </w:p>
  </w:endnote>
  <w:endnote w:type="continuationSeparator" w:id="0">
    <w:p w14:paraId="4706289F" w14:textId="77777777" w:rsidR="0036294C" w:rsidRDefault="0036294C">
      <w:pPr>
        <w:spacing w:after="0" w:line="240" w:lineRule="auto"/>
      </w:pPr>
      <w:r>
        <w:continuationSeparator/>
      </w:r>
    </w:p>
  </w:endnote>
  <w:endnote w:type="continuationNotice" w:id="1">
    <w:p w14:paraId="0F7F7DB9" w14:textId="77777777" w:rsidR="0036294C" w:rsidRDefault="00362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6FCB" w14:textId="77777777" w:rsidR="00852327" w:rsidRDefault="0085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9334"/>
      <w:docPartObj>
        <w:docPartGallery w:val="Page Numbers (Bottom of Page)"/>
        <w:docPartUnique/>
      </w:docPartObj>
    </w:sdtPr>
    <w:sdtEndPr>
      <w:rPr>
        <w:rFonts w:ascii="Arial" w:hAnsi="Arial" w:cs="Arial"/>
        <w:sz w:val="20"/>
        <w:szCs w:val="20"/>
      </w:rPr>
    </w:sdtEndPr>
    <w:sdtContent>
      <w:p w14:paraId="467F22C6" w14:textId="1F562C63" w:rsidR="00101175" w:rsidRPr="000C3585" w:rsidRDefault="00EA38D5" w:rsidP="008E1E98">
        <w:pPr>
          <w:pStyle w:val="Footer"/>
          <w:spacing w:after="0"/>
          <w:jc w:val="right"/>
          <w:rPr>
            <w:rFonts w:ascii="Arial" w:hAnsi="Arial" w:cs="Arial"/>
            <w:sz w:val="20"/>
            <w:szCs w:val="20"/>
          </w:rPr>
        </w:pPr>
        <w:r>
          <w:rPr>
            <w:rFonts w:ascii="Arial" w:hAnsi="Arial" w:cs="Arial"/>
            <w:sz w:val="20"/>
            <w:szCs w:val="20"/>
          </w:rPr>
          <w:t>Abatement basic overview-201</w:t>
        </w:r>
        <w:r w:rsidR="004F5C5D">
          <w:rPr>
            <w:rFonts w:ascii="Arial" w:hAnsi="Arial" w:cs="Arial"/>
            <w:sz w:val="20"/>
            <w:szCs w:val="20"/>
          </w:rPr>
          <w:t>90516</w:t>
        </w:r>
        <w:r w:rsidR="00D60BAD">
          <w:rPr>
            <w:rFonts w:ascii="Arial" w:hAnsi="Arial" w:cs="Arial"/>
            <w:sz w:val="20"/>
            <w:szCs w:val="20"/>
          </w:rPr>
          <w:t>202302104</w:t>
        </w:r>
        <w:r w:rsidR="00DF63DE">
          <w:rPr>
            <w:rFonts w:ascii="Arial" w:hAnsi="Arial" w:cs="Arial"/>
            <w:sz w:val="20"/>
            <w:szCs w:val="20"/>
          </w:rPr>
          <w:t>-(</w:t>
        </w:r>
        <w:r w:rsidR="00132ECF">
          <w:rPr>
            <w:rFonts w:ascii="Arial" w:hAnsi="Arial" w:cs="Arial"/>
            <w:sz w:val="20"/>
            <w:szCs w:val="20"/>
          </w:rPr>
          <w:t>V4</w:t>
        </w:r>
        <w:r>
          <w:rPr>
            <w:rFonts w:ascii="Arial" w:hAnsi="Arial" w:cs="Arial"/>
            <w:sz w:val="20"/>
            <w:szCs w:val="20"/>
          </w:rPr>
          <w:t>)</w:t>
        </w:r>
        <w:r w:rsidR="00101175" w:rsidRPr="000C3585">
          <w:rPr>
            <w:rFonts w:ascii="Arial" w:hAnsi="Arial" w:cs="Arial"/>
            <w:sz w:val="20"/>
            <w:szCs w:val="20"/>
          </w:rPr>
          <w:t xml:space="preserve"> </w:t>
        </w:r>
        <w:r w:rsidR="00132ECF">
          <w:rPr>
            <w:rFonts w:ascii="Arial" w:hAnsi="Arial" w:cs="Arial"/>
            <w:sz w:val="20"/>
            <w:szCs w:val="20"/>
          </w:rPr>
          <w:t>02.2024</w:t>
        </w:r>
        <w:r w:rsidR="00101175" w:rsidRPr="000C3585">
          <w:rPr>
            <w:rFonts w:ascii="Arial" w:hAnsi="Arial" w:cs="Arial"/>
            <w:sz w:val="20"/>
            <w:szCs w:val="20"/>
          </w:rPr>
          <w:t xml:space="preserve">   </w:t>
        </w:r>
        <w:r w:rsidR="002370A1" w:rsidRPr="000C3585">
          <w:rPr>
            <w:rFonts w:ascii="Arial" w:hAnsi="Arial" w:cs="Arial"/>
            <w:sz w:val="20"/>
            <w:szCs w:val="20"/>
          </w:rPr>
          <w:fldChar w:fldCharType="begin"/>
        </w:r>
        <w:r w:rsidR="00101175" w:rsidRPr="000C3585">
          <w:rPr>
            <w:rFonts w:ascii="Arial" w:hAnsi="Arial" w:cs="Arial"/>
            <w:sz w:val="20"/>
            <w:szCs w:val="20"/>
          </w:rPr>
          <w:instrText xml:space="preserve"> PAGE   \* MERGEFORMAT </w:instrText>
        </w:r>
        <w:r w:rsidR="002370A1" w:rsidRPr="000C3585">
          <w:rPr>
            <w:rFonts w:ascii="Arial" w:hAnsi="Arial" w:cs="Arial"/>
            <w:sz w:val="20"/>
            <w:szCs w:val="20"/>
          </w:rPr>
          <w:fldChar w:fldCharType="separate"/>
        </w:r>
        <w:r w:rsidR="00245B58">
          <w:rPr>
            <w:rFonts w:ascii="Arial" w:hAnsi="Arial" w:cs="Arial"/>
            <w:noProof/>
            <w:sz w:val="20"/>
            <w:szCs w:val="20"/>
          </w:rPr>
          <w:t>1</w:t>
        </w:r>
        <w:r w:rsidR="002370A1" w:rsidRPr="000C3585">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11D0" w14:textId="77777777" w:rsidR="00852327" w:rsidRDefault="0085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8D1D" w14:textId="77777777" w:rsidR="0036294C" w:rsidRDefault="0036294C">
      <w:pPr>
        <w:spacing w:after="0" w:line="240" w:lineRule="auto"/>
      </w:pPr>
      <w:r>
        <w:separator/>
      </w:r>
    </w:p>
  </w:footnote>
  <w:footnote w:type="continuationSeparator" w:id="0">
    <w:p w14:paraId="5519F283" w14:textId="77777777" w:rsidR="0036294C" w:rsidRDefault="0036294C">
      <w:pPr>
        <w:spacing w:after="0" w:line="240" w:lineRule="auto"/>
      </w:pPr>
      <w:r>
        <w:continuationSeparator/>
      </w:r>
    </w:p>
  </w:footnote>
  <w:footnote w:type="continuationNotice" w:id="1">
    <w:p w14:paraId="530EF246" w14:textId="77777777" w:rsidR="0036294C" w:rsidRDefault="003629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E582" w14:textId="77777777" w:rsidR="00852327" w:rsidRDefault="00852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30D" w14:textId="2B96EA57" w:rsidR="00852327" w:rsidRDefault="00852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BE46" w14:textId="32C842A4" w:rsidR="00852327" w:rsidRDefault="00132ECF">
    <w:pPr>
      <w:pStyle w:val="Header"/>
    </w:pPr>
    <w:r>
      <w:rPr>
        <w:noProof/>
      </w:rPr>
      <w:drawing>
        <wp:anchor distT="0" distB="0" distL="114300" distR="114300" simplePos="0" relativeHeight="251658240" behindDoc="0" locked="0" layoutInCell="1" allowOverlap="1" wp14:anchorId="47B161F2" wp14:editId="5FE95ED5">
          <wp:simplePos x="0" y="0"/>
          <wp:positionH relativeFrom="page">
            <wp:posOffset>7620</wp:posOffset>
          </wp:positionH>
          <wp:positionV relativeFrom="paragraph">
            <wp:posOffset>-438785</wp:posOffset>
          </wp:positionV>
          <wp:extent cx="7548880" cy="1800225"/>
          <wp:effectExtent l="0" t="0" r="0" b="9525"/>
          <wp:wrapSquare wrapText="bothSides"/>
          <wp:docPr id="831205170" name="Picture 831205170"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05170" name="Picture 831205170" descr="A blue lin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9B2"/>
    <w:multiLevelType w:val="hybridMultilevel"/>
    <w:tmpl w:val="5FE6895A"/>
    <w:lvl w:ilvl="0" w:tplc="74880064">
      <w:start w:val="2"/>
      <w:numFmt w:val="bullet"/>
      <w:lvlText w:val="-"/>
      <w:lvlJc w:val="left"/>
      <w:pPr>
        <w:ind w:left="720" w:hanging="360"/>
      </w:pPr>
      <w:rPr>
        <w:rFonts w:ascii="Arial" w:eastAsiaTheme="minorHAnsi" w:hAnsi="Arial" w:cs="Aria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12155"/>
    <w:multiLevelType w:val="hybridMultilevel"/>
    <w:tmpl w:val="D914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0441E"/>
    <w:multiLevelType w:val="hybridMultilevel"/>
    <w:tmpl w:val="066A5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30273"/>
    <w:multiLevelType w:val="hybridMultilevel"/>
    <w:tmpl w:val="3084B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961CA"/>
    <w:multiLevelType w:val="hybridMultilevel"/>
    <w:tmpl w:val="6BC843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73D79"/>
    <w:multiLevelType w:val="hybridMultilevel"/>
    <w:tmpl w:val="2BB2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9074E"/>
    <w:multiLevelType w:val="hybridMultilevel"/>
    <w:tmpl w:val="FFBE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20FCE"/>
    <w:multiLevelType w:val="hybridMultilevel"/>
    <w:tmpl w:val="E45A1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3613F1"/>
    <w:multiLevelType w:val="hybridMultilevel"/>
    <w:tmpl w:val="94CE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D6DFC"/>
    <w:multiLevelType w:val="hybridMultilevel"/>
    <w:tmpl w:val="6B226334"/>
    <w:lvl w:ilvl="0" w:tplc="3E52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5474EE"/>
    <w:multiLevelType w:val="hybridMultilevel"/>
    <w:tmpl w:val="90488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2B1222"/>
    <w:multiLevelType w:val="multilevel"/>
    <w:tmpl w:val="357AE634"/>
    <w:lvl w:ilvl="0">
      <w:start w:val="1"/>
      <w:numFmt w:val="decimal"/>
      <w:lvlText w:val="%1"/>
      <w:lvlJc w:val="left"/>
      <w:pPr>
        <w:ind w:left="432" w:hanging="432"/>
      </w:pPr>
      <w:rPr>
        <w:rFonts w:hint="default"/>
      </w:rPr>
    </w:lvl>
    <w:lvl w:ilvl="1">
      <w:start w:val="1"/>
      <w:numFmt w:val="decimal"/>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89608150">
    <w:abstractNumId w:val="11"/>
  </w:num>
  <w:num w:numId="2" w16cid:durableId="1925844813">
    <w:abstractNumId w:val="0"/>
  </w:num>
  <w:num w:numId="3" w16cid:durableId="1501967784">
    <w:abstractNumId w:val="5"/>
  </w:num>
  <w:num w:numId="4" w16cid:durableId="1714883486">
    <w:abstractNumId w:val="1"/>
  </w:num>
  <w:num w:numId="5" w16cid:durableId="44959877">
    <w:abstractNumId w:val="10"/>
  </w:num>
  <w:num w:numId="6" w16cid:durableId="2080131624">
    <w:abstractNumId w:val="9"/>
  </w:num>
  <w:num w:numId="7" w16cid:durableId="213585092">
    <w:abstractNumId w:val="3"/>
  </w:num>
  <w:num w:numId="8" w16cid:durableId="1163814924">
    <w:abstractNumId w:val="2"/>
  </w:num>
  <w:num w:numId="9" w16cid:durableId="49110795">
    <w:abstractNumId w:val="8"/>
  </w:num>
  <w:num w:numId="10" w16cid:durableId="1136219639">
    <w:abstractNumId w:val="7"/>
  </w:num>
  <w:num w:numId="11" w16cid:durableId="872037059">
    <w:abstractNumId w:val="6"/>
  </w:num>
  <w:num w:numId="12" w16cid:durableId="22275689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0264"/>
    <w:rsid w:val="00000505"/>
    <w:rsid w:val="000027FF"/>
    <w:rsid w:val="00002FC4"/>
    <w:rsid w:val="00003AC2"/>
    <w:rsid w:val="00004B75"/>
    <w:rsid w:val="00004D37"/>
    <w:rsid w:val="0000596F"/>
    <w:rsid w:val="0001320C"/>
    <w:rsid w:val="000147FA"/>
    <w:rsid w:val="00014808"/>
    <w:rsid w:val="00015798"/>
    <w:rsid w:val="000170BC"/>
    <w:rsid w:val="0001741A"/>
    <w:rsid w:val="00017B38"/>
    <w:rsid w:val="00020583"/>
    <w:rsid w:val="00023C88"/>
    <w:rsid w:val="000245AA"/>
    <w:rsid w:val="00024737"/>
    <w:rsid w:val="00024BC7"/>
    <w:rsid w:val="00024F7F"/>
    <w:rsid w:val="00025A32"/>
    <w:rsid w:val="00030F5D"/>
    <w:rsid w:val="00031D92"/>
    <w:rsid w:val="00032090"/>
    <w:rsid w:val="00035CBD"/>
    <w:rsid w:val="0003615E"/>
    <w:rsid w:val="00036DFD"/>
    <w:rsid w:val="00037249"/>
    <w:rsid w:val="000411FC"/>
    <w:rsid w:val="000413D0"/>
    <w:rsid w:val="000414FB"/>
    <w:rsid w:val="0004402E"/>
    <w:rsid w:val="00044522"/>
    <w:rsid w:val="00045D14"/>
    <w:rsid w:val="00046A90"/>
    <w:rsid w:val="00050DAC"/>
    <w:rsid w:val="000522A8"/>
    <w:rsid w:val="00052625"/>
    <w:rsid w:val="00052ABB"/>
    <w:rsid w:val="00052E94"/>
    <w:rsid w:val="00053A3B"/>
    <w:rsid w:val="0005433C"/>
    <w:rsid w:val="0005443E"/>
    <w:rsid w:val="000552CA"/>
    <w:rsid w:val="000566AA"/>
    <w:rsid w:val="000605B4"/>
    <w:rsid w:val="000610DE"/>
    <w:rsid w:val="000619A9"/>
    <w:rsid w:val="00061D81"/>
    <w:rsid w:val="00064FAC"/>
    <w:rsid w:val="00065946"/>
    <w:rsid w:val="00071703"/>
    <w:rsid w:val="00074B8C"/>
    <w:rsid w:val="00074FE4"/>
    <w:rsid w:val="00075265"/>
    <w:rsid w:val="000757A0"/>
    <w:rsid w:val="000757B9"/>
    <w:rsid w:val="0007631A"/>
    <w:rsid w:val="000809F4"/>
    <w:rsid w:val="00082E1B"/>
    <w:rsid w:val="000837EC"/>
    <w:rsid w:val="00084292"/>
    <w:rsid w:val="00084B31"/>
    <w:rsid w:val="00085669"/>
    <w:rsid w:val="000860E1"/>
    <w:rsid w:val="000865FA"/>
    <w:rsid w:val="00086EFA"/>
    <w:rsid w:val="00090E7C"/>
    <w:rsid w:val="000942FA"/>
    <w:rsid w:val="00094691"/>
    <w:rsid w:val="0009472B"/>
    <w:rsid w:val="000948AF"/>
    <w:rsid w:val="000954D3"/>
    <w:rsid w:val="0009630D"/>
    <w:rsid w:val="000965C5"/>
    <w:rsid w:val="000965E4"/>
    <w:rsid w:val="0009749F"/>
    <w:rsid w:val="000A07EF"/>
    <w:rsid w:val="000A1DC6"/>
    <w:rsid w:val="000A3007"/>
    <w:rsid w:val="000A4993"/>
    <w:rsid w:val="000A69C4"/>
    <w:rsid w:val="000A7CC2"/>
    <w:rsid w:val="000A7E09"/>
    <w:rsid w:val="000B0E56"/>
    <w:rsid w:val="000B2535"/>
    <w:rsid w:val="000B2F59"/>
    <w:rsid w:val="000B39CF"/>
    <w:rsid w:val="000B4EEA"/>
    <w:rsid w:val="000B545A"/>
    <w:rsid w:val="000B6107"/>
    <w:rsid w:val="000B615A"/>
    <w:rsid w:val="000B6B1F"/>
    <w:rsid w:val="000C0285"/>
    <w:rsid w:val="000C0458"/>
    <w:rsid w:val="000C166D"/>
    <w:rsid w:val="000C186F"/>
    <w:rsid w:val="000C1F8F"/>
    <w:rsid w:val="000C2444"/>
    <w:rsid w:val="000C3585"/>
    <w:rsid w:val="000C4656"/>
    <w:rsid w:val="000C4B38"/>
    <w:rsid w:val="000C4C97"/>
    <w:rsid w:val="000C4F22"/>
    <w:rsid w:val="000C6463"/>
    <w:rsid w:val="000C6F6B"/>
    <w:rsid w:val="000C73FD"/>
    <w:rsid w:val="000C7E6F"/>
    <w:rsid w:val="000D11D1"/>
    <w:rsid w:val="000D2CDF"/>
    <w:rsid w:val="000D2F4B"/>
    <w:rsid w:val="000D2F7F"/>
    <w:rsid w:val="000D4B5F"/>
    <w:rsid w:val="000D52E4"/>
    <w:rsid w:val="000D6BEF"/>
    <w:rsid w:val="000D6F2B"/>
    <w:rsid w:val="000D7504"/>
    <w:rsid w:val="000D7A9E"/>
    <w:rsid w:val="000E0727"/>
    <w:rsid w:val="000E0A20"/>
    <w:rsid w:val="000E2402"/>
    <w:rsid w:val="000E24A1"/>
    <w:rsid w:val="000E28C8"/>
    <w:rsid w:val="000E3383"/>
    <w:rsid w:val="000E37FE"/>
    <w:rsid w:val="000E3D45"/>
    <w:rsid w:val="000E3DD2"/>
    <w:rsid w:val="000E498F"/>
    <w:rsid w:val="000E5144"/>
    <w:rsid w:val="000F0D09"/>
    <w:rsid w:val="000F2255"/>
    <w:rsid w:val="000F2A40"/>
    <w:rsid w:val="000F3011"/>
    <w:rsid w:val="000F3154"/>
    <w:rsid w:val="000F5F06"/>
    <w:rsid w:val="000F7A4F"/>
    <w:rsid w:val="001002A2"/>
    <w:rsid w:val="00100371"/>
    <w:rsid w:val="00101175"/>
    <w:rsid w:val="001037CB"/>
    <w:rsid w:val="00103BA0"/>
    <w:rsid w:val="0010459F"/>
    <w:rsid w:val="00105BD8"/>
    <w:rsid w:val="00105CCC"/>
    <w:rsid w:val="001065A6"/>
    <w:rsid w:val="00106F12"/>
    <w:rsid w:val="00107212"/>
    <w:rsid w:val="00107355"/>
    <w:rsid w:val="0010770C"/>
    <w:rsid w:val="00110639"/>
    <w:rsid w:val="001111C1"/>
    <w:rsid w:val="001118DB"/>
    <w:rsid w:val="00111C01"/>
    <w:rsid w:val="00111FB4"/>
    <w:rsid w:val="00112CC6"/>
    <w:rsid w:val="00112F8A"/>
    <w:rsid w:val="001140FA"/>
    <w:rsid w:val="00114605"/>
    <w:rsid w:val="00115CC8"/>
    <w:rsid w:val="00115FCB"/>
    <w:rsid w:val="00117C8F"/>
    <w:rsid w:val="00121F4F"/>
    <w:rsid w:val="00121FDA"/>
    <w:rsid w:val="00122930"/>
    <w:rsid w:val="00122AAB"/>
    <w:rsid w:val="00122C58"/>
    <w:rsid w:val="00127B9F"/>
    <w:rsid w:val="00132ECF"/>
    <w:rsid w:val="0013430E"/>
    <w:rsid w:val="00134E7F"/>
    <w:rsid w:val="001374D1"/>
    <w:rsid w:val="0014135D"/>
    <w:rsid w:val="00144B79"/>
    <w:rsid w:val="00145C6F"/>
    <w:rsid w:val="00145D3A"/>
    <w:rsid w:val="00146A1C"/>
    <w:rsid w:val="00147D89"/>
    <w:rsid w:val="001501B0"/>
    <w:rsid w:val="00150715"/>
    <w:rsid w:val="00150CBE"/>
    <w:rsid w:val="001524B3"/>
    <w:rsid w:val="00153303"/>
    <w:rsid w:val="001538B2"/>
    <w:rsid w:val="00160123"/>
    <w:rsid w:val="00161BBE"/>
    <w:rsid w:val="00166CA9"/>
    <w:rsid w:val="00172AEA"/>
    <w:rsid w:val="00173869"/>
    <w:rsid w:val="001739FB"/>
    <w:rsid w:val="00174877"/>
    <w:rsid w:val="00174940"/>
    <w:rsid w:val="00174ABA"/>
    <w:rsid w:val="00174E45"/>
    <w:rsid w:val="001814AB"/>
    <w:rsid w:val="001838EF"/>
    <w:rsid w:val="00184B1E"/>
    <w:rsid w:val="00185216"/>
    <w:rsid w:val="001853FC"/>
    <w:rsid w:val="00185B7E"/>
    <w:rsid w:val="0018667B"/>
    <w:rsid w:val="00186716"/>
    <w:rsid w:val="00186D86"/>
    <w:rsid w:val="0018724D"/>
    <w:rsid w:val="0019022D"/>
    <w:rsid w:val="001905E0"/>
    <w:rsid w:val="001906F8"/>
    <w:rsid w:val="001925E2"/>
    <w:rsid w:val="00192707"/>
    <w:rsid w:val="00194789"/>
    <w:rsid w:val="001951B1"/>
    <w:rsid w:val="00196870"/>
    <w:rsid w:val="001A0047"/>
    <w:rsid w:val="001A0574"/>
    <w:rsid w:val="001A0BC8"/>
    <w:rsid w:val="001A1D7A"/>
    <w:rsid w:val="001A2507"/>
    <w:rsid w:val="001A3373"/>
    <w:rsid w:val="001A3412"/>
    <w:rsid w:val="001A4031"/>
    <w:rsid w:val="001A406C"/>
    <w:rsid w:val="001A430C"/>
    <w:rsid w:val="001A5776"/>
    <w:rsid w:val="001A5974"/>
    <w:rsid w:val="001A59F3"/>
    <w:rsid w:val="001A5E8A"/>
    <w:rsid w:val="001A5F88"/>
    <w:rsid w:val="001B08A3"/>
    <w:rsid w:val="001B2F67"/>
    <w:rsid w:val="001B4F23"/>
    <w:rsid w:val="001B50CE"/>
    <w:rsid w:val="001B7098"/>
    <w:rsid w:val="001B7857"/>
    <w:rsid w:val="001C008E"/>
    <w:rsid w:val="001C01A1"/>
    <w:rsid w:val="001C31FF"/>
    <w:rsid w:val="001C60B8"/>
    <w:rsid w:val="001C6C3B"/>
    <w:rsid w:val="001C6F9B"/>
    <w:rsid w:val="001C7212"/>
    <w:rsid w:val="001C788E"/>
    <w:rsid w:val="001D2A01"/>
    <w:rsid w:val="001D31D8"/>
    <w:rsid w:val="001D39F5"/>
    <w:rsid w:val="001D3CDD"/>
    <w:rsid w:val="001D4BAF"/>
    <w:rsid w:val="001D55AA"/>
    <w:rsid w:val="001D5B50"/>
    <w:rsid w:val="001D5D79"/>
    <w:rsid w:val="001D70F8"/>
    <w:rsid w:val="001D7778"/>
    <w:rsid w:val="001E0914"/>
    <w:rsid w:val="001E1F74"/>
    <w:rsid w:val="001E239D"/>
    <w:rsid w:val="001E379B"/>
    <w:rsid w:val="001E43E4"/>
    <w:rsid w:val="001E5002"/>
    <w:rsid w:val="001E58BC"/>
    <w:rsid w:val="001E72C7"/>
    <w:rsid w:val="001E7645"/>
    <w:rsid w:val="001F0072"/>
    <w:rsid w:val="001F15BC"/>
    <w:rsid w:val="001F6009"/>
    <w:rsid w:val="001F798D"/>
    <w:rsid w:val="001F7DD8"/>
    <w:rsid w:val="0020089A"/>
    <w:rsid w:val="002015E0"/>
    <w:rsid w:val="0020168F"/>
    <w:rsid w:val="0020194D"/>
    <w:rsid w:val="00202AAE"/>
    <w:rsid w:val="00204828"/>
    <w:rsid w:val="00204A60"/>
    <w:rsid w:val="002058C1"/>
    <w:rsid w:val="00205BDC"/>
    <w:rsid w:val="002064EB"/>
    <w:rsid w:val="00207ACD"/>
    <w:rsid w:val="0021155C"/>
    <w:rsid w:val="00220359"/>
    <w:rsid w:val="00220373"/>
    <w:rsid w:val="0022038E"/>
    <w:rsid w:val="00223C21"/>
    <w:rsid w:val="00224AA2"/>
    <w:rsid w:val="00225204"/>
    <w:rsid w:val="00225DF2"/>
    <w:rsid w:val="00225F08"/>
    <w:rsid w:val="0022607B"/>
    <w:rsid w:val="00233C6A"/>
    <w:rsid w:val="00234B85"/>
    <w:rsid w:val="002351C7"/>
    <w:rsid w:val="00235630"/>
    <w:rsid w:val="002360FC"/>
    <w:rsid w:val="00236260"/>
    <w:rsid w:val="00236543"/>
    <w:rsid w:val="00236776"/>
    <w:rsid w:val="00236BCC"/>
    <w:rsid w:val="002370A1"/>
    <w:rsid w:val="0024126F"/>
    <w:rsid w:val="00241604"/>
    <w:rsid w:val="00242BB9"/>
    <w:rsid w:val="00245B58"/>
    <w:rsid w:val="00245BAF"/>
    <w:rsid w:val="00246011"/>
    <w:rsid w:val="002460C6"/>
    <w:rsid w:val="002478B7"/>
    <w:rsid w:val="00250028"/>
    <w:rsid w:val="00255A00"/>
    <w:rsid w:val="00256002"/>
    <w:rsid w:val="002561CE"/>
    <w:rsid w:val="00257C12"/>
    <w:rsid w:val="0026106C"/>
    <w:rsid w:val="0026157D"/>
    <w:rsid w:val="0026232D"/>
    <w:rsid w:val="00262698"/>
    <w:rsid w:val="002649DA"/>
    <w:rsid w:val="00265D85"/>
    <w:rsid w:val="002666DF"/>
    <w:rsid w:val="00267333"/>
    <w:rsid w:val="00267831"/>
    <w:rsid w:val="00270519"/>
    <w:rsid w:val="00271434"/>
    <w:rsid w:val="002732BA"/>
    <w:rsid w:val="0027371C"/>
    <w:rsid w:val="002742A0"/>
    <w:rsid w:val="002746EC"/>
    <w:rsid w:val="00274D81"/>
    <w:rsid w:val="002768EA"/>
    <w:rsid w:val="00276C0D"/>
    <w:rsid w:val="0028009F"/>
    <w:rsid w:val="00280E7D"/>
    <w:rsid w:val="00281032"/>
    <w:rsid w:val="00282192"/>
    <w:rsid w:val="00282E0B"/>
    <w:rsid w:val="002844B8"/>
    <w:rsid w:val="0028523E"/>
    <w:rsid w:val="00285813"/>
    <w:rsid w:val="0028657B"/>
    <w:rsid w:val="00286A4F"/>
    <w:rsid w:val="00286F7F"/>
    <w:rsid w:val="00287240"/>
    <w:rsid w:val="0028729F"/>
    <w:rsid w:val="00287CE6"/>
    <w:rsid w:val="002919CC"/>
    <w:rsid w:val="00291A88"/>
    <w:rsid w:val="00292925"/>
    <w:rsid w:val="00293739"/>
    <w:rsid w:val="002959BA"/>
    <w:rsid w:val="00295DCA"/>
    <w:rsid w:val="00296015"/>
    <w:rsid w:val="002961B9"/>
    <w:rsid w:val="00296F3B"/>
    <w:rsid w:val="00297DF4"/>
    <w:rsid w:val="002A11EA"/>
    <w:rsid w:val="002A15E3"/>
    <w:rsid w:val="002A289D"/>
    <w:rsid w:val="002A29A4"/>
    <w:rsid w:val="002A3045"/>
    <w:rsid w:val="002A310B"/>
    <w:rsid w:val="002A32DB"/>
    <w:rsid w:val="002A3C45"/>
    <w:rsid w:val="002A49CA"/>
    <w:rsid w:val="002A678E"/>
    <w:rsid w:val="002A67AB"/>
    <w:rsid w:val="002B033A"/>
    <w:rsid w:val="002B18F4"/>
    <w:rsid w:val="002B31C8"/>
    <w:rsid w:val="002B39AF"/>
    <w:rsid w:val="002B5702"/>
    <w:rsid w:val="002B618E"/>
    <w:rsid w:val="002B72DE"/>
    <w:rsid w:val="002B747A"/>
    <w:rsid w:val="002C23E2"/>
    <w:rsid w:val="002C33D7"/>
    <w:rsid w:val="002C460A"/>
    <w:rsid w:val="002C476D"/>
    <w:rsid w:val="002C5040"/>
    <w:rsid w:val="002C541A"/>
    <w:rsid w:val="002C559A"/>
    <w:rsid w:val="002C56D7"/>
    <w:rsid w:val="002C5EC5"/>
    <w:rsid w:val="002C6DF7"/>
    <w:rsid w:val="002C7348"/>
    <w:rsid w:val="002D16AD"/>
    <w:rsid w:val="002D1E0E"/>
    <w:rsid w:val="002D2161"/>
    <w:rsid w:val="002D2264"/>
    <w:rsid w:val="002D2A46"/>
    <w:rsid w:val="002D341E"/>
    <w:rsid w:val="002D72AF"/>
    <w:rsid w:val="002D774A"/>
    <w:rsid w:val="002E091F"/>
    <w:rsid w:val="002E0A56"/>
    <w:rsid w:val="002E0DB0"/>
    <w:rsid w:val="002E11E7"/>
    <w:rsid w:val="002E1959"/>
    <w:rsid w:val="002E3A7C"/>
    <w:rsid w:val="002E7CCB"/>
    <w:rsid w:val="002F3AB5"/>
    <w:rsid w:val="002F4D54"/>
    <w:rsid w:val="002F5A6D"/>
    <w:rsid w:val="002F7126"/>
    <w:rsid w:val="002F77A5"/>
    <w:rsid w:val="003000DD"/>
    <w:rsid w:val="0030134B"/>
    <w:rsid w:val="0030373E"/>
    <w:rsid w:val="003048C2"/>
    <w:rsid w:val="00304AF1"/>
    <w:rsid w:val="0030549F"/>
    <w:rsid w:val="0030639E"/>
    <w:rsid w:val="00306F49"/>
    <w:rsid w:val="00307526"/>
    <w:rsid w:val="00311489"/>
    <w:rsid w:val="0031224F"/>
    <w:rsid w:val="003125F1"/>
    <w:rsid w:val="00313F1F"/>
    <w:rsid w:val="0031527E"/>
    <w:rsid w:val="00317988"/>
    <w:rsid w:val="00317C1A"/>
    <w:rsid w:val="00317C9C"/>
    <w:rsid w:val="00317F10"/>
    <w:rsid w:val="0032052B"/>
    <w:rsid w:val="00324B8D"/>
    <w:rsid w:val="00324BE7"/>
    <w:rsid w:val="003300D9"/>
    <w:rsid w:val="0033267D"/>
    <w:rsid w:val="00334FF7"/>
    <w:rsid w:val="00335609"/>
    <w:rsid w:val="0033561C"/>
    <w:rsid w:val="003365E5"/>
    <w:rsid w:val="003379D1"/>
    <w:rsid w:val="00337B41"/>
    <w:rsid w:val="00342096"/>
    <w:rsid w:val="003436C0"/>
    <w:rsid w:val="00346979"/>
    <w:rsid w:val="00347BCC"/>
    <w:rsid w:val="00350135"/>
    <w:rsid w:val="003546DD"/>
    <w:rsid w:val="00354A01"/>
    <w:rsid w:val="00356946"/>
    <w:rsid w:val="003601FD"/>
    <w:rsid w:val="00361410"/>
    <w:rsid w:val="00361796"/>
    <w:rsid w:val="0036192C"/>
    <w:rsid w:val="0036247E"/>
    <w:rsid w:val="0036294C"/>
    <w:rsid w:val="003637FC"/>
    <w:rsid w:val="003652E1"/>
    <w:rsid w:val="003662B1"/>
    <w:rsid w:val="00366A24"/>
    <w:rsid w:val="00366AE9"/>
    <w:rsid w:val="00367DA6"/>
    <w:rsid w:val="00371E69"/>
    <w:rsid w:val="00372EC7"/>
    <w:rsid w:val="003751C2"/>
    <w:rsid w:val="00375E8B"/>
    <w:rsid w:val="00377BFE"/>
    <w:rsid w:val="00380743"/>
    <w:rsid w:val="0038207A"/>
    <w:rsid w:val="00382E5A"/>
    <w:rsid w:val="00383D8A"/>
    <w:rsid w:val="00384002"/>
    <w:rsid w:val="003846C0"/>
    <w:rsid w:val="00386688"/>
    <w:rsid w:val="00390565"/>
    <w:rsid w:val="0039172E"/>
    <w:rsid w:val="00392C09"/>
    <w:rsid w:val="00394351"/>
    <w:rsid w:val="003969E9"/>
    <w:rsid w:val="003978F7"/>
    <w:rsid w:val="003979A3"/>
    <w:rsid w:val="003A03FB"/>
    <w:rsid w:val="003A0DB4"/>
    <w:rsid w:val="003A5461"/>
    <w:rsid w:val="003A5E88"/>
    <w:rsid w:val="003A7346"/>
    <w:rsid w:val="003B1A42"/>
    <w:rsid w:val="003B39FD"/>
    <w:rsid w:val="003B4D42"/>
    <w:rsid w:val="003B4E31"/>
    <w:rsid w:val="003B5E86"/>
    <w:rsid w:val="003C0C9D"/>
    <w:rsid w:val="003C1E49"/>
    <w:rsid w:val="003C356A"/>
    <w:rsid w:val="003C36DF"/>
    <w:rsid w:val="003C58FB"/>
    <w:rsid w:val="003C5CBE"/>
    <w:rsid w:val="003C5FD6"/>
    <w:rsid w:val="003D0CF2"/>
    <w:rsid w:val="003D1296"/>
    <w:rsid w:val="003D2230"/>
    <w:rsid w:val="003D2888"/>
    <w:rsid w:val="003D2AD8"/>
    <w:rsid w:val="003D42E4"/>
    <w:rsid w:val="003D4470"/>
    <w:rsid w:val="003D58B0"/>
    <w:rsid w:val="003D6003"/>
    <w:rsid w:val="003D6CA8"/>
    <w:rsid w:val="003D7763"/>
    <w:rsid w:val="003E1823"/>
    <w:rsid w:val="003E2A71"/>
    <w:rsid w:val="003E3714"/>
    <w:rsid w:val="003E3792"/>
    <w:rsid w:val="003E3B15"/>
    <w:rsid w:val="003E4FEE"/>
    <w:rsid w:val="003E52BA"/>
    <w:rsid w:val="003E5FA1"/>
    <w:rsid w:val="003F0FFD"/>
    <w:rsid w:val="003F18BE"/>
    <w:rsid w:val="003F2BE6"/>
    <w:rsid w:val="003F3A11"/>
    <w:rsid w:val="003F3F78"/>
    <w:rsid w:val="003F4523"/>
    <w:rsid w:val="003F4DAD"/>
    <w:rsid w:val="003F65C3"/>
    <w:rsid w:val="004005CE"/>
    <w:rsid w:val="00400FA6"/>
    <w:rsid w:val="004024B4"/>
    <w:rsid w:val="00402F9A"/>
    <w:rsid w:val="00404A9F"/>
    <w:rsid w:val="00405CB2"/>
    <w:rsid w:val="00405E1D"/>
    <w:rsid w:val="00405F55"/>
    <w:rsid w:val="00405F9E"/>
    <w:rsid w:val="00405FCE"/>
    <w:rsid w:val="00407A89"/>
    <w:rsid w:val="0041279D"/>
    <w:rsid w:val="004138B0"/>
    <w:rsid w:val="00414968"/>
    <w:rsid w:val="00414A8E"/>
    <w:rsid w:val="00416E89"/>
    <w:rsid w:val="00420F55"/>
    <w:rsid w:val="00421415"/>
    <w:rsid w:val="00422779"/>
    <w:rsid w:val="00422CE1"/>
    <w:rsid w:val="00423D9D"/>
    <w:rsid w:val="0042487B"/>
    <w:rsid w:val="004257B0"/>
    <w:rsid w:val="00425F93"/>
    <w:rsid w:val="00426315"/>
    <w:rsid w:val="0042643A"/>
    <w:rsid w:val="004275AE"/>
    <w:rsid w:val="00427F1D"/>
    <w:rsid w:val="00430B57"/>
    <w:rsid w:val="00430D7B"/>
    <w:rsid w:val="004315D0"/>
    <w:rsid w:val="00431FC9"/>
    <w:rsid w:val="00432DC7"/>
    <w:rsid w:val="0043304E"/>
    <w:rsid w:val="004331AD"/>
    <w:rsid w:val="00433661"/>
    <w:rsid w:val="00433AB4"/>
    <w:rsid w:val="00434054"/>
    <w:rsid w:val="00434F39"/>
    <w:rsid w:val="00435C60"/>
    <w:rsid w:val="00436211"/>
    <w:rsid w:val="00436E40"/>
    <w:rsid w:val="00437A89"/>
    <w:rsid w:val="00437C85"/>
    <w:rsid w:val="004410DC"/>
    <w:rsid w:val="00441AB9"/>
    <w:rsid w:val="00442200"/>
    <w:rsid w:val="00442C38"/>
    <w:rsid w:val="00442E09"/>
    <w:rsid w:val="004434AA"/>
    <w:rsid w:val="00443BA4"/>
    <w:rsid w:val="00447DD0"/>
    <w:rsid w:val="004524C5"/>
    <w:rsid w:val="00452A3C"/>
    <w:rsid w:val="00453EC1"/>
    <w:rsid w:val="00453F7E"/>
    <w:rsid w:val="00454D21"/>
    <w:rsid w:val="004567BE"/>
    <w:rsid w:val="004612F5"/>
    <w:rsid w:val="00464EE7"/>
    <w:rsid w:val="004656BD"/>
    <w:rsid w:val="004718F8"/>
    <w:rsid w:val="00472CD9"/>
    <w:rsid w:val="00473C19"/>
    <w:rsid w:val="00474E11"/>
    <w:rsid w:val="00474F77"/>
    <w:rsid w:val="004773BA"/>
    <w:rsid w:val="00477EDD"/>
    <w:rsid w:val="00480282"/>
    <w:rsid w:val="00480779"/>
    <w:rsid w:val="00483238"/>
    <w:rsid w:val="0048490B"/>
    <w:rsid w:val="00485BFB"/>
    <w:rsid w:val="00485E33"/>
    <w:rsid w:val="0048643C"/>
    <w:rsid w:val="00486D78"/>
    <w:rsid w:val="00491D7A"/>
    <w:rsid w:val="00491DF8"/>
    <w:rsid w:val="00493651"/>
    <w:rsid w:val="004956A0"/>
    <w:rsid w:val="0049627B"/>
    <w:rsid w:val="00497B7D"/>
    <w:rsid w:val="00497F43"/>
    <w:rsid w:val="004A04F2"/>
    <w:rsid w:val="004A05B8"/>
    <w:rsid w:val="004A0743"/>
    <w:rsid w:val="004A08AC"/>
    <w:rsid w:val="004A0B45"/>
    <w:rsid w:val="004A1B19"/>
    <w:rsid w:val="004A32BF"/>
    <w:rsid w:val="004A44BB"/>
    <w:rsid w:val="004A47A7"/>
    <w:rsid w:val="004A5331"/>
    <w:rsid w:val="004A79F6"/>
    <w:rsid w:val="004B0C60"/>
    <w:rsid w:val="004B1C93"/>
    <w:rsid w:val="004B202A"/>
    <w:rsid w:val="004B2111"/>
    <w:rsid w:val="004B215E"/>
    <w:rsid w:val="004B23B6"/>
    <w:rsid w:val="004B27D3"/>
    <w:rsid w:val="004B2D5E"/>
    <w:rsid w:val="004B31E2"/>
    <w:rsid w:val="004B58B3"/>
    <w:rsid w:val="004B5FED"/>
    <w:rsid w:val="004B63C8"/>
    <w:rsid w:val="004B6DB2"/>
    <w:rsid w:val="004B7532"/>
    <w:rsid w:val="004C18C6"/>
    <w:rsid w:val="004C1B64"/>
    <w:rsid w:val="004C3E77"/>
    <w:rsid w:val="004C49D5"/>
    <w:rsid w:val="004C6A37"/>
    <w:rsid w:val="004C77F9"/>
    <w:rsid w:val="004D070C"/>
    <w:rsid w:val="004D0741"/>
    <w:rsid w:val="004D0798"/>
    <w:rsid w:val="004D09D2"/>
    <w:rsid w:val="004D18C1"/>
    <w:rsid w:val="004D1A0D"/>
    <w:rsid w:val="004D1F97"/>
    <w:rsid w:val="004D37E2"/>
    <w:rsid w:val="004D37EA"/>
    <w:rsid w:val="004D42E5"/>
    <w:rsid w:val="004D5C0C"/>
    <w:rsid w:val="004D7043"/>
    <w:rsid w:val="004D7A1D"/>
    <w:rsid w:val="004D7CF5"/>
    <w:rsid w:val="004E0958"/>
    <w:rsid w:val="004E2A15"/>
    <w:rsid w:val="004E40B8"/>
    <w:rsid w:val="004E5F41"/>
    <w:rsid w:val="004E7FBB"/>
    <w:rsid w:val="004F14ED"/>
    <w:rsid w:val="004F534E"/>
    <w:rsid w:val="004F5C5D"/>
    <w:rsid w:val="00502B27"/>
    <w:rsid w:val="00504104"/>
    <w:rsid w:val="00505190"/>
    <w:rsid w:val="005051B6"/>
    <w:rsid w:val="005053D1"/>
    <w:rsid w:val="005063AD"/>
    <w:rsid w:val="00506F65"/>
    <w:rsid w:val="00507984"/>
    <w:rsid w:val="00510FC1"/>
    <w:rsid w:val="005113C1"/>
    <w:rsid w:val="00511CB9"/>
    <w:rsid w:val="00512111"/>
    <w:rsid w:val="00512D46"/>
    <w:rsid w:val="005130CD"/>
    <w:rsid w:val="0051453B"/>
    <w:rsid w:val="0051482C"/>
    <w:rsid w:val="00514FB3"/>
    <w:rsid w:val="00515F41"/>
    <w:rsid w:val="00516ADB"/>
    <w:rsid w:val="00516F4D"/>
    <w:rsid w:val="00517882"/>
    <w:rsid w:val="00517D3B"/>
    <w:rsid w:val="00517E20"/>
    <w:rsid w:val="00521235"/>
    <w:rsid w:val="00522BA4"/>
    <w:rsid w:val="00523120"/>
    <w:rsid w:val="00525E24"/>
    <w:rsid w:val="0053027F"/>
    <w:rsid w:val="00530924"/>
    <w:rsid w:val="00530A9A"/>
    <w:rsid w:val="00530D93"/>
    <w:rsid w:val="00532B5A"/>
    <w:rsid w:val="00533857"/>
    <w:rsid w:val="005366C6"/>
    <w:rsid w:val="00541CD7"/>
    <w:rsid w:val="00543356"/>
    <w:rsid w:val="005435A5"/>
    <w:rsid w:val="00546EE7"/>
    <w:rsid w:val="0054700B"/>
    <w:rsid w:val="005501C4"/>
    <w:rsid w:val="00550C0F"/>
    <w:rsid w:val="00553A13"/>
    <w:rsid w:val="00553BFB"/>
    <w:rsid w:val="005544F7"/>
    <w:rsid w:val="00556872"/>
    <w:rsid w:val="00557849"/>
    <w:rsid w:val="005578FD"/>
    <w:rsid w:val="00561ED5"/>
    <w:rsid w:val="005621DA"/>
    <w:rsid w:val="00563FE0"/>
    <w:rsid w:val="005645AE"/>
    <w:rsid w:val="00565CED"/>
    <w:rsid w:val="005679FD"/>
    <w:rsid w:val="00570040"/>
    <w:rsid w:val="00570E82"/>
    <w:rsid w:val="00571F33"/>
    <w:rsid w:val="005722DF"/>
    <w:rsid w:val="00572D48"/>
    <w:rsid w:val="005745D7"/>
    <w:rsid w:val="0057569E"/>
    <w:rsid w:val="00575EF3"/>
    <w:rsid w:val="00576CEA"/>
    <w:rsid w:val="0057720E"/>
    <w:rsid w:val="00581F2D"/>
    <w:rsid w:val="00583E67"/>
    <w:rsid w:val="0058401D"/>
    <w:rsid w:val="005866A7"/>
    <w:rsid w:val="0058679A"/>
    <w:rsid w:val="00587DFF"/>
    <w:rsid w:val="00590380"/>
    <w:rsid w:val="005905BB"/>
    <w:rsid w:val="00590A12"/>
    <w:rsid w:val="00590CDB"/>
    <w:rsid w:val="00591698"/>
    <w:rsid w:val="00591DA8"/>
    <w:rsid w:val="00592C92"/>
    <w:rsid w:val="00593613"/>
    <w:rsid w:val="0059437E"/>
    <w:rsid w:val="0059516A"/>
    <w:rsid w:val="005965DE"/>
    <w:rsid w:val="00597DD0"/>
    <w:rsid w:val="005A042E"/>
    <w:rsid w:val="005A0DD6"/>
    <w:rsid w:val="005A2D04"/>
    <w:rsid w:val="005A308E"/>
    <w:rsid w:val="005A3DF2"/>
    <w:rsid w:val="005A3F83"/>
    <w:rsid w:val="005A5B40"/>
    <w:rsid w:val="005A76BB"/>
    <w:rsid w:val="005A7C81"/>
    <w:rsid w:val="005B0FB7"/>
    <w:rsid w:val="005B1392"/>
    <w:rsid w:val="005B1669"/>
    <w:rsid w:val="005B362E"/>
    <w:rsid w:val="005B3830"/>
    <w:rsid w:val="005B46C3"/>
    <w:rsid w:val="005B5F9A"/>
    <w:rsid w:val="005B737A"/>
    <w:rsid w:val="005C0000"/>
    <w:rsid w:val="005C463D"/>
    <w:rsid w:val="005C6CE6"/>
    <w:rsid w:val="005C6D57"/>
    <w:rsid w:val="005C6DB0"/>
    <w:rsid w:val="005C7467"/>
    <w:rsid w:val="005D05FE"/>
    <w:rsid w:val="005D2158"/>
    <w:rsid w:val="005D2F3B"/>
    <w:rsid w:val="005D40D5"/>
    <w:rsid w:val="005D47EF"/>
    <w:rsid w:val="005D4FE1"/>
    <w:rsid w:val="005D5049"/>
    <w:rsid w:val="005D58BD"/>
    <w:rsid w:val="005E04E8"/>
    <w:rsid w:val="005E0AF9"/>
    <w:rsid w:val="005E287E"/>
    <w:rsid w:val="005E2FE2"/>
    <w:rsid w:val="005E3B58"/>
    <w:rsid w:val="005E5191"/>
    <w:rsid w:val="005E6D2D"/>
    <w:rsid w:val="005F0F6B"/>
    <w:rsid w:val="005F14E0"/>
    <w:rsid w:val="005F280E"/>
    <w:rsid w:val="005F4569"/>
    <w:rsid w:val="005F6DA9"/>
    <w:rsid w:val="005F79AE"/>
    <w:rsid w:val="006021C5"/>
    <w:rsid w:val="00603006"/>
    <w:rsid w:val="00603203"/>
    <w:rsid w:val="00603347"/>
    <w:rsid w:val="0060466E"/>
    <w:rsid w:val="00604BA8"/>
    <w:rsid w:val="00606323"/>
    <w:rsid w:val="006072A3"/>
    <w:rsid w:val="00607E1F"/>
    <w:rsid w:val="006104D7"/>
    <w:rsid w:val="0061107B"/>
    <w:rsid w:val="00611A8B"/>
    <w:rsid w:val="006124F5"/>
    <w:rsid w:val="006144D6"/>
    <w:rsid w:val="00616408"/>
    <w:rsid w:val="00616E65"/>
    <w:rsid w:val="00622EEF"/>
    <w:rsid w:val="0062451E"/>
    <w:rsid w:val="006247D8"/>
    <w:rsid w:val="00625737"/>
    <w:rsid w:val="00625C65"/>
    <w:rsid w:val="00626483"/>
    <w:rsid w:val="006265F5"/>
    <w:rsid w:val="00626B49"/>
    <w:rsid w:val="006305EE"/>
    <w:rsid w:val="00630B0D"/>
    <w:rsid w:val="006335AE"/>
    <w:rsid w:val="00633A16"/>
    <w:rsid w:val="00635363"/>
    <w:rsid w:val="006360C3"/>
    <w:rsid w:val="00636D4C"/>
    <w:rsid w:val="00637755"/>
    <w:rsid w:val="00641C0F"/>
    <w:rsid w:val="006427AA"/>
    <w:rsid w:val="00646363"/>
    <w:rsid w:val="00647106"/>
    <w:rsid w:val="006506E7"/>
    <w:rsid w:val="00651712"/>
    <w:rsid w:val="00651753"/>
    <w:rsid w:val="00652115"/>
    <w:rsid w:val="00652E45"/>
    <w:rsid w:val="00655840"/>
    <w:rsid w:val="006601D6"/>
    <w:rsid w:val="00660C2E"/>
    <w:rsid w:val="0066283D"/>
    <w:rsid w:val="006628A0"/>
    <w:rsid w:val="00664358"/>
    <w:rsid w:val="0066449F"/>
    <w:rsid w:val="00664B3F"/>
    <w:rsid w:val="00665A86"/>
    <w:rsid w:val="00671C8A"/>
    <w:rsid w:val="00672927"/>
    <w:rsid w:val="00674D32"/>
    <w:rsid w:val="00675F24"/>
    <w:rsid w:val="00676557"/>
    <w:rsid w:val="00677207"/>
    <w:rsid w:val="0068135E"/>
    <w:rsid w:val="00681602"/>
    <w:rsid w:val="0068289A"/>
    <w:rsid w:val="0068597A"/>
    <w:rsid w:val="00686CD8"/>
    <w:rsid w:val="00686E1C"/>
    <w:rsid w:val="0068770E"/>
    <w:rsid w:val="00687B75"/>
    <w:rsid w:val="006906E1"/>
    <w:rsid w:val="00690E96"/>
    <w:rsid w:val="00691779"/>
    <w:rsid w:val="00692256"/>
    <w:rsid w:val="00693FAC"/>
    <w:rsid w:val="00694987"/>
    <w:rsid w:val="0069499A"/>
    <w:rsid w:val="00694FD1"/>
    <w:rsid w:val="006A0922"/>
    <w:rsid w:val="006A0DB6"/>
    <w:rsid w:val="006A180D"/>
    <w:rsid w:val="006A2507"/>
    <w:rsid w:val="006A57AD"/>
    <w:rsid w:val="006A5EE9"/>
    <w:rsid w:val="006A6F6C"/>
    <w:rsid w:val="006A719A"/>
    <w:rsid w:val="006A7B59"/>
    <w:rsid w:val="006B0106"/>
    <w:rsid w:val="006B11C9"/>
    <w:rsid w:val="006B2522"/>
    <w:rsid w:val="006B2571"/>
    <w:rsid w:val="006B3376"/>
    <w:rsid w:val="006B469E"/>
    <w:rsid w:val="006B5914"/>
    <w:rsid w:val="006B7C98"/>
    <w:rsid w:val="006C08F6"/>
    <w:rsid w:val="006C1D65"/>
    <w:rsid w:val="006C2382"/>
    <w:rsid w:val="006C3CEE"/>
    <w:rsid w:val="006C45F2"/>
    <w:rsid w:val="006C69B5"/>
    <w:rsid w:val="006D03C5"/>
    <w:rsid w:val="006D06B4"/>
    <w:rsid w:val="006D09B6"/>
    <w:rsid w:val="006D2AEA"/>
    <w:rsid w:val="006D3161"/>
    <w:rsid w:val="006D4E41"/>
    <w:rsid w:val="006D60F3"/>
    <w:rsid w:val="006D6F10"/>
    <w:rsid w:val="006E034A"/>
    <w:rsid w:val="006E3772"/>
    <w:rsid w:val="006E4862"/>
    <w:rsid w:val="006E6C45"/>
    <w:rsid w:val="006E6DEB"/>
    <w:rsid w:val="006E72E7"/>
    <w:rsid w:val="006F1904"/>
    <w:rsid w:val="006F5786"/>
    <w:rsid w:val="006F582D"/>
    <w:rsid w:val="006F5B03"/>
    <w:rsid w:val="006F5BEA"/>
    <w:rsid w:val="006F65B2"/>
    <w:rsid w:val="006F7D23"/>
    <w:rsid w:val="00700088"/>
    <w:rsid w:val="0070094C"/>
    <w:rsid w:val="00700B76"/>
    <w:rsid w:val="007013CA"/>
    <w:rsid w:val="00701B41"/>
    <w:rsid w:val="007027D3"/>
    <w:rsid w:val="00703884"/>
    <w:rsid w:val="00704E88"/>
    <w:rsid w:val="00706A4F"/>
    <w:rsid w:val="00707782"/>
    <w:rsid w:val="00710F5F"/>
    <w:rsid w:val="0071169D"/>
    <w:rsid w:val="00712F0A"/>
    <w:rsid w:val="00716F15"/>
    <w:rsid w:val="00722A53"/>
    <w:rsid w:val="00723881"/>
    <w:rsid w:val="00723DE7"/>
    <w:rsid w:val="007245B9"/>
    <w:rsid w:val="00724900"/>
    <w:rsid w:val="007260E8"/>
    <w:rsid w:val="007268AD"/>
    <w:rsid w:val="00726D9A"/>
    <w:rsid w:val="00727893"/>
    <w:rsid w:val="00727D00"/>
    <w:rsid w:val="007319CF"/>
    <w:rsid w:val="00733488"/>
    <w:rsid w:val="0073519F"/>
    <w:rsid w:val="00736317"/>
    <w:rsid w:val="0073744B"/>
    <w:rsid w:val="00740A9C"/>
    <w:rsid w:val="00740E7E"/>
    <w:rsid w:val="0074192B"/>
    <w:rsid w:val="00744F4B"/>
    <w:rsid w:val="00745BBA"/>
    <w:rsid w:val="00745C98"/>
    <w:rsid w:val="007476E0"/>
    <w:rsid w:val="00750F27"/>
    <w:rsid w:val="0075209B"/>
    <w:rsid w:val="0075332E"/>
    <w:rsid w:val="00755562"/>
    <w:rsid w:val="00757AA7"/>
    <w:rsid w:val="00757F1C"/>
    <w:rsid w:val="00761B9C"/>
    <w:rsid w:val="00766792"/>
    <w:rsid w:val="007669BE"/>
    <w:rsid w:val="00770812"/>
    <w:rsid w:val="00770B96"/>
    <w:rsid w:val="00771171"/>
    <w:rsid w:val="00772E01"/>
    <w:rsid w:val="007753C0"/>
    <w:rsid w:val="00775B87"/>
    <w:rsid w:val="00776011"/>
    <w:rsid w:val="00776375"/>
    <w:rsid w:val="00776846"/>
    <w:rsid w:val="00780B33"/>
    <w:rsid w:val="00781D55"/>
    <w:rsid w:val="00782608"/>
    <w:rsid w:val="007845AC"/>
    <w:rsid w:val="00785302"/>
    <w:rsid w:val="00787F66"/>
    <w:rsid w:val="00787F68"/>
    <w:rsid w:val="00791157"/>
    <w:rsid w:val="00792D38"/>
    <w:rsid w:val="00796529"/>
    <w:rsid w:val="00796900"/>
    <w:rsid w:val="0079698F"/>
    <w:rsid w:val="007976CB"/>
    <w:rsid w:val="00797A6C"/>
    <w:rsid w:val="00797B7F"/>
    <w:rsid w:val="00797C06"/>
    <w:rsid w:val="00797C0A"/>
    <w:rsid w:val="007A03D1"/>
    <w:rsid w:val="007A2CEC"/>
    <w:rsid w:val="007A3D5A"/>
    <w:rsid w:val="007A5B25"/>
    <w:rsid w:val="007B0D86"/>
    <w:rsid w:val="007B0FA0"/>
    <w:rsid w:val="007B1F79"/>
    <w:rsid w:val="007B2F2F"/>
    <w:rsid w:val="007B343A"/>
    <w:rsid w:val="007B36C1"/>
    <w:rsid w:val="007B37BD"/>
    <w:rsid w:val="007B48E8"/>
    <w:rsid w:val="007B4A1D"/>
    <w:rsid w:val="007B533E"/>
    <w:rsid w:val="007B6D04"/>
    <w:rsid w:val="007B7599"/>
    <w:rsid w:val="007C06C1"/>
    <w:rsid w:val="007C1101"/>
    <w:rsid w:val="007C1CA0"/>
    <w:rsid w:val="007C3621"/>
    <w:rsid w:val="007C45EF"/>
    <w:rsid w:val="007C5895"/>
    <w:rsid w:val="007C63FA"/>
    <w:rsid w:val="007C66D3"/>
    <w:rsid w:val="007C7067"/>
    <w:rsid w:val="007D094F"/>
    <w:rsid w:val="007D0AF8"/>
    <w:rsid w:val="007D242A"/>
    <w:rsid w:val="007D27B9"/>
    <w:rsid w:val="007D3194"/>
    <w:rsid w:val="007D3413"/>
    <w:rsid w:val="007D5176"/>
    <w:rsid w:val="007D5188"/>
    <w:rsid w:val="007D5C65"/>
    <w:rsid w:val="007E0BA6"/>
    <w:rsid w:val="007E149B"/>
    <w:rsid w:val="007E2599"/>
    <w:rsid w:val="007E38C2"/>
    <w:rsid w:val="007E5740"/>
    <w:rsid w:val="007E6DF0"/>
    <w:rsid w:val="007E6F40"/>
    <w:rsid w:val="007E7FBE"/>
    <w:rsid w:val="007F054F"/>
    <w:rsid w:val="007F0F79"/>
    <w:rsid w:val="007F0FC2"/>
    <w:rsid w:val="007F2662"/>
    <w:rsid w:val="007F2B83"/>
    <w:rsid w:val="007F6A83"/>
    <w:rsid w:val="007F6A8C"/>
    <w:rsid w:val="007F6B09"/>
    <w:rsid w:val="0080025F"/>
    <w:rsid w:val="00800A98"/>
    <w:rsid w:val="00801E1E"/>
    <w:rsid w:val="008022E9"/>
    <w:rsid w:val="00803247"/>
    <w:rsid w:val="008037AD"/>
    <w:rsid w:val="008044AF"/>
    <w:rsid w:val="0081094F"/>
    <w:rsid w:val="00810A5D"/>
    <w:rsid w:val="0081153B"/>
    <w:rsid w:val="00811AE2"/>
    <w:rsid w:val="00812563"/>
    <w:rsid w:val="00813020"/>
    <w:rsid w:val="008134D2"/>
    <w:rsid w:val="00817E0B"/>
    <w:rsid w:val="00820CDF"/>
    <w:rsid w:val="0082279A"/>
    <w:rsid w:val="00822D98"/>
    <w:rsid w:val="00824C83"/>
    <w:rsid w:val="00825FB1"/>
    <w:rsid w:val="00825FD2"/>
    <w:rsid w:val="00827755"/>
    <w:rsid w:val="00827BF1"/>
    <w:rsid w:val="00830F69"/>
    <w:rsid w:val="008315ED"/>
    <w:rsid w:val="00831FC6"/>
    <w:rsid w:val="00832210"/>
    <w:rsid w:val="00832938"/>
    <w:rsid w:val="00832E2B"/>
    <w:rsid w:val="0083428C"/>
    <w:rsid w:val="008354E4"/>
    <w:rsid w:val="008408C2"/>
    <w:rsid w:val="008418DA"/>
    <w:rsid w:val="00841A26"/>
    <w:rsid w:val="00843072"/>
    <w:rsid w:val="00843472"/>
    <w:rsid w:val="008456C7"/>
    <w:rsid w:val="0084604C"/>
    <w:rsid w:val="00846D76"/>
    <w:rsid w:val="0084766D"/>
    <w:rsid w:val="008479D8"/>
    <w:rsid w:val="00852327"/>
    <w:rsid w:val="00852514"/>
    <w:rsid w:val="00852D82"/>
    <w:rsid w:val="008536E3"/>
    <w:rsid w:val="00854E17"/>
    <w:rsid w:val="008552B4"/>
    <w:rsid w:val="00855E4F"/>
    <w:rsid w:val="008575E0"/>
    <w:rsid w:val="0086091D"/>
    <w:rsid w:val="00862544"/>
    <w:rsid w:val="00862695"/>
    <w:rsid w:val="00862DAA"/>
    <w:rsid w:val="008648E4"/>
    <w:rsid w:val="00865B3A"/>
    <w:rsid w:val="00865BE1"/>
    <w:rsid w:val="00871166"/>
    <w:rsid w:val="008723BA"/>
    <w:rsid w:val="00872AD8"/>
    <w:rsid w:val="00873E93"/>
    <w:rsid w:val="0087438F"/>
    <w:rsid w:val="008759A2"/>
    <w:rsid w:val="0087637F"/>
    <w:rsid w:val="00876EDF"/>
    <w:rsid w:val="00882B75"/>
    <w:rsid w:val="00883948"/>
    <w:rsid w:val="00884093"/>
    <w:rsid w:val="00886E89"/>
    <w:rsid w:val="0089027D"/>
    <w:rsid w:val="00892026"/>
    <w:rsid w:val="00893414"/>
    <w:rsid w:val="0089442A"/>
    <w:rsid w:val="00894698"/>
    <w:rsid w:val="00894B0D"/>
    <w:rsid w:val="00894DD9"/>
    <w:rsid w:val="00895320"/>
    <w:rsid w:val="008A1689"/>
    <w:rsid w:val="008A3E91"/>
    <w:rsid w:val="008A63AF"/>
    <w:rsid w:val="008A67FD"/>
    <w:rsid w:val="008A6E7A"/>
    <w:rsid w:val="008A6EAA"/>
    <w:rsid w:val="008A76D1"/>
    <w:rsid w:val="008B1B88"/>
    <w:rsid w:val="008B1E0A"/>
    <w:rsid w:val="008B2BBF"/>
    <w:rsid w:val="008B2D8E"/>
    <w:rsid w:val="008B2DA6"/>
    <w:rsid w:val="008B501F"/>
    <w:rsid w:val="008B5E38"/>
    <w:rsid w:val="008B6982"/>
    <w:rsid w:val="008B74BD"/>
    <w:rsid w:val="008C4EA0"/>
    <w:rsid w:val="008C78F0"/>
    <w:rsid w:val="008D0777"/>
    <w:rsid w:val="008D0FF4"/>
    <w:rsid w:val="008D21FA"/>
    <w:rsid w:val="008D2DBC"/>
    <w:rsid w:val="008D4183"/>
    <w:rsid w:val="008D4EAB"/>
    <w:rsid w:val="008D6330"/>
    <w:rsid w:val="008D7E7A"/>
    <w:rsid w:val="008E1A9B"/>
    <w:rsid w:val="008E1E98"/>
    <w:rsid w:val="008E263E"/>
    <w:rsid w:val="008E2C8A"/>
    <w:rsid w:val="008E3AF9"/>
    <w:rsid w:val="008E591D"/>
    <w:rsid w:val="008E59F6"/>
    <w:rsid w:val="008E5C86"/>
    <w:rsid w:val="008E7072"/>
    <w:rsid w:val="008F0C56"/>
    <w:rsid w:val="008F3332"/>
    <w:rsid w:val="008F4A70"/>
    <w:rsid w:val="008F6304"/>
    <w:rsid w:val="008F6D32"/>
    <w:rsid w:val="008F7568"/>
    <w:rsid w:val="00905AEA"/>
    <w:rsid w:val="00906872"/>
    <w:rsid w:val="0091055C"/>
    <w:rsid w:val="009121FB"/>
    <w:rsid w:val="00912477"/>
    <w:rsid w:val="0091254A"/>
    <w:rsid w:val="00912DFE"/>
    <w:rsid w:val="00915615"/>
    <w:rsid w:val="00915849"/>
    <w:rsid w:val="00915952"/>
    <w:rsid w:val="00916438"/>
    <w:rsid w:val="0091779A"/>
    <w:rsid w:val="0092040B"/>
    <w:rsid w:val="00920DCF"/>
    <w:rsid w:val="00920EF7"/>
    <w:rsid w:val="00922E9D"/>
    <w:rsid w:val="0092301D"/>
    <w:rsid w:val="00923422"/>
    <w:rsid w:val="00923680"/>
    <w:rsid w:val="00923F27"/>
    <w:rsid w:val="00924848"/>
    <w:rsid w:val="0092539E"/>
    <w:rsid w:val="00925C6A"/>
    <w:rsid w:val="00927546"/>
    <w:rsid w:val="00927D64"/>
    <w:rsid w:val="00930284"/>
    <w:rsid w:val="0093178B"/>
    <w:rsid w:val="00931BF4"/>
    <w:rsid w:val="00931C5B"/>
    <w:rsid w:val="00931ED4"/>
    <w:rsid w:val="00932108"/>
    <w:rsid w:val="00935C55"/>
    <w:rsid w:val="009362D1"/>
    <w:rsid w:val="00936462"/>
    <w:rsid w:val="0093692A"/>
    <w:rsid w:val="00937074"/>
    <w:rsid w:val="009372F0"/>
    <w:rsid w:val="009372F5"/>
    <w:rsid w:val="00940EC4"/>
    <w:rsid w:val="009413DC"/>
    <w:rsid w:val="00942D15"/>
    <w:rsid w:val="00945AA0"/>
    <w:rsid w:val="0094750B"/>
    <w:rsid w:val="009513A7"/>
    <w:rsid w:val="009522F9"/>
    <w:rsid w:val="009534FE"/>
    <w:rsid w:val="00953D5E"/>
    <w:rsid w:val="00955FD4"/>
    <w:rsid w:val="00957214"/>
    <w:rsid w:val="00963867"/>
    <w:rsid w:val="009654B5"/>
    <w:rsid w:val="009659D8"/>
    <w:rsid w:val="00965C71"/>
    <w:rsid w:val="009665AF"/>
    <w:rsid w:val="00966C5B"/>
    <w:rsid w:val="00966F1B"/>
    <w:rsid w:val="0096759B"/>
    <w:rsid w:val="00967D30"/>
    <w:rsid w:val="0097094D"/>
    <w:rsid w:val="0097112B"/>
    <w:rsid w:val="00972455"/>
    <w:rsid w:val="009730B9"/>
    <w:rsid w:val="0097552C"/>
    <w:rsid w:val="00975B36"/>
    <w:rsid w:val="00976885"/>
    <w:rsid w:val="00976AE5"/>
    <w:rsid w:val="00977C6E"/>
    <w:rsid w:val="009815EA"/>
    <w:rsid w:val="00982CBC"/>
    <w:rsid w:val="00984F77"/>
    <w:rsid w:val="009875C1"/>
    <w:rsid w:val="00987AE9"/>
    <w:rsid w:val="00990D83"/>
    <w:rsid w:val="009912BC"/>
    <w:rsid w:val="009919A5"/>
    <w:rsid w:val="009936D4"/>
    <w:rsid w:val="00993DAC"/>
    <w:rsid w:val="00994B4A"/>
    <w:rsid w:val="0099652D"/>
    <w:rsid w:val="00997566"/>
    <w:rsid w:val="009976E4"/>
    <w:rsid w:val="009A0EFF"/>
    <w:rsid w:val="009A1058"/>
    <w:rsid w:val="009A12F9"/>
    <w:rsid w:val="009A19BB"/>
    <w:rsid w:val="009A2163"/>
    <w:rsid w:val="009A263E"/>
    <w:rsid w:val="009A28A5"/>
    <w:rsid w:val="009A2D14"/>
    <w:rsid w:val="009A2DB9"/>
    <w:rsid w:val="009A37B0"/>
    <w:rsid w:val="009A4EB8"/>
    <w:rsid w:val="009A5381"/>
    <w:rsid w:val="009A5536"/>
    <w:rsid w:val="009A5B33"/>
    <w:rsid w:val="009A5BF9"/>
    <w:rsid w:val="009A62E4"/>
    <w:rsid w:val="009A6943"/>
    <w:rsid w:val="009A6B03"/>
    <w:rsid w:val="009B0406"/>
    <w:rsid w:val="009B1985"/>
    <w:rsid w:val="009B3B48"/>
    <w:rsid w:val="009B43CA"/>
    <w:rsid w:val="009B5E74"/>
    <w:rsid w:val="009B5F8B"/>
    <w:rsid w:val="009B64F9"/>
    <w:rsid w:val="009B6686"/>
    <w:rsid w:val="009B7D84"/>
    <w:rsid w:val="009C12E0"/>
    <w:rsid w:val="009C1A2F"/>
    <w:rsid w:val="009C1DBE"/>
    <w:rsid w:val="009C2BFE"/>
    <w:rsid w:val="009C459E"/>
    <w:rsid w:val="009C578F"/>
    <w:rsid w:val="009C5908"/>
    <w:rsid w:val="009C590E"/>
    <w:rsid w:val="009D02B0"/>
    <w:rsid w:val="009D0739"/>
    <w:rsid w:val="009D1952"/>
    <w:rsid w:val="009D1CE8"/>
    <w:rsid w:val="009D262F"/>
    <w:rsid w:val="009D43AF"/>
    <w:rsid w:val="009D4EE7"/>
    <w:rsid w:val="009D557E"/>
    <w:rsid w:val="009D7A79"/>
    <w:rsid w:val="009E070C"/>
    <w:rsid w:val="009E075E"/>
    <w:rsid w:val="009E0AFC"/>
    <w:rsid w:val="009E188E"/>
    <w:rsid w:val="009E1A6C"/>
    <w:rsid w:val="009E2CDE"/>
    <w:rsid w:val="009E5CE7"/>
    <w:rsid w:val="009E7F47"/>
    <w:rsid w:val="009F15DB"/>
    <w:rsid w:val="009F1688"/>
    <w:rsid w:val="009F230E"/>
    <w:rsid w:val="009F28B2"/>
    <w:rsid w:val="009F3949"/>
    <w:rsid w:val="009F5763"/>
    <w:rsid w:val="009F66B2"/>
    <w:rsid w:val="009F6909"/>
    <w:rsid w:val="009F6BAB"/>
    <w:rsid w:val="009F71B0"/>
    <w:rsid w:val="009F76D9"/>
    <w:rsid w:val="00A0197B"/>
    <w:rsid w:val="00A02369"/>
    <w:rsid w:val="00A024B2"/>
    <w:rsid w:val="00A025B4"/>
    <w:rsid w:val="00A03A08"/>
    <w:rsid w:val="00A03AF5"/>
    <w:rsid w:val="00A07765"/>
    <w:rsid w:val="00A07A77"/>
    <w:rsid w:val="00A11264"/>
    <w:rsid w:val="00A14009"/>
    <w:rsid w:val="00A14D26"/>
    <w:rsid w:val="00A16008"/>
    <w:rsid w:val="00A16162"/>
    <w:rsid w:val="00A178FB"/>
    <w:rsid w:val="00A17F02"/>
    <w:rsid w:val="00A20D68"/>
    <w:rsid w:val="00A2180B"/>
    <w:rsid w:val="00A219DC"/>
    <w:rsid w:val="00A22552"/>
    <w:rsid w:val="00A22632"/>
    <w:rsid w:val="00A23798"/>
    <w:rsid w:val="00A249AF"/>
    <w:rsid w:val="00A25D77"/>
    <w:rsid w:val="00A30DE6"/>
    <w:rsid w:val="00A31D21"/>
    <w:rsid w:val="00A3296A"/>
    <w:rsid w:val="00A32F01"/>
    <w:rsid w:val="00A35F54"/>
    <w:rsid w:val="00A36ABA"/>
    <w:rsid w:val="00A403E3"/>
    <w:rsid w:val="00A41E0B"/>
    <w:rsid w:val="00A41F0D"/>
    <w:rsid w:val="00A43499"/>
    <w:rsid w:val="00A43BD1"/>
    <w:rsid w:val="00A44A67"/>
    <w:rsid w:val="00A478D8"/>
    <w:rsid w:val="00A51E83"/>
    <w:rsid w:val="00A520A5"/>
    <w:rsid w:val="00A541DD"/>
    <w:rsid w:val="00A5562D"/>
    <w:rsid w:val="00A560BF"/>
    <w:rsid w:val="00A56378"/>
    <w:rsid w:val="00A569EA"/>
    <w:rsid w:val="00A6003D"/>
    <w:rsid w:val="00A61A25"/>
    <w:rsid w:val="00A62A08"/>
    <w:rsid w:val="00A631C9"/>
    <w:rsid w:val="00A6359D"/>
    <w:rsid w:val="00A6365E"/>
    <w:rsid w:val="00A65509"/>
    <w:rsid w:val="00A667E7"/>
    <w:rsid w:val="00A6723A"/>
    <w:rsid w:val="00A67DDF"/>
    <w:rsid w:val="00A70678"/>
    <w:rsid w:val="00A70D0C"/>
    <w:rsid w:val="00A7261B"/>
    <w:rsid w:val="00A72643"/>
    <w:rsid w:val="00A72792"/>
    <w:rsid w:val="00A740D0"/>
    <w:rsid w:val="00A744E5"/>
    <w:rsid w:val="00A7458F"/>
    <w:rsid w:val="00A74F6A"/>
    <w:rsid w:val="00A823C7"/>
    <w:rsid w:val="00A82F2B"/>
    <w:rsid w:val="00A83223"/>
    <w:rsid w:val="00A8429A"/>
    <w:rsid w:val="00A84C83"/>
    <w:rsid w:val="00A84DDF"/>
    <w:rsid w:val="00A90E43"/>
    <w:rsid w:val="00A92D68"/>
    <w:rsid w:val="00A94025"/>
    <w:rsid w:val="00A94311"/>
    <w:rsid w:val="00A969EE"/>
    <w:rsid w:val="00AA0563"/>
    <w:rsid w:val="00AA1B07"/>
    <w:rsid w:val="00AA2039"/>
    <w:rsid w:val="00AA24F5"/>
    <w:rsid w:val="00AA7EB7"/>
    <w:rsid w:val="00AB1118"/>
    <w:rsid w:val="00AB13AD"/>
    <w:rsid w:val="00AB2DF4"/>
    <w:rsid w:val="00AB340B"/>
    <w:rsid w:val="00AB340F"/>
    <w:rsid w:val="00AB42CA"/>
    <w:rsid w:val="00AB5323"/>
    <w:rsid w:val="00AB71CF"/>
    <w:rsid w:val="00AB7EA5"/>
    <w:rsid w:val="00AC066D"/>
    <w:rsid w:val="00AC0D63"/>
    <w:rsid w:val="00AC141F"/>
    <w:rsid w:val="00AC1BB9"/>
    <w:rsid w:val="00AC22EF"/>
    <w:rsid w:val="00AC29F0"/>
    <w:rsid w:val="00AC4CFA"/>
    <w:rsid w:val="00AC5171"/>
    <w:rsid w:val="00AC732E"/>
    <w:rsid w:val="00AD092C"/>
    <w:rsid w:val="00AD1366"/>
    <w:rsid w:val="00AD27D5"/>
    <w:rsid w:val="00AD42A8"/>
    <w:rsid w:val="00AD4C87"/>
    <w:rsid w:val="00AD5558"/>
    <w:rsid w:val="00AD5833"/>
    <w:rsid w:val="00AD67A7"/>
    <w:rsid w:val="00AD73B5"/>
    <w:rsid w:val="00AD791B"/>
    <w:rsid w:val="00AE07CD"/>
    <w:rsid w:val="00AE0D8D"/>
    <w:rsid w:val="00AE13F8"/>
    <w:rsid w:val="00AE16E9"/>
    <w:rsid w:val="00AE1B2E"/>
    <w:rsid w:val="00AE30FF"/>
    <w:rsid w:val="00AE51BF"/>
    <w:rsid w:val="00AE54E1"/>
    <w:rsid w:val="00AE6093"/>
    <w:rsid w:val="00AE7614"/>
    <w:rsid w:val="00AF1B0D"/>
    <w:rsid w:val="00AF24E4"/>
    <w:rsid w:val="00AF4257"/>
    <w:rsid w:val="00AF4562"/>
    <w:rsid w:val="00AF4B73"/>
    <w:rsid w:val="00AF72DE"/>
    <w:rsid w:val="00AF7DCB"/>
    <w:rsid w:val="00B00C81"/>
    <w:rsid w:val="00B00E71"/>
    <w:rsid w:val="00B024CF"/>
    <w:rsid w:val="00B06325"/>
    <w:rsid w:val="00B07044"/>
    <w:rsid w:val="00B10FF3"/>
    <w:rsid w:val="00B11A89"/>
    <w:rsid w:val="00B13837"/>
    <w:rsid w:val="00B13DC1"/>
    <w:rsid w:val="00B14E2C"/>
    <w:rsid w:val="00B15F87"/>
    <w:rsid w:val="00B201B2"/>
    <w:rsid w:val="00B21521"/>
    <w:rsid w:val="00B23923"/>
    <w:rsid w:val="00B27584"/>
    <w:rsid w:val="00B2758E"/>
    <w:rsid w:val="00B30967"/>
    <w:rsid w:val="00B31993"/>
    <w:rsid w:val="00B31ECA"/>
    <w:rsid w:val="00B327B1"/>
    <w:rsid w:val="00B336AF"/>
    <w:rsid w:val="00B344A5"/>
    <w:rsid w:val="00B34805"/>
    <w:rsid w:val="00B36ED0"/>
    <w:rsid w:val="00B37E1B"/>
    <w:rsid w:val="00B40707"/>
    <w:rsid w:val="00B41038"/>
    <w:rsid w:val="00B41A89"/>
    <w:rsid w:val="00B44743"/>
    <w:rsid w:val="00B45281"/>
    <w:rsid w:val="00B458E9"/>
    <w:rsid w:val="00B47442"/>
    <w:rsid w:val="00B479B4"/>
    <w:rsid w:val="00B50610"/>
    <w:rsid w:val="00B5097B"/>
    <w:rsid w:val="00B50B41"/>
    <w:rsid w:val="00B51570"/>
    <w:rsid w:val="00B525BA"/>
    <w:rsid w:val="00B54519"/>
    <w:rsid w:val="00B54794"/>
    <w:rsid w:val="00B61565"/>
    <w:rsid w:val="00B629D5"/>
    <w:rsid w:val="00B6531C"/>
    <w:rsid w:val="00B65B7C"/>
    <w:rsid w:val="00B729DE"/>
    <w:rsid w:val="00B72B54"/>
    <w:rsid w:val="00B74EF2"/>
    <w:rsid w:val="00B75FF8"/>
    <w:rsid w:val="00B8045A"/>
    <w:rsid w:val="00B80C8C"/>
    <w:rsid w:val="00B81CCE"/>
    <w:rsid w:val="00B82597"/>
    <w:rsid w:val="00B83871"/>
    <w:rsid w:val="00B8483E"/>
    <w:rsid w:val="00B85810"/>
    <w:rsid w:val="00B85BC6"/>
    <w:rsid w:val="00B8709B"/>
    <w:rsid w:val="00B921BB"/>
    <w:rsid w:val="00B92B60"/>
    <w:rsid w:val="00B9460A"/>
    <w:rsid w:val="00B94D26"/>
    <w:rsid w:val="00B94ED6"/>
    <w:rsid w:val="00BA0073"/>
    <w:rsid w:val="00BA23D5"/>
    <w:rsid w:val="00BA6EBD"/>
    <w:rsid w:val="00BA7A12"/>
    <w:rsid w:val="00BB0BD4"/>
    <w:rsid w:val="00BB2247"/>
    <w:rsid w:val="00BB24AC"/>
    <w:rsid w:val="00BB3048"/>
    <w:rsid w:val="00BB322C"/>
    <w:rsid w:val="00BB33DC"/>
    <w:rsid w:val="00BB3532"/>
    <w:rsid w:val="00BB368F"/>
    <w:rsid w:val="00BB3F46"/>
    <w:rsid w:val="00BB4204"/>
    <w:rsid w:val="00BB4D90"/>
    <w:rsid w:val="00BB50BE"/>
    <w:rsid w:val="00BB70A3"/>
    <w:rsid w:val="00BC0286"/>
    <w:rsid w:val="00BC0ED3"/>
    <w:rsid w:val="00BC1180"/>
    <w:rsid w:val="00BC1B61"/>
    <w:rsid w:val="00BC2ACA"/>
    <w:rsid w:val="00BC493B"/>
    <w:rsid w:val="00BC4C08"/>
    <w:rsid w:val="00BC564B"/>
    <w:rsid w:val="00BC5EAD"/>
    <w:rsid w:val="00BD0122"/>
    <w:rsid w:val="00BD0557"/>
    <w:rsid w:val="00BD1461"/>
    <w:rsid w:val="00BD293F"/>
    <w:rsid w:val="00BD3714"/>
    <w:rsid w:val="00BD389F"/>
    <w:rsid w:val="00BD42C4"/>
    <w:rsid w:val="00BD6F1C"/>
    <w:rsid w:val="00BD7337"/>
    <w:rsid w:val="00BD7611"/>
    <w:rsid w:val="00BE2194"/>
    <w:rsid w:val="00BE21AA"/>
    <w:rsid w:val="00BE256A"/>
    <w:rsid w:val="00BE2C0B"/>
    <w:rsid w:val="00BE4CEB"/>
    <w:rsid w:val="00BE5A27"/>
    <w:rsid w:val="00BE5D48"/>
    <w:rsid w:val="00BF1DE8"/>
    <w:rsid w:val="00BF2BE5"/>
    <w:rsid w:val="00BF31F9"/>
    <w:rsid w:val="00BF43C7"/>
    <w:rsid w:val="00BF53EB"/>
    <w:rsid w:val="00BF5AC5"/>
    <w:rsid w:val="00BF6C8B"/>
    <w:rsid w:val="00BF729E"/>
    <w:rsid w:val="00C00BC8"/>
    <w:rsid w:val="00C00F29"/>
    <w:rsid w:val="00C03375"/>
    <w:rsid w:val="00C03A6C"/>
    <w:rsid w:val="00C03BB2"/>
    <w:rsid w:val="00C03DE9"/>
    <w:rsid w:val="00C05AD6"/>
    <w:rsid w:val="00C136AB"/>
    <w:rsid w:val="00C1511A"/>
    <w:rsid w:val="00C17381"/>
    <w:rsid w:val="00C213A3"/>
    <w:rsid w:val="00C21D59"/>
    <w:rsid w:val="00C221E0"/>
    <w:rsid w:val="00C235BE"/>
    <w:rsid w:val="00C237AA"/>
    <w:rsid w:val="00C244A0"/>
    <w:rsid w:val="00C24C9A"/>
    <w:rsid w:val="00C251D1"/>
    <w:rsid w:val="00C25A91"/>
    <w:rsid w:val="00C25DCA"/>
    <w:rsid w:val="00C26640"/>
    <w:rsid w:val="00C31053"/>
    <w:rsid w:val="00C319F5"/>
    <w:rsid w:val="00C31AD7"/>
    <w:rsid w:val="00C32FFC"/>
    <w:rsid w:val="00C33F80"/>
    <w:rsid w:val="00C34943"/>
    <w:rsid w:val="00C34AAC"/>
    <w:rsid w:val="00C3621B"/>
    <w:rsid w:val="00C36659"/>
    <w:rsid w:val="00C36D5D"/>
    <w:rsid w:val="00C36DBE"/>
    <w:rsid w:val="00C3713E"/>
    <w:rsid w:val="00C37C95"/>
    <w:rsid w:val="00C40AA0"/>
    <w:rsid w:val="00C41078"/>
    <w:rsid w:val="00C412DA"/>
    <w:rsid w:val="00C42B8F"/>
    <w:rsid w:val="00C43E2A"/>
    <w:rsid w:val="00C441B0"/>
    <w:rsid w:val="00C4426D"/>
    <w:rsid w:val="00C4528A"/>
    <w:rsid w:val="00C45CFF"/>
    <w:rsid w:val="00C461F5"/>
    <w:rsid w:val="00C502C5"/>
    <w:rsid w:val="00C51016"/>
    <w:rsid w:val="00C569B3"/>
    <w:rsid w:val="00C607B5"/>
    <w:rsid w:val="00C61009"/>
    <w:rsid w:val="00C62EE8"/>
    <w:rsid w:val="00C65A5B"/>
    <w:rsid w:val="00C709F2"/>
    <w:rsid w:val="00C71996"/>
    <w:rsid w:val="00C73308"/>
    <w:rsid w:val="00C73CB8"/>
    <w:rsid w:val="00C73D0B"/>
    <w:rsid w:val="00C7563F"/>
    <w:rsid w:val="00C77A29"/>
    <w:rsid w:val="00C83AAB"/>
    <w:rsid w:val="00C86611"/>
    <w:rsid w:val="00C87D54"/>
    <w:rsid w:val="00C906F9"/>
    <w:rsid w:val="00C920D8"/>
    <w:rsid w:val="00C9267C"/>
    <w:rsid w:val="00C93C38"/>
    <w:rsid w:val="00C9476A"/>
    <w:rsid w:val="00C970FC"/>
    <w:rsid w:val="00CA08FB"/>
    <w:rsid w:val="00CA0BF6"/>
    <w:rsid w:val="00CA1E19"/>
    <w:rsid w:val="00CA3649"/>
    <w:rsid w:val="00CA5B4B"/>
    <w:rsid w:val="00CA641A"/>
    <w:rsid w:val="00CA7613"/>
    <w:rsid w:val="00CB0BE7"/>
    <w:rsid w:val="00CB25B4"/>
    <w:rsid w:val="00CB4F4C"/>
    <w:rsid w:val="00CB553C"/>
    <w:rsid w:val="00CC03A0"/>
    <w:rsid w:val="00CC09FD"/>
    <w:rsid w:val="00CC1C8E"/>
    <w:rsid w:val="00CC25EB"/>
    <w:rsid w:val="00CC3BBF"/>
    <w:rsid w:val="00CC5C35"/>
    <w:rsid w:val="00CC691C"/>
    <w:rsid w:val="00CC6A01"/>
    <w:rsid w:val="00CD1169"/>
    <w:rsid w:val="00CD16BB"/>
    <w:rsid w:val="00CD17FF"/>
    <w:rsid w:val="00CD1DF3"/>
    <w:rsid w:val="00CD3560"/>
    <w:rsid w:val="00CD51C8"/>
    <w:rsid w:val="00CD5F3D"/>
    <w:rsid w:val="00CE11C5"/>
    <w:rsid w:val="00CE1507"/>
    <w:rsid w:val="00CE1AD3"/>
    <w:rsid w:val="00CE1FD4"/>
    <w:rsid w:val="00CE354A"/>
    <w:rsid w:val="00CE3F1E"/>
    <w:rsid w:val="00CE3FC5"/>
    <w:rsid w:val="00CE703D"/>
    <w:rsid w:val="00CF182F"/>
    <w:rsid w:val="00CF1D86"/>
    <w:rsid w:val="00CF2ED2"/>
    <w:rsid w:val="00CF3CC6"/>
    <w:rsid w:val="00CF57F6"/>
    <w:rsid w:val="00CF69FF"/>
    <w:rsid w:val="00CF6B38"/>
    <w:rsid w:val="00CF7EBD"/>
    <w:rsid w:val="00D002EE"/>
    <w:rsid w:val="00D01ABA"/>
    <w:rsid w:val="00D022DD"/>
    <w:rsid w:val="00D0294B"/>
    <w:rsid w:val="00D02BD8"/>
    <w:rsid w:val="00D04BDD"/>
    <w:rsid w:val="00D066C7"/>
    <w:rsid w:val="00D06772"/>
    <w:rsid w:val="00D06FC9"/>
    <w:rsid w:val="00D10598"/>
    <w:rsid w:val="00D10D91"/>
    <w:rsid w:val="00D12613"/>
    <w:rsid w:val="00D14F87"/>
    <w:rsid w:val="00D16448"/>
    <w:rsid w:val="00D164B7"/>
    <w:rsid w:val="00D20A5C"/>
    <w:rsid w:val="00D21BC2"/>
    <w:rsid w:val="00D224B5"/>
    <w:rsid w:val="00D23D3C"/>
    <w:rsid w:val="00D24115"/>
    <w:rsid w:val="00D25014"/>
    <w:rsid w:val="00D255B5"/>
    <w:rsid w:val="00D2700F"/>
    <w:rsid w:val="00D27FBA"/>
    <w:rsid w:val="00D303F7"/>
    <w:rsid w:val="00D30C0C"/>
    <w:rsid w:val="00D335AD"/>
    <w:rsid w:val="00D353B6"/>
    <w:rsid w:val="00D35AB6"/>
    <w:rsid w:val="00D36539"/>
    <w:rsid w:val="00D377EB"/>
    <w:rsid w:val="00D41A43"/>
    <w:rsid w:val="00D41C19"/>
    <w:rsid w:val="00D42423"/>
    <w:rsid w:val="00D46895"/>
    <w:rsid w:val="00D47235"/>
    <w:rsid w:val="00D476FD"/>
    <w:rsid w:val="00D47DB8"/>
    <w:rsid w:val="00D5077A"/>
    <w:rsid w:val="00D50918"/>
    <w:rsid w:val="00D50A2D"/>
    <w:rsid w:val="00D51191"/>
    <w:rsid w:val="00D51293"/>
    <w:rsid w:val="00D52147"/>
    <w:rsid w:val="00D53B18"/>
    <w:rsid w:val="00D543BE"/>
    <w:rsid w:val="00D574E5"/>
    <w:rsid w:val="00D60BAD"/>
    <w:rsid w:val="00D6208A"/>
    <w:rsid w:val="00D62D1D"/>
    <w:rsid w:val="00D65F0D"/>
    <w:rsid w:val="00D66A3C"/>
    <w:rsid w:val="00D6755A"/>
    <w:rsid w:val="00D70347"/>
    <w:rsid w:val="00D70371"/>
    <w:rsid w:val="00D70738"/>
    <w:rsid w:val="00D70745"/>
    <w:rsid w:val="00D73070"/>
    <w:rsid w:val="00D74FDF"/>
    <w:rsid w:val="00D750DF"/>
    <w:rsid w:val="00D75AED"/>
    <w:rsid w:val="00D7635E"/>
    <w:rsid w:val="00D765E5"/>
    <w:rsid w:val="00D76E15"/>
    <w:rsid w:val="00D801FA"/>
    <w:rsid w:val="00D80A29"/>
    <w:rsid w:val="00D81792"/>
    <w:rsid w:val="00D81EF1"/>
    <w:rsid w:val="00D824BE"/>
    <w:rsid w:val="00D83821"/>
    <w:rsid w:val="00D838C2"/>
    <w:rsid w:val="00D85467"/>
    <w:rsid w:val="00D866DA"/>
    <w:rsid w:val="00D87DDC"/>
    <w:rsid w:val="00D9008C"/>
    <w:rsid w:val="00D9021D"/>
    <w:rsid w:val="00D90FF0"/>
    <w:rsid w:val="00D92FBC"/>
    <w:rsid w:val="00D94B03"/>
    <w:rsid w:val="00D94B2F"/>
    <w:rsid w:val="00D95D2C"/>
    <w:rsid w:val="00D95D6F"/>
    <w:rsid w:val="00D9710C"/>
    <w:rsid w:val="00DA2716"/>
    <w:rsid w:val="00DA36B3"/>
    <w:rsid w:val="00DA51DE"/>
    <w:rsid w:val="00DA5C52"/>
    <w:rsid w:val="00DA6DE3"/>
    <w:rsid w:val="00DA7261"/>
    <w:rsid w:val="00DA790E"/>
    <w:rsid w:val="00DA7FAF"/>
    <w:rsid w:val="00DB0C18"/>
    <w:rsid w:val="00DB4354"/>
    <w:rsid w:val="00DB51A4"/>
    <w:rsid w:val="00DB704B"/>
    <w:rsid w:val="00DB76DF"/>
    <w:rsid w:val="00DB7E39"/>
    <w:rsid w:val="00DC09BA"/>
    <w:rsid w:val="00DC1533"/>
    <w:rsid w:val="00DC2236"/>
    <w:rsid w:val="00DC2677"/>
    <w:rsid w:val="00DC4013"/>
    <w:rsid w:val="00DC43E4"/>
    <w:rsid w:val="00DC5909"/>
    <w:rsid w:val="00DC6203"/>
    <w:rsid w:val="00DC6BE5"/>
    <w:rsid w:val="00DD0060"/>
    <w:rsid w:val="00DD0B8A"/>
    <w:rsid w:val="00DD2034"/>
    <w:rsid w:val="00DD32AC"/>
    <w:rsid w:val="00DD4091"/>
    <w:rsid w:val="00DD42CF"/>
    <w:rsid w:val="00DE008A"/>
    <w:rsid w:val="00DE022F"/>
    <w:rsid w:val="00DE04FB"/>
    <w:rsid w:val="00DE08F2"/>
    <w:rsid w:val="00DE3E23"/>
    <w:rsid w:val="00DE591E"/>
    <w:rsid w:val="00DF122B"/>
    <w:rsid w:val="00DF2472"/>
    <w:rsid w:val="00DF3762"/>
    <w:rsid w:val="00DF63DE"/>
    <w:rsid w:val="00DF665D"/>
    <w:rsid w:val="00DF6781"/>
    <w:rsid w:val="00DF695A"/>
    <w:rsid w:val="00E039C7"/>
    <w:rsid w:val="00E054DA"/>
    <w:rsid w:val="00E0578C"/>
    <w:rsid w:val="00E05B01"/>
    <w:rsid w:val="00E06895"/>
    <w:rsid w:val="00E07254"/>
    <w:rsid w:val="00E074B9"/>
    <w:rsid w:val="00E0791A"/>
    <w:rsid w:val="00E10AEC"/>
    <w:rsid w:val="00E113C6"/>
    <w:rsid w:val="00E13A90"/>
    <w:rsid w:val="00E14248"/>
    <w:rsid w:val="00E14372"/>
    <w:rsid w:val="00E159A2"/>
    <w:rsid w:val="00E16736"/>
    <w:rsid w:val="00E16BCD"/>
    <w:rsid w:val="00E17A2B"/>
    <w:rsid w:val="00E17AD5"/>
    <w:rsid w:val="00E2058D"/>
    <w:rsid w:val="00E22931"/>
    <w:rsid w:val="00E23784"/>
    <w:rsid w:val="00E23B24"/>
    <w:rsid w:val="00E24AF4"/>
    <w:rsid w:val="00E24B23"/>
    <w:rsid w:val="00E24D4E"/>
    <w:rsid w:val="00E25E35"/>
    <w:rsid w:val="00E25EEA"/>
    <w:rsid w:val="00E261E7"/>
    <w:rsid w:val="00E31195"/>
    <w:rsid w:val="00E31C7B"/>
    <w:rsid w:val="00E333DB"/>
    <w:rsid w:val="00E346C3"/>
    <w:rsid w:val="00E35AB3"/>
    <w:rsid w:val="00E36C7C"/>
    <w:rsid w:val="00E37654"/>
    <w:rsid w:val="00E40786"/>
    <w:rsid w:val="00E41163"/>
    <w:rsid w:val="00E45C2D"/>
    <w:rsid w:val="00E50044"/>
    <w:rsid w:val="00E50E8B"/>
    <w:rsid w:val="00E511CD"/>
    <w:rsid w:val="00E512FC"/>
    <w:rsid w:val="00E528D5"/>
    <w:rsid w:val="00E529D1"/>
    <w:rsid w:val="00E53264"/>
    <w:rsid w:val="00E54ABD"/>
    <w:rsid w:val="00E567AC"/>
    <w:rsid w:val="00E60A87"/>
    <w:rsid w:val="00E60B68"/>
    <w:rsid w:val="00E61A3B"/>
    <w:rsid w:val="00E61EFF"/>
    <w:rsid w:val="00E66877"/>
    <w:rsid w:val="00E67A5E"/>
    <w:rsid w:val="00E70B69"/>
    <w:rsid w:val="00E75C0B"/>
    <w:rsid w:val="00E763D5"/>
    <w:rsid w:val="00E76C1F"/>
    <w:rsid w:val="00E76D96"/>
    <w:rsid w:val="00E77E66"/>
    <w:rsid w:val="00E8030F"/>
    <w:rsid w:val="00E806E9"/>
    <w:rsid w:val="00E80F12"/>
    <w:rsid w:val="00E814B7"/>
    <w:rsid w:val="00E84437"/>
    <w:rsid w:val="00E84B9E"/>
    <w:rsid w:val="00E858BA"/>
    <w:rsid w:val="00E8735A"/>
    <w:rsid w:val="00E87AF7"/>
    <w:rsid w:val="00E90C68"/>
    <w:rsid w:val="00E92938"/>
    <w:rsid w:val="00E92C96"/>
    <w:rsid w:val="00E93678"/>
    <w:rsid w:val="00E93DFB"/>
    <w:rsid w:val="00E94534"/>
    <w:rsid w:val="00E94BB5"/>
    <w:rsid w:val="00E94EF1"/>
    <w:rsid w:val="00E94FD4"/>
    <w:rsid w:val="00E95635"/>
    <w:rsid w:val="00E9582E"/>
    <w:rsid w:val="00EA22E9"/>
    <w:rsid w:val="00EA38D5"/>
    <w:rsid w:val="00EA3964"/>
    <w:rsid w:val="00EA54B7"/>
    <w:rsid w:val="00EA5FAB"/>
    <w:rsid w:val="00EA7F03"/>
    <w:rsid w:val="00EB07C3"/>
    <w:rsid w:val="00EB2377"/>
    <w:rsid w:val="00EB2C60"/>
    <w:rsid w:val="00EB376F"/>
    <w:rsid w:val="00EB3B44"/>
    <w:rsid w:val="00EB3CE1"/>
    <w:rsid w:val="00EB4D19"/>
    <w:rsid w:val="00EB6C4C"/>
    <w:rsid w:val="00EC023B"/>
    <w:rsid w:val="00EC102F"/>
    <w:rsid w:val="00EC11CD"/>
    <w:rsid w:val="00EC2E99"/>
    <w:rsid w:val="00ED06A4"/>
    <w:rsid w:val="00ED1577"/>
    <w:rsid w:val="00ED1602"/>
    <w:rsid w:val="00ED2BE8"/>
    <w:rsid w:val="00ED4C1A"/>
    <w:rsid w:val="00ED7A47"/>
    <w:rsid w:val="00EE084B"/>
    <w:rsid w:val="00EE4600"/>
    <w:rsid w:val="00EE4BEA"/>
    <w:rsid w:val="00EE522E"/>
    <w:rsid w:val="00EE53AE"/>
    <w:rsid w:val="00EE59BE"/>
    <w:rsid w:val="00EE59F0"/>
    <w:rsid w:val="00EE6B78"/>
    <w:rsid w:val="00EE6BA1"/>
    <w:rsid w:val="00EE6BDA"/>
    <w:rsid w:val="00EE7073"/>
    <w:rsid w:val="00EF124D"/>
    <w:rsid w:val="00EF186E"/>
    <w:rsid w:val="00EF2ADD"/>
    <w:rsid w:val="00EF4450"/>
    <w:rsid w:val="00EF4B78"/>
    <w:rsid w:val="00EF64E2"/>
    <w:rsid w:val="00EF6A8C"/>
    <w:rsid w:val="00EF73F5"/>
    <w:rsid w:val="00EF7E08"/>
    <w:rsid w:val="00EF7E71"/>
    <w:rsid w:val="00F00E14"/>
    <w:rsid w:val="00F011E0"/>
    <w:rsid w:val="00F02387"/>
    <w:rsid w:val="00F03639"/>
    <w:rsid w:val="00F0777C"/>
    <w:rsid w:val="00F10C37"/>
    <w:rsid w:val="00F13180"/>
    <w:rsid w:val="00F1335A"/>
    <w:rsid w:val="00F13E6B"/>
    <w:rsid w:val="00F13EF4"/>
    <w:rsid w:val="00F1461C"/>
    <w:rsid w:val="00F151F0"/>
    <w:rsid w:val="00F1588E"/>
    <w:rsid w:val="00F166A9"/>
    <w:rsid w:val="00F16715"/>
    <w:rsid w:val="00F16C12"/>
    <w:rsid w:val="00F17084"/>
    <w:rsid w:val="00F1790A"/>
    <w:rsid w:val="00F20C55"/>
    <w:rsid w:val="00F2126B"/>
    <w:rsid w:val="00F216D0"/>
    <w:rsid w:val="00F22034"/>
    <w:rsid w:val="00F22598"/>
    <w:rsid w:val="00F226A7"/>
    <w:rsid w:val="00F238CF"/>
    <w:rsid w:val="00F2517F"/>
    <w:rsid w:val="00F259FC"/>
    <w:rsid w:val="00F2620E"/>
    <w:rsid w:val="00F26DB1"/>
    <w:rsid w:val="00F3131E"/>
    <w:rsid w:val="00F318E7"/>
    <w:rsid w:val="00F321E6"/>
    <w:rsid w:val="00F32784"/>
    <w:rsid w:val="00F33018"/>
    <w:rsid w:val="00F342C7"/>
    <w:rsid w:val="00F346AE"/>
    <w:rsid w:val="00F34727"/>
    <w:rsid w:val="00F35540"/>
    <w:rsid w:val="00F40E84"/>
    <w:rsid w:val="00F41538"/>
    <w:rsid w:val="00F42969"/>
    <w:rsid w:val="00F431AD"/>
    <w:rsid w:val="00F44983"/>
    <w:rsid w:val="00F46E9F"/>
    <w:rsid w:val="00F46FBB"/>
    <w:rsid w:val="00F4720E"/>
    <w:rsid w:val="00F47EF2"/>
    <w:rsid w:val="00F52631"/>
    <w:rsid w:val="00F526EB"/>
    <w:rsid w:val="00F52917"/>
    <w:rsid w:val="00F52E57"/>
    <w:rsid w:val="00F5445C"/>
    <w:rsid w:val="00F55319"/>
    <w:rsid w:val="00F554FD"/>
    <w:rsid w:val="00F564C2"/>
    <w:rsid w:val="00F57145"/>
    <w:rsid w:val="00F60027"/>
    <w:rsid w:val="00F61B5D"/>
    <w:rsid w:val="00F62EE9"/>
    <w:rsid w:val="00F65186"/>
    <w:rsid w:val="00F65387"/>
    <w:rsid w:val="00F65765"/>
    <w:rsid w:val="00F66742"/>
    <w:rsid w:val="00F66815"/>
    <w:rsid w:val="00F672A9"/>
    <w:rsid w:val="00F673C2"/>
    <w:rsid w:val="00F67738"/>
    <w:rsid w:val="00F67B58"/>
    <w:rsid w:val="00F70109"/>
    <w:rsid w:val="00F71DFC"/>
    <w:rsid w:val="00F721AB"/>
    <w:rsid w:val="00F7263A"/>
    <w:rsid w:val="00F72B9A"/>
    <w:rsid w:val="00F72E78"/>
    <w:rsid w:val="00F736B0"/>
    <w:rsid w:val="00F73973"/>
    <w:rsid w:val="00F74A1B"/>
    <w:rsid w:val="00F74A20"/>
    <w:rsid w:val="00F752C0"/>
    <w:rsid w:val="00F759A6"/>
    <w:rsid w:val="00F75BE1"/>
    <w:rsid w:val="00F75CD3"/>
    <w:rsid w:val="00F76FF2"/>
    <w:rsid w:val="00F779AE"/>
    <w:rsid w:val="00F80951"/>
    <w:rsid w:val="00F80A29"/>
    <w:rsid w:val="00F80F6E"/>
    <w:rsid w:val="00F816B7"/>
    <w:rsid w:val="00F81E98"/>
    <w:rsid w:val="00F83A95"/>
    <w:rsid w:val="00F859BF"/>
    <w:rsid w:val="00F85D5F"/>
    <w:rsid w:val="00F86B5D"/>
    <w:rsid w:val="00F87466"/>
    <w:rsid w:val="00F87BE7"/>
    <w:rsid w:val="00F921DA"/>
    <w:rsid w:val="00F92408"/>
    <w:rsid w:val="00F93A5E"/>
    <w:rsid w:val="00F93F37"/>
    <w:rsid w:val="00F94A9D"/>
    <w:rsid w:val="00F94DAC"/>
    <w:rsid w:val="00F97F5C"/>
    <w:rsid w:val="00FA23B7"/>
    <w:rsid w:val="00FA2EB8"/>
    <w:rsid w:val="00FA4FB6"/>
    <w:rsid w:val="00FA513A"/>
    <w:rsid w:val="00FB1C75"/>
    <w:rsid w:val="00FB1CC4"/>
    <w:rsid w:val="00FB52FD"/>
    <w:rsid w:val="00FB5B33"/>
    <w:rsid w:val="00FB77F2"/>
    <w:rsid w:val="00FB78D4"/>
    <w:rsid w:val="00FC0885"/>
    <w:rsid w:val="00FC3D1A"/>
    <w:rsid w:val="00FC40C6"/>
    <w:rsid w:val="00FC6747"/>
    <w:rsid w:val="00FC6F71"/>
    <w:rsid w:val="00FC742D"/>
    <w:rsid w:val="00FD00C2"/>
    <w:rsid w:val="00FD0C1B"/>
    <w:rsid w:val="00FD1468"/>
    <w:rsid w:val="00FD14D9"/>
    <w:rsid w:val="00FD220E"/>
    <w:rsid w:val="00FD2799"/>
    <w:rsid w:val="00FD38A3"/>
    <w:rsid w:val="00FD3EBB"/>
    <w:rsid w:val="00FD5474"/>
    <w:rsid w:val="00FD7DC5"/>
    <w:rsid w:val="00FE0B40"/>
    <w:rsid w:val="00FE23D2"/>
    <w:rsid w:val="00FE24C0"/>
    <w:rsid w:val="00FE333F"/>
    <w:rsid w:val="00FE4C06"/>
    <w:rsid w:val="00FE58D1"/>
    <w:rsid w:val="00FE5BF3"/>
    <w:rsid w:val="00FE612E"/>
    <w:rsid w:val="00FE7A38"/>
    <w:rsid w:val="00FE7AB0"/>
    <w:rsid w:val="00FF083C"/>
    <w:rsid w:val="00FF2081"/>
    <w:rsid w:val="00FF2A07"/>
    <w:rsid w:val="00FF35F4"/>
    <w:rsid w:val="00FF53F2"/>
    <w:rsid w:val="00FF54AE"/>
    <w:rsid w:val="00FF67C0"/>
    <w:rsid w:val="00FF7175"/>
    <w:rsid w:val="00FF72F9"/>
    <w:rsid w:val="00FF7628"/>
    <w:rsid w:val="00FF796D"/>
    <w:rsid w:val="00FF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2883"/>
  <w15:docId w15:val="{D446A5CA-6D1D-46D1-8C3D-1AB1A5C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5C5"/>
    <w:pPr>
      <w:spacing w:after="200" w:line="276" w:lineRule="auto"/>
    </w:pPr>
    <w:rPr>
      <w:sz w:val="22"/>
      <w:szCs w:val="22"/>
      <w:lang w:eastAsia="en-US"/>
    </w:rPr>
  </w:style>
  <w:style w:type="paragraph" w:styleId="Heading1">
    <w:name w:val="heading 1"/>
    <w:basedOn w:val="Normal"/>
    <w:next w:val="Normal"/>
    <w:link w:val="Heading1Char"/>
    <w:uiPriority w:val="9"/>
    <w:qFormat/>
    <w:rsid w:val="00852327"/>
    <w:pPr>
      <w:keepNext/>
      <w:spacing w:after="0"/>
      <w:outlineLvl w:val="0"/>
    </w:pPr>
    <w:rPr>
      <w:rFonts w:ascii="Arial" w:hAnsi="Arial" w:cs="Arial"/>
      <w:b/>
      <w:bCs/>
      <w:color w:val="0070C0"/>
      <w:sz w:val="32"/>
      <w:lang w:eastAsia="en-GB"/>
    </w:rPr>
  </w:style>
  <w:style w:type="paragraph" w:styleId="Heading2">
    <w:name w:val="heading 2"/>
    <w:basedOn w:val="TableBody"/>
    <w:next w:val="Normal"/>
    <w:link w:val="Heading2Char"/>
    <w:uiPriority w:val="9"/>
    <w:unhideWhenUsed/>
    <w:qFormat/>
    <w:rsid w:val="00852327"/>
    <w:pPr>
      <w:shd w:val="clear" w:color="auto" w:fill="FFFFFF"/>
      <w:spacing w:before="0" w:line="240" w:lineRule="auto"/>
      <w:outlineLvl w:val="1"/>
    </w:pPr>
    <w:rPr>
      <w:rFonts w:eastAsia="Times New Roman"/>
      <w:b/>
      <w:color w:val="0070C0"/>
      <w:sz w:val="24"/>
    </w:rPr>
  </w:style>
  <w:style w:type="paragraph" w:styleId="Heading3">
    <w:name w:val="heading 3"/>
    <w:basedOn w:val="Normal"/>
    <w:next w:val="Normal"/>
    <w:link w:val="Heading3Char"/>
    <w:qFormat/>
    <w:rsid w:val="00F74A20"/>
    <w:pPr>
      <w:keepNext/>
      <w:numPr>
        <w:ilvl w:val="2"/>
        <w:numId w:val="1"/>
      </w:numPr>
      <w:spacing w:after="0" w:line="240" w:lineRule="auto"/>
      <w:outlineLvl w:val="2"/>
    </w:pPr>
    <w:rPr>
      <w:rFonts w:ascii="Arial" w:eastAsia="Times New Roman" w:hAnsi="Arial"/>
      <w:b/>
      <w:color w:val="FFFFFF"/>
      <w:sz w:val="36"/>
      <w:szCs w:val="36"/>
    </w:rPr>
  </w:style>
  <w:style w:type="paragraph" w:styleId="Heading4">
    <w:name w:val="heading 4"/>
    <w:basedOn w:val="Normal"/>
    <w:next w:val="Normal"/>
    <w:link w:val="Heading4Char"/>
    <w:uiPriority w:val="9"/>
    <w:semiHidden/>
    <w:unhideWhenUsed/>
    <w:qFormat/>
    <w:rsid w:val="00F86B5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6B5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6B5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6B5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3422"/>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27"/>
    <w:rPr>
      <w:rFonts w:ascii="Arial" w:hAnsi="Arial" w:cs="Arial"/>
      <w:b/>
      <w:bCs/>
      <w:color w:val="0070C0"/>
      <w:sz w:val="32"/>
      <w:szCs w:val="22"/>
    </w:rPr>
  </w:style>
  <w:style w:type="character" w:customStyle="1" w:styleId="Heading2Char">
    <w:name w:val="Heading 2 Char"/>
    <w:link w:val="Heading2"/>
    <w:uiPriority w:val="9"/>
    <w:rsid w:val="00852327"/>
    <w:rPr>
      <w:rFonts w:ascii="Arial" w:eastAsia="Times New Roman" w:hAnsi="Arial" w:cs="Arial"/>
      <w:b/>
      <w:color w:val="0070C0"/>
      <w:sz w:val="24"/>
      <w:szCs w:val="22"/>
      <w:shd w:val="clear" w:color="auto" w:fill="FFFFFF"/>
      <w:lang w:val="en-US"/>
    </w:rPr>
  </w:style>
  <w:style w:type="character" w:customStyle="1" w:styleId="Heading3Char">
    <w:name w:val="Heading 3 Char"/>
    <w:link w:val="Heading3"/>
    <w:rsid w:val="00D02BD8"/>
    <w:rPr>
      <w:rFonts w:ascii="Arial" w:eastAsia="Times New Roman" w:hAnsi="Arial"/>
      <w:b/>
      <w:color w:val="FFFFFF"/>
      <w:sz w:val="36"/>
      <w:szCs w:val="36"/>
      <w:lang w:eastAsia="en-US"/>
    </w:rPr>
  </w:style>
  <w:style w:type="character" w:customStyle="1" w:styleId="Heading8Char">
    <w:name w:val="Heading 8 Char"/>
    <w:link w:val="Heading8"/>
    <w:uiPriority w:val="9"/>
    <w:semiHidden/>
    <w:rsid w:val="00923422"/>
    <w:rPr>
      <w:rFonts w:eastAsia="Times New Roman"/>
      <w:i/>
      <w:iCs/>
      <w:sz w:val="24"/>
      <w:szCs w:val="24"/>
      <w:lang w:eastAsia="en-US"/>
    </w:rPr>
  </w:style>
  <w:style w:type="character" w:customStyle="1" w:styleId="Heading9Char">
    <w:name w:val="Heading 9 Char"/>
    <w:link w:val="Heading9"/>
    <w:uiPriority w:val="9"/>
    <w:semiHidden/>
    <w:rsid w:val="0071169D"/>
    <w:rPr>
      <w:rFonts w:ascii="Cambria" w:eastAsia="Times New Roman" w:hAnsi="Cambria"/>
      <w:sz w:val="22"/>
      <w:szCs w:val="22"/>
      <w:lang w:eastAsia="en-US"/>
    </w:rPr>
  </w:style>
  <w:style w:type="paragraph" w:styleId="ListParagraph">
    <w:name w:val="List Paragraph"/>
    <w:basedOn w:val="Normal"/>
    <w:uiPriority w:val="34"/>
    <w:qFormat/>
    <w:rsid w:val="00F74A20"/>
    <w:pPr>
      <w:ind w:left="720"/>
      <w:contextualSpacing/>
    </w:pPr>
  </w:style>
  <w:style w:type="paragraph" w:styleId="BodyText">
    <w:name w:val="Body Text"/>
    <w:basedOn w:val="Normal"/>
    <w:link w:val="BodyTextChar"/>
    <w:uiPriority w:val="99"/>
    <w:semiHidden/>
    <w:rsid w:val="00F74A20"/>
    <w:pPr>
      <w:spacing w:after="0"/>
    </w:pPr>
    <w:rPr>
      <w:rFonts w:ascii="Arial" w:hAnsi="Arial" w:cs="Arial"/>
      <w:sz w:val="24"/>
    </w:rPr>
  </w:style>
  <w:style w:type="character" w:customStyle="1" w:styleId="BodyTextChar">
    <w:name w:val="Body Text Char"/>
    <w:basedOn w:val="DefaultParagraphFont"/>
    <w:link w:val="BodyText"/>
    <w:uiPriority w:val="99"/>
    <w:semiHidden/>
    <w:rsid w:val="003300D9"/>
    <w:rPr>
      <w:rFonts w:ascii="Arial" w:hAnsi="Arial" w:cs="Arial"/>
      <w:sz w:val="24"/>
      <w:szCs w:val="22"/>
      <w:lang w:eastAsia="en-US"/>
    </w:rPr>
  </w:style>
  <w:style w:type="paragraph" w:styleId="Header">
    <w:name w:val="header"/>
    <w:basedOn w:val="Normal"/>
    <w:link w:val="HeaderChar"/>
    <w:uiPriority w:val="99"/>
    <w:semiHidden/>
    <w:rsid w:val="00F74A20"/>
    <w:pPr>
      <w:tabs>
        <w:tab w:val="center" w:pos="4153"/>
        <w:tab w:val="right" w:pos="8306"/>
      </w:tabs>
    </w:pPr>
  </w:style>
  <w:style w:type="character" w:customStyle="1" w:styleId="HeaderChar">
    <w:name w:val="Header Char"/>
    <w:basedOn w:val="DefaultParagraphFont"/>
    <w:link w:val="Header"/>
    <w:uiPriority w:val="99"/>
    <w:semiHidden/>
    <w:rsid w:val="003300D9"/>
    <w:rPr>
      <w:sz w:val="22"/>
      <w:szCs w:val="22"/>
      <w:lang w:eastAsia="en-US"/>
    </w:rPr>
  </w:style>
  <w:style w:type="paragraph" w:styleId="Footer">
    <w:name w:val="footer"/>
    <w:basedOn w:val="Normal"/>
    <w:link w:val="FooterChar"/>
    <w:uiPriority w:val="99"/>
    <w:rsid w:val="00F74A20"/>
    <w:pPr>
      <w:tabs>
        <w:tab w:val="center" w:pos="4153"/>
        <w:tab w:val="right" w:pos="8306"/>
      </w:tabs>
    </w:pPr>
  </w:style>
  <w:style w:type="character" w:customStyle="1" w:styleId="FooterChar">
    <w:name w:val="Footer Char"/>
    <w:link w:val="Footer"/>
    <w:uiPriority w:val="99"/>
    <w:rsid w:val="00EF2ADD"/>
    <w:rPr>
      <w:sz w:val="22"/>
      <w:szCs w:val="22"/>
      <w:lang w:eastAsia="en-US"/>
    </w:rPr>
  </w:style>
  <w:style w:type="character" w:styleId="PageNumber">
    <w:name w:val="page number"/>
    <w:basedOn w:val="DefaultParagraphFont"/>
    <w:semiHidden/>
    <w:rsid w:val="00F74A20"/>
  </w:style>
  <w:style w:type="paragraph" w:styleId="BodyText2">
    <w:name w:val="Body Text 2"/>
    <w:basedOn w:val="Normal"/>
    <w:semiHidden/>
    <w:rsid w:val="00F74A20"/>
    <w:pPr>
      <w:spacing w:after="0"/>
    </w:pPr>
    <w:rPr>
      <w:rFonts w:ascii="Arial" w:hAnsi="Arial" w:cs="Arial"/>
      <w:bCs/>
      <w:color w:val="333333"/>
      <w:sz w:val="28"/>
    </w:rPr>
  </w:style>
  <w:style w:type="character" w:styleId="Hyperlink">
    <w:name w:val="Hyperlink"/>
    <w:uiPriority w:val="99"/>
    <w:unhideWhenUsed/>
    <w:rsid w:val="00F66742"/>
    <w:rPr>
      <w:color w:val="0000FF"/>
      <w:u w:val="single"/>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table" w:styleId="TableGrid">
    <w:name w:val="Table Grid"/>
    <w:basedOn w:val="TableNormal"/>
    <w:uiPriority w:val="59"/>
    <w:rsid w:val="0098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platename1">
    <w:name w:val="templatename1"/>
    <w:basedOn w:val="DefaultParagraphFont"/>
    <w:rsid w:val="00865BE1"/>
    <w:rPr>
      <w:rFonts w:ascii="Arial" w:hAnsi="Arial" w:cs="Arial" w:hint="default"/>
      <w:strike w:val="0"/>
      <w:dstrike w:val="0"/>
      <w:color w:val="FFFFFF"/>
      <w:sz w:val="32"/>
      <w:szCs w:val="32"/>
      <w:u w:val="none"/>
      <w:effect w:val="none"/>
    </w:rPr>
  </w:style>
  <w:style w:type="paragraph" w:customStyle="1" w:styleId="TableBody">
    <w:name w:val="Table Body"/>
    <w:basedOn w:val="Normal"/>
    <w:qFormat/>
    <w:rsid w:val="000C6463"/>
    <w:pPr>
      <w:spacing w:before="120" w:after="0"/>
    </w:pPr>
    <w:rPr>
      <w:rFonts w:ascii="Arial" w:hAnsi="Arial" w:cs="Arial"/>
      <w:lang w:val="en-US" w:eastAsia="en-GB"/>
    </w:rPr>
  </w:style>
  <w:style w:type="paragraph" w:customStyle="1" w:styleId="InternalControls">
    <w:name w:val="Internal Controls"/>
    <w:basedOn w:val="Normal"/>
    <w:qFormat/>
    <w:rsid w:val="008D0FF4"/>
    <w:pPr>
      <w:shd w:val="clear" w:color="auto" w:fill="FFFFFF"/>
      <w:spacing w:after="0" w:line="240" w:lineRule="auto"/>
    </w:pPr>
    <w:rPr>
      <w:rFonts w:ascii="Arial" w:eastAsia="Times New Roman" w:hAnsi="Arial" w:cs="Arial"/>
      <w:b/>
      <w:color w:val="FF0000"/>
      <w:lang w:eastAsia="en-GB"/>
    </w:rPr>
  </w:style>
  <w:style w:type="paragraph" w:customStyle="1" w:styleId="TableHeader">
    <w:name w:val="Table Header"/>
    <w:basedOn w:val="Normal"/>
    <w:next w:val="TableBody"/>
    <w:qFormat/>
    <w:rsid w:val="00852327"/>
    <w:pPr>
      <w:keepNext/>
      <w:shd w:val="clear" w:color="auto" w:fill="FFFFFF"/>
      <w:spacing w:after="0" w:line="240" w:lineRule="auto"/>
    </w:pPr>
    <w:rPr>
      <w:rFonts w:ascii="Arial" w:eastAsia="Times New Roman" w:hAnsi="Arial" w:cs="Arial"/>
      <w:b/>
      <w:color w:val="0070C0"/>
      <w:sz w:val="24"/>
      <w:szCs w:val="24"/>
      <w:lang w:val="en-US" w:eastAsia="en-GB"/>
    </w:rPr>
  </w:style>
  <w:style w:type="character" w:customStyle="1" w:styleId="Heading4Char">
    <w:name w:val="Heading 4 Char"/>
    <w:basedOn w:val="DefaultParagraphFont"/>
    <w:link w:val="Heading4"/>
    <w:uiPriority w:val="9"/>
    <w:semiHidden/>
    <w:rsid w:val="00F86B5D"/>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F86B5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F86B5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F86B5D"/>
    <w:rPr>
      <w:rFonts w:asciiTheme="majorHAnsi" w:eastAsiaTheme="majorEastAsia" w:hAnsiTheme="majorHAnsi" w:cstheme="majorBidi"/>
      <w:i/>
      <w:iCs/>
      <w:color w:val="404040" w:themeColor="text1" w:themeTint="BF"/>
      <w:sz w:val="22"/>
      <w:szCs w:val="22"/>
      <w:lang w:eastAsia="en-US"/>
    </w:rPr>
  </w:style>
  <w:style w:type="paragraph" w:styleId="Title">
    <w:name w:val="Title"/>
    <w:basedOn w:val="Heading1"/>
    <w:next w:val="Normal"/>
    <w:link w:val="TitleChar"/>
    <w:uiPriority w:val="10"/>
    <w:qFormat/>
    <w:rsid w:val="00607E1F"/>
    <w:rPr>
      <w:sz w:val="40"/>
    </w:rPr>
  </w:style>
  <w:style w:type="character" w:customStyle="1" w:styleId="TitleChar">
    <w:name w:val="Title Char"/>
    <w:basedOn w:val="DefaultParagraphFont"/>
    <w:link w:val="Title"/>
    <w:uiPriority w:val="10"/>
    <w:rsid w:val="00607E1F"/>
    <w:rPr>
      <w:rFonts w:ascii="Arial" w:hAnsi="Arial" w:cs="Arial"/>
      <w:b/>
      <w:bCs/>
      <w:color w:val="00B050"/>
      <w:sz w:val="40"/>
      <w:szCs w:val="22"/>
    </w:rPr>
  </w:style>
  <w:style w:type="paragraph" w:styleId="TOC2">
    <w:name w:val="toc 2"/>
    <w:basedOn w:val="Normal"/>
    <w:next w:val="Normal"/>
    <w:autoRedefine/>
    <w:uiPriority w:val="39"/>
    <w:unhideWhenUsed/>
    <w:rsid w:val="00D35AB6"/>
    <w:pPr>
      <w:spacing w:after="100"/>
      <w:ind w:left="220"/>
    </w:pPr>
  </w:style>
  <w:style w:type="paragraph" w:styleId="DocumentMap">
    <w:name w:val="Document Map"/>
    <w:basedOn w:val="Normal"/>
    <w:link w:val="DocumentMapChar"/>
    <w:uiPriority w:val="99"/>
    <w:semiHidden/>
    <w:unhideWhenUsed/>
    <w:rsid w:val="00BC56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564B"/>
    <w:rPr>
      <w:rFonts w:ascii="Tahoma" w:hAnsi="Tahoma" w:cs="Tahoma"/>
      <w:sz w:val="16"/>
      <w:szCs w:val="16"/>
      <w:lang w:eastAsia="en-US"/>
    </w:rPr>
  </w:style>
  <w:style w:type="character" w:styleId="FollowedHyperlink">
    <w:name w:val="FollowedHyperlink"/>
    <w:basedOn w:val="DefaultParagraphFont"/>
    <w:uiPriority w:val="99"/>
    <w:semiHidden/>
    <w:unhideWhenUsed/>
    <w:rsid w:val="001925E2"/>
    <w:rPr>
      <w:color w:val="800080" w:themeColor="followedHyperlink"/>
      <w:u w:val="single"/>
    </w:rPr>
  </w:style>
  <w:style w:type="paragraph" w:customStyle="1" w:styleId="Pa0">
    <w:name w:val="Pa0"/>
    <w:basedOn w:val="Default"/>
    <w:next w:val="Default"/>
    <w:uiPriority w:val="99"/>
    <w:rsid w:val="00AF24E4"/>
    <w:pPr>
      <w:spacing w:line="241" w:lineRule="atLeast"/>
    </w:pPr>
    <w:rPr>
      <w:rFonts w:eastAsiaTheme="minorHAnsi"/>
      <w:color w:val="auto"/>
      <w:lang w:eastAsia="en-US"/>
    </w:rPr>
  </w:style>
  <w:style w:type="character" w:customStyle="1" w:styleId="A2">
    <w:name w:val="A2"/>
    <w:uiPriority w:val="99"/>
    <w:rsid w:val="00AF24E4"/>
    <w:rPr>
      <w:color w:val="000000"/>
      <w:sz w:val="22"/>
      <w:szCs w:val="22"/>
    </w:rPr>
  </w:style>
  <w:style w:type="paragraph" w:styleId="TOC3">
    <w:name w:val="toc 3"/>
    <w:basedOn w:val="Normal"/>
    <w:next w:val="Normal"/>
    <w:autoRedefine/>
    <w:uiPriority w:val="39"/>
    <w:unhideWhenUsed/>
    <w:rsid w:val="00A07A77"/>
    <w:pPr>
      <w:spacing w:after="100"/>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A07A77"/>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A07A77"/>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A07A77"/>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A07A77"/>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A07A77"/>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A07A77"/>
    <w:pPr>
      <w:spacing w:after="100"/>
      <w:ind w:left="1760"/>
    </w:pPr>
    <w:rPr>
      <w:rFonts w:asciiTheme="minorHAnsi" w:eastAsiaTheme="minorEastAsia" w:hAnsiTheme="minorHAnsi" w:cstheme="minorBidi"/>
      <w:lang w:eastAsia="en-GB"/>
    </w:rPr>
  </w:style>
  <w:style w:type="paragraph" w:styleId="Revision">
    <w:name w:val="Revision"/>
    <w:hidden/>
    <w:uiPriority w:val="99"/>
    <w:semiHidden/>
    <w:rsid w:val="002C54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5344">
      <w:bodyDiv w:val="1"/>
      <w:marLeft w:val="0"/>
      <w:marRight w:val="0"/>
      <w:marTop w:val="0"/>
      <w:marBottom w:val="0"/>
      <w:divBdr>
        <w:top w:val="none" w:sz="0" w:space="0" w:color="auto"/>
        <w:left w:val="none" w:sz="0" w:space="0" w:color="auto"/>
        <w:bottom w:val="none" w:sz="0" w:space="0" w:color="auto"/>
        <w:right w:val="none" w:sz="0" w:space="0" w:color="auto"/>
      </w:divBdr>
      <w:divsChild>
        <w:div w:id="263879425">
          <w:marLeft w:val="547"/>
          <w:marRight w:val="0"/>
          <w:marTop w:val="86"/>
          <w:marBottom w:val="86"/>
          <w:divBdr>
            <w:top w:val="none" w:sz="0" w:space="0" w:color="auto"/>
            <w:left w:val="none" w:sz="0" w:space="0" w:color="auto"/>
            <w:bottom w:val="none" w:sz="0" w:space="0" w:color="auto"/>
            <w:right w:val="none" w:sz="0" w:space="0" w:color="auto"/>
          </w:divBdr>
        </w:div>
      </w:divsChild>
    </w:div>
    <w:div w:id="215048728">
      <w:bodyDiv w:val="1"/>
      <w:marLeft w:val="0"/>
      <w:marRight w:val="0"/>
      <w:marTop w:val="0"/>
      <w:marBottom w:val="0"/>
      <w:divBdr>
        <w:top w:val="none" w:sz="0" w:space="0" w:color="auto"/>
        <w:left w:val="none" w:sz="0" w:space="0" w:color="auto"/>
        <w:bottom w:val="none" w:sz="0" w:space="0" w:color="auto"/>
        <w:right w:val="none" w:sz="0" w:space="0" w:color="auto"/>
      </w:divBdr>
    </w:div>
    <w:div w:id="279996112">
      <w:bodyDiv w:val="1"/>
      <w:marLeft w:val="0"/>
      <w:marRight w:val="0"/>
      <w:marTop w:val="0"/>
      <w:marBottom w:val="0"/>
      <w:divBdr>
        <w:top w:val="none" w:sz="0" w:space="0" w:color="auto"/>
        <w:left w:val="none" w:sz="0" w:space="0" w:color="auto"/>
        <w:bottom w:val="none" w:sz="0" w:space="0" w:color="auto"/>
        <w:right w:val="none" w:sz="0" w:space="0" w:color="auto"/>
      </w:divBdr>
      <w:divsChild>
        <w:div w:id="1992639416">
          <w:marLeft w:val="0"/>
          <w:marRight w:val="0"/>
          <w:marTop w:val="0"/>
          <w:marBottom w:val="0"/>
          <w:divBdr>
            <w:top w:val="none" w:sz="0" w:space="0" w:color="auto"/>
            <w:left w:val="none" w:sz="0" w:space="0" w:color="auto"/>
            <w:bottom w:val="none" w:sz="0" w:space="0" w:color="auto"/>
            <w:right w:val="none" w:sz="0" w:space="0" w:color="auto"/>
          </w:divBdr>
          <w:divsChild>
            <w:div w:id="438990382">
              <w:marLeft w:val="0"/>
              <w:marRight w:val="0"/>
              <w:marTop w:val="0"/>
              <w:marBottom w:val="0"/>
              <w:divBdr>
                <w:top w:val="none" w:sz="0" w:space="0" w:color="auto"/>
                <w:left w:val="none" w:sz="0" w:space="0" w:color="auto"/>
                <w:bottom w:val="none" w:sz="0" w:space="0" w:color="auto"/>
                <w:right w:val="none" w:sz="0" w:space="0" w:color="auto"/>
              </w:divBdr>
              <w:divsChild>
                <w:div w:id="1975939150">
                  <w:marLeft w:val="0"/>
                  <w:marRight w:val="0"/>
                  <w:marTop w:val="0"/>
                  <w:marBottom w:val="0"/>
                  <w:divBdr>
                    <w:top w:val="none" w:sz="0" w:space="0" w:color="auto"/>
                    <w:left w:val="none" w:sz="0" w:space="0" w:color="auto"/>
                    <w:bottom w:val="none" w:sz="0" w:space="0" w:color="auto"/>
                    <w:right w:val="none" w:sz="0" w:space="0" w:color="auto"/>
                  </w:divBdr>
                  <w:divsChild>
                    <w:div w:id="1103191119">
                      <w:marLeft w:val="0"/>
                      <w:marRight w:val="0"/>
                      <w:marTop w:val="0"/>
                      <w:marBottom w:val="240"/>
                      <w:divBdr>
                        <w:top w:val="none" w:sz="0" w:space="0" w:color="auto"/>
                        <w:left w:val="none" w:sz="0" w:space="0" w:color="auto"/>
                        <w:bottom w:val="none" w:sz="0" w:space="0" w:color="auto"/>
                        <w:right w:val="none" w:sz="0" w:space="0" w:color="auto"/>
                      </w:divBdr>
                      <w:divsChild>
                        <w:div w:id="1928883323">
                          <w:marLeft w:val="0"/>
                          <w:marRight w:val="0"/>
                          <w:marTop w:val="0"/>
                          <w:marBottom w:val="0"/>
                          <w:divBdr>
                            <w:top w:val="none" w:sz="0" w:space="0" w:color="auto"/>
                            <w:left w:val="none" w:sz="0" w:space="0" w:color="auto"/>
                            <w:bottom w:val="none" w:sz="0" w:space="0" w:color="auto"/>
                            <w:right w:val="none" w:sz="0" w:space="0" w:color="auto"/>
                          </w:divBdr>
                          <w:divsChild>
                            <w:div w:id="469440553">
                              <w:marLeft w:val="0"/>
                              <w:marRight w:val="0"/>
                              <w:marTop w:val="0"/>
                              <w:marBottom w:val="360"/>
                              <w:divBdr>
                                <w:top w:val="none" w:sz="0" w:space="0" w:color="048C4A"/>
                                <w:left w:val="none" w:sz="0" w:space="0" w:color="048C4A"/>
                                <w:bottom w:val="none" w:sz="0" w:space="0" w:color="048C4A"/>
                                <w:right w:val="none" w:sz="0" w:space="0" w:color="048C4A"/>
                              </w:divBdr>
                              <w:divsChild>
                                <w:div w:id="661010106">
                                  <w:marLeft w:val="0"/>
                                  <w:marRight w:val="0"/>
                                  <w:marTop w:val="0"/>
                                  <w:marBottom w:val="0"/>
                                  <w:divBdr>
                                    <w:top w:val="none" w:sz="0" w:space="0" w:color="auto"/>
                                    <w:left w:val="none" w:sz="0" w:space="0" w:color="auto"/>
                                    <w:bottom w:val="none" w:sz="0" w:space="0" w:color="auto"/>
                                    <w:right w:val="none" w:sz="0" w:space="0" w:color="auto"/>
                                  </w:divBdr>
                                  <w:divsChild>
                                    <w:div w:id="10381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7837">
      <w:bodyDiv w:val="1"/>
      <w:marLeft w:val="0"/>
      <w:marRight w:val="0"/>
      <w:marTop w:val="0"/>
      <w:marBottom w:val="0"/>
      <w:divBdr>
        <w:top w:val="none" w:sz="0" w:space="0" w:color="auto"/>
        <w:left w:val="none" w:sz="0" w:space="0" w:color="auto"/>
        <w:bottom w:val="none" w:sz="0" w:space="0" w:color="auto"/>
        <w:right w:val="none" w:sz="0" w:space="0" w:color="auto"/>
      </w:divBdr>
    </w:div>
    <w:div w:id="632177851">
      <w:bodyDiv w:val="1"/>
      <w:marLeft w:val="0"/>
      <w:marRight w:val="0"/>
      <w:marTop w:val="0"/>
      <w:marBottom w:val="0"/>
      <w:divBdr>
        <w:top w:val="none" w:sz="0" w:space="0" w:color="auto"/>
        <w:left w:val="none" w:sz="0" w:space="0" w:color="auto"/>
        <w:bottom w:val="none" w:sz="0" w:space="0" w:color="auto"/>
        <w:right w:val="none" w:sz="0" w:space="0" w:color="auto"/>
      </w:divBdr>
    </w:div>
    <w:div w:id="746997009">
      <w:bodyDiv w:val="1"/>
      <w:marLeft w:val="0"/>
      <w:marRight w:val="0"/>
      <w:marTop w:val="0"/>
      <w:marBottom w:val="0"/>
      <w:divBdr>
        <w:top w:val="none" w:sz="0" w:space="0" w:color="auto"/>
        <w:left w:val="none" w:sz="0" w:space="0" w:color="auto"/>
        <w:bottom w:val="none" w:sz="0" w:space="0" w:color="auto"/>
        <w:right w:val="none" w:sz="0" w:space="0" w:color="auto"/>
      </w:divBdr>
      <w:divsChild>
        <w:div w:id="2027098855">
          <w:marLeft w:val="0"/>
          <w:marRight w:val="0"/>
          <w:marTop w:val="0"/>
          <w:marBottom w:val="0"/>
          <w:divBdr>
            <w:top w:val="none" w:sz="0" w:space="0" w:color="auto"/>
            <w:left w:val="none" w:sz="0" w:space="0" w:color="auto"/>
            <w:bottom w:val="none" w:sz="0" w:space="0" w:color="auto"/>
            <w:right w:val="none" w:sz="0" w:space="0" w:color="auto"/>
          </w:divBdr>
          <w:divsChild>
            <w:div w:id="1680041103">
              <w:marLeft w:val="0"/>
              <w:marRight w:val="0"/>
              <w:marTop w:val="0"/>
              <w:marBottom w:val="0"/>
              <w:divBdr>
                <w:top w:val="none" w:sz="0" w:space="0" w:color="auto"/>
                <w:left w:val="none" w:sz="0" w:space="0" w:color="auto"/>
                <w:bottom w:val="none" w:sz="0" w:space="0" w:color="auto"/>
                <w:right w:val="none" w:sz="0" w:space="0" w:color="auto"/>
              </w:divBdr>
              <w:divsChild>
                <w:div w:id="1438210110">
                  <w:marLeft w:val="0"/>
                  <w:marRight w:val="0"/>
                  <w:marTop w:val="0"/>
                  <w:marBottom w:val="0"/>
                  <w:divBdr>
                    <w:top w:val="none" w:sz="0" w:space="0" w:color="auto"/>
                    <w:left w:val="none" w:sz="0" w:space="0" w:color="auto"/>
                    <w:bottom w:val="none" w:sz="0" w:space="0" w:color="auto"/>
                    <w:right w:val="none" w:sz="0" w:space="0" w:color="auto"/>
                  </w:divBdr>
                  <w:divsChild>
                    <w:div w:id="1217159070">
                      <w:marLeft w:val="0"/>
                      <w:marRight w:val="0"/>
                      <w:marTop w:val="0"/>
                      <w:marBottom w:val="240"/>
                      <w:divBdr>
                        <w:top w:val="none" w:sz="0" w:space="0" w:color="auto"/>
                        <w:left w:val="none" w:sz="0" w:space="0" w:color="auto"/>
                        <w:bottom w:val="none" w:sz="0" w:space="0" w:color="auto"/>
                        <w:right w:val="none" w:sz="0" w:space="0" w:color="auto"/>
                      </w:divBdr>
                      <w:divsChild>
                        <w:div w:id="1107508287">
                          <w:marLeft w:val="0"/>
                          <w:marRight w:val="0"/>
                          <w:marTop w:val="0"/>
                          <w:marBottom w:val="0"/>
                          <w:divBdr>
                            <w:top w:val="none" w:sz="0" w:space="0" w:color="auto"/>
                            <w:left w:val="none" w:sz="0" w:space="0" w:color="auto"/>
                            <w:bottom w:val="none" w:sz="0" w:space="0" w:color="auto"/>
                            <w:right w:val="none" w:sz="0" w:space="0" w:color="auto"/>
                          </w:divBdr>
                          <w:divsChild>
                            <w:div w:id="347214507">
                              <w:marLeft w:val="0"/>
                              <w:marRight w:val="0"/>
                              <w:marTop w:val="0"/>
                              <w:marBottom w:val="360"/>
                              <w:divBdr>
                                <w:top w:val="none" w:sz="0" w:space="0" w:color="048C4A"/>
                                <w:left w:val="none" w:sz="0" w:space="0" w:color="048C4A"/>
                                <w:bottom w:val="none" w:sz="0" w:space="0" w:color="048C4A"/>
                                <w:right w:val="none" w:sz="0" w:space="0" w:color="048C4A"/>
                              </w:divBdr>
                              <w:divsChild>
                                <w:div w:id="1396926271">
                                  <w:marLeft w:val="0"/>
                                  <w:marRight w:val="0"/>
                                  <w:marTop w:val="0"/>
                                  <w:marBottom w:val="0"/>
                                  <w:divBdr>
                                    <w:top w:val="none" w:sz="0" w:space="0" w:color="auto"/>
                                    <w:left w:val="none" w:sz="0" w:space="0" w:color="auto"/>
                                    <w:bottom w:val="none" w:sz="0" w:space="0" w:color="auto"/>
                                    <w:right w:val="none" w:sz="0" w:space="0" w:color="auto"/>
                                  </w:divBdr>
                                  <w:divsChild>
                                    <w:div w:id="1504663604">
                                      <w:marLeft w:val="0"/>
                                      <w:marRight w:val="0"/>
                                      <w:marTop w:val="0"/>
                                      <w:marBottom w:val="0"/>
                                      <w:divBdr>
                                        <w:top w:val="none" w:sz="0" w:space="0" w:color="auto"/>
                                        <w:left w:val="none" w:sz="0" w:space="0" w:color="auto"/>
                                        <w:bottom w:val="none" w:sz="0" w:space="0" w:color="auto"/>
                                        <w:right w:val="none" w:sz="0" w:space="0" w:color="auto"/>
                                      </w:divBdr>
                                      <w:divsChild>
                                        <w:div w:id="442457477">
                                          <w:marLeft w:val="0"/>
                                          <w:marRight w:val="0"/>
                                          <w:marTop w:val="0"/>
                                          <w:marBottom w:val="0"/>
                                          <w:divBdr>
                                            <w:top w:val="none" w:sz="0" w:space="0" w:color="auto"/>
                                            <w:left w:val="none" w:sz="0" w:space="0" w:color="auto"/>
                                            <w:bottom w:val="none" w:sz="0" w:space="0" w:color="auto"/>
                                            <w:right w:val="none" w:sz="0" w:space="0" w:color="auto"/>
                                          </w:divBdr>
                                        </w:div>
                                        <w:div w:id="18420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896002">
      <w:bodyDiv w:val="1"/>
      <w:marLeft w:val="0"/>
      <w:marRight w:val="0"/>
      <w:marTop w:val="0"/>
      <w:marBottom w:val="0"/>
      <w:divBdr>
        <w:top w:val="none" w:sz="0" w:space="0" w:color="auto"/>
        <w:left w:val="none" w:sz="0" w:space="0" w:color="auto"/>
        <w:bottom w:val="none" w:sz="0" w:space="0" w:color="auto"/>
        <w:right w:val="none" w:sz="0" w:space="0" w:color="auto"/>
      </w:divBdr>
    </w:div>
    <w:div w:id="928736128">
      <w:bodyDiv w:val="1"/>
      <w:marLeft w:val="0"/>
      <w:marRight w:val="0"/>
      <w:marTop w:val="0"/>
      <w:marBottom w:val="0"/>
      <w:divBdr>
        <w:top w:val="none" w:sz="0" w:space="0" w:color="auto"/>
        <w:left w:val="none" w:sz="0" w:space="0" w:color="auto"/>
        <w:bottom w:val="none" w:sz="0" w:space="0" w:color="auto"/>
        <w:right w:val="none" w:sz="0" w:space="0" w:color="auto"/>
      </w:divBdr>
    </w:div>
    <w:div w:id="989485314">
      <w:bodyDiv w:val="1"/>
      <w:marLeft w:val="0"/>
      <w:marRight w:val="0"/>
      <w:marTop w:val="0"/>
      <w:marBottom w:val="0"/>
      <w:divBdr>
        <w:top w:val="none" w:sz="0" w:space="0" w:color="auto"/>
        <w:left w:val="none" w:sz="0" w:space="0" w:color="auto"/>
        <w:bottom w:val="none" w:sz="0" w:space="0" w:color="auto"/>
        <w:right w:val="none" w:sz="0" w:space="0" w:color="auto"/>
      </w:divBdr>
      <w:divsChild>
        <w:div w:id="1486897008">
          <w:marLeft w:val="547"/>
          <w:marRight w:val="0"/>
          <w:marTop w:val="86"/>
          <w:marBottom w:val="86"/>
          <w:divBdr>
            <w:top w:val="none" w:sz="0" w:space="0" w:color="auto"/>
            <w:left w:val="none" w:sz="0" w:space="0" w:color="auto"/>
            <w:bottom w:val="none" w:sz="0" w:space="0" w:color="auto"/>
            <w:right w:val="none" w:sz="0" w:space="0" w:color="auto"/>
          </w:divBdr>
        </w:div>
      </w:divsChild>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3496">
      <w:bodyDiv w:val="1"/>
      <w:marLeft w:val="0"/>
      <w:marRight w:val="0"/>
      <w:marTop w:val="0"/>
      <w:marBottom w:val="0"/>
      <w:divBdr>
        <w:top w:val="none" w:sz="0" w:space="0" w:color="auto"/>
        <w:left w:val="none" w:sz="0" w:space="0" w:color="auto"/>
        <w:bottom w:val="none" w:sz="0" w:space="0" w:color="auto"/>
        <w:right w:val="none" w:sz="0" w:space="0" w:color="auto"/>
      </w:divBdr>
      <w:divsChild>
        <w:div w:id="489635539">
          <w:marLeft w:val="0"/>
          <w:marRight w:val="0"/>
          <w:marTop w:val="0"/>
          <w:marBottom w:val="0"/>
          <w:divBdr>
            <w:top w:val="none" w:sz="0" w:space="0" w:color="auto"/>
            <w:left w:val="none" w:sz="0" w:space="0" w:color="auto"/>
            <w:bottom w:val="none" w:sz="0" w:space="0" w:color="auto"/>
            <w:right w:val="none" w:sz="0" w:space="0" w:color="auto"/>
          </w:divBdr>
          <w:divsChild>
            <w:div w:id="163664212">
              <w:marLeft w:val="0"/>
              <w:marRight w:val="0"/>
              <w:marTop w:val="0"/>
              <w:marBottom w:val="0"/>
              <w:divBdr>
                <w:top w:val="none" w:sz="0" w:space="0" w:color="auto"/>
                <w:left w:val="none" w:sz="0" w:space="0" w:color="auto"/>
                <w:bottom w:val="none" w:sz="0" w:space="0" w:color="auto"/>
                <w:right w:val="none" w:sz="0" w:space="0" w:color="auto"/>
              </w:divBdr>
              <w:divsChild>
                <w:div w:id="1014185662">
                  <w:marLeft w:val="0"/>
                  <w:marRight w:val="0"/>
                  <w:marTop w:val="0"/>
                  <w:marBottom w:val="0"/>
                  <w:divBdr>
                    <w:top w:val="none" w:sz="0" w:space="0" w:color="auto"/>
                    <w:left w:val="none" w:sz="0" w:space="0" w:color="auto"/>
                    <w:bottom w:val="none" w:sz="0" w:space="0" w:color="auto"/>
                    <w:right w:val="none" w:sz="0" w:space="0" w:color="auto"/>
                  </w:divBdr>
                  <w:divsChild>
                    <w:div w:id="1518471223">
                      <w:marLeft w:val="0"/>
                      <w:marRight w:val="0"/>
                      <w:marTop w:val="0"/>
                      <w:marBottom w:val="240"/>
                      <w:divBdr>
                        <w:top w:val="none" w:sz="0" w:space="0" w:color="auto"/>
                        <w:left w:val="none" w:sz="0" w:space="0" w:color="auto"/>
                        <w:bottom w:val="none" w:sz="0" w:space="0" w:color="auto"/>
                        <w:right w:val="none" w:sz="0" w:space="0" w:color="auto"/>
                      </w:divBdr>
                      <w:divsChild>
                        <w:div w:id="268008729">
                          <w:marLeft w:val="0"/>
                          <w:marRight w:val="0"/>
                          <w:marTop w:val="0"/>
                          <w:marBottom w:val="0"/>
                          <w:divBdr>
                            <w:top w:val="none" w:sz="0" w:space="0" w:color="auto"/>
                            <w:left w:val="none" w:sz="0" w:space="0" w:color="auto"/>
                            <w:bottom w:val="none" w:sz="0" w:space="0" w:color="auto"/>
                            <w:right w:val="none" w:sz="0" w:space="0" w:color="auto"/>
                          </w:divBdr>
                          <w:divsChild>
                            <w:div w:id="688600792">
                              <w:marLeft w:val="0"/>
                              <w:marRight w:val="0"/>
                              <w:marTop w:val="0"/>
                              <w:marBottom w:val="360"/>
                              <w:divBdr>
                                <w:top w:val="none" w:sz="0" w:space="0" w:color="048C4A"/>
                                <w:left w:val="none" w:sz="0" w:space="0" w:color="048C4A"/>
                                <w:bottom w:val="none" w:sz="0" w:space="0" w:color="048C4A"/>
                                <w:right w:val="none" w:sz="0" w:space="0" w:color="048C4A"/>
                              </w:divBdr>
                              <w:divsChild>
                                <w:div w:id="1573201593">
                                  <w:marLeft w:val="0"/>
                                  <w:marRight w:val="0"/>
                                  <w:marTop w:val="0"/>
                                  <w:marBottom w:val="0"/>
                                  <w:divBdr>
                                    <w:top w:val="none" w:sz="0" w:space="0" w:color="auto"/>
                                    <w:left w:val="none" w:sz="0" w:space="0" w:color="auto"/>
                                    <w:bottom w:val="none" w:sz="0" w:space="0" w:color="auto"/>
                                    <w:right w:val="none" w:sz="0" w:space="0" w:color="auto"/>
                                  </w:divBdr>
                                  <w:divsChild>
                                    <w:div w:id="1992440855">
                                      <w:marLeft w:val="0"/>
                                      <w:marRight w:val="0"/>
                                      <w:marTop w:val="0"/>
                                      <w:marBottom w:val="0"/>
                                      <w:divBdr>
                                        <w:top w:val="none" w:sz="0" w:space="0" w:color="auto"/>
                                        <w:left w:val="none" w:sz="0" w:space="0" w:color="auto"/>
                                        <w:bottom w:val="none" w:sz="0" w:space="0" w:color="auto"/>
                                        <w:right w:val="none" w:sz="0" w:space="0" w:color="auto"/>
                                      </w:divBdr>
                                      <w:divsChild>
                                        <w:div w:id="4075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12783">
      <w:bodyDiv w:val="1"/>
      <w:marLeft w:val="0"/>
      <w:marRight w:val="0"/>
      <w:marTop w:val="0"/>
      <w:marBottom w:val="0"/>
      <w:divBdr>
        <w:top w:val="none" w:sz="0" w:space="0" w:color="auto"/>
        <w:left w:val="none" w:sz="0" w:space="0" w:color="auto"/>
        <w:bottom w:val="none" w:sz="0" w:space="0" w:color="auto"/>
        <w:right w:val="none" w:sz="0" w:space="0" w:color="auto"/>
      </w:divBdr>
      <w:divsChild>
        <w:div w:id="1083987565">
          <w:marLeft w:val="0"/>
          <w:marRight w:val="0"/>
          <w:marTop w:val="0"/>
          <w:marBottom w:val="0"/>
          <w:divBdr>
            <w:top w:val="none" w:sz="0" w:space="0" w:color="auto"/>
            <w:left w:val="none" w:sz="0" w:space="0" w:color="auto"/>
            <w:bottom w:val="none" w:sz="0" w:space="0" w:color="auto"/>
            <w:right w:val="none" w:sz="0" w:space="0" w:color="auto"/>
          </w:divBdr>
          <w:divsChild>
            <w:div w:id="403185364">
              <w:marLeft w:val="0"/>
              <w:marRight w:val="0"/>
              <w:marTop w:val="0"/>
              <w:marBottom w:val="0"/>
              <w:divBdr>
                <w:top w:val="none" w:sz="0" w:space="0" w:color="auto"/>
                <w:left w:val="none" w:sz="0" w:space="0" w:color="auto"/>
                <w:bottom w:val="none" w:sz="0" w:space="0" w:color="auto"/>
                <w:right w:val="none" w:sz="0" w:space="0" w:color="auto"/>
              </w:divBdr>
              <w:divsChild>
                <w:div w:id="386343856">
                  <w:marLeft w:val="0"/>
                  <w:marRight w:val="0"/>
                  <w:marTop w:val="0"/>
                  <w:marBottom w:val="0"/>
                  <w:divBdr>
                    <w:top w:val="none" w:sz="0" w:space="0" w:color="auto"/>
                    <w:left w:val="none" w:sz="0" w:space="0" w:color="auto"/>
                    <w:bottom w:val="none" w:sz="0" w:space="0" w:color="auto"/>
                    <w:right w:val="none" w:sz="0" w:space="0" w:color="auto"/>
                  </w:divBdr>
                  <w:divsChild>
                    <w:div w:id="979072039">
                      <w:marLeft w:val="0"/>
                      <w:marRight w:val="0"/>
                      <w:marTop w:val="0"/>
                      <w:marBottom w:val="240"/>
                      <w:divBdr>
                        <w:top w:val="none" w:sz="0" w:space="0" w:color="auto"/>
                        <w:left w:val="none" w:sz="0" w:space="0" w:color="auto"/>
                        <w:bottom w:val="none" w:sz="0" w:space="0" w:color="auto"/>
                        <w:right w:val="none" w:sz="0" w:space="0" w:color="auto"/>
                      </w:divBdr>
                      <w:divsChild>
                        <w:div w:id="1545217402">
                          <w:marLeft w:val="0"/>
                          <w:marRight w:val="0"/>
                          <w:marTop w:val="0"/>
                          <w:marBottom w:val="0"/>
                          <w:divBdr>
                            <w:top w:val="none" w:sz="0" w:space="0" w:color="auto"/>
                            <w:left w:val="none" w:sz="0" w:space="0" w:color="auto"/>
                            <w:bottom w:val="none" w:sz="0" w:space="0" w:color="auto"/>
                            <w:right w:val="none" w:sz="0" w:space="0" w:color="auto"/>
                          </w:divBdr>
                          <w:divsChild>
                            <w:div w:id="1378427985">
                              <w:marLeft w:val="0"/>
                              <w:marRight w:val="0"/>
                              <w:marTop w:val="0"/>
                              <w:marBottom w:val="360"/>
                              <w:divBdr>
                                <w:top w:val="none" w:sz="0" w:space="0" w:color="048C4A"/>
                                <w:left w:val="none" w:sz="0" w:space="0" w:color="048C4A"/>
                                <w:bottom w:val="none" w:sz="0" w:space="0" w:color="048C4A"/>
                                <w:right w:val="none" w:sz="0" w:space="0" w:color="048C4A"/>
                              </w:divBdr>
                              <w:divsChild>
                                <w:div w:id="204173459">
                                  <w:marLeft w:val="0"/>
                                  <w:marRight w:val="0"/>
                                  <w:marTop w:val="0"/>
                                  <w:marBottom w:val="0"/>
                                  <w:divBdr>
                                    <w:top w:val="none" w:sz="0" w:space="0" w:color="auto"/>
                                    <w:left w:val="none" w:sz="0" w:space="0" w:color="auto"/>
                                    <w:bottom w:val="none" w:sz="0" w:space="0" w:color="auto"/>
                                    <w:right w:val="none" w:sz="0" w:space="0" w:color="auto"/>
                                  </w:divBdr>
                                  <w:divsChild>
                                    <w:div w:id="1036196666">
                                      <w:marLeft w:val="0"/>
                                      <w:marRight w:val="0"/>
                                      <w:marTop w:val="0"/>
                                      <w:marBottom w:val="0"/>
                                      <w:divBdr>
                                        <w:top w:val="none" w:sz="0" w:space="0" w:color="auto"/>
                                        <w:left w:val="none" w:sz="0" w:space="0" w:color="auto"/>
                                        <w:bottom w:val="none" w:sz="0" w:space="0" w:color="auto"/>
                                        <w:right w:val="none" w:sz="0" w:space="0" w:color="auto"/>
                                      </w:divBdr>
                                      <w:divsChild>
                                        <w:div w:id="740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4203">
      <w:bodyDiv w:val="1"/>
      <w:marLeft w:val="0"/>
      <w:marRight w:val="0"/>
      <w:marTop w:val="0"/>
      <w:marBottom w:val="0"/>
      <w:divBdr>
        <w:top w:val="none" w:sz="0" w:space="0" w:color="auto"/>
        <w:left w:val="none" w:sz="0" w:space="0" w:color="auto"/>
        <w:bottom w:val="none" w:sz="0" w:space="0" w:color="auto"/>
        <w:right w:val="none" w:sz="0" w:space="0" w:color="auto"/>
      </w:divBdr>
    </w:div>
    <w:div w:id="1367559166">
      <w:bodyDiv w:val="1"/>
      <w:marLeft w:val="0"/>
      <w:marRight w:val="0"/>
      <w:marTop w:val="0"/>
      <w:marBottom w:val="0"/>
      <w:divBdr>
        <w:top w:val="none" w:sz="0" w:space="0" w:color="auto"/>
        <w:left w:val="none" w:sz="0" w:space="0" w:color="auto"/>
        <w:bottom w:val="none" w:sz="0" w:space="0" w:color="auto"/>
        <w:right w:val="none" w:sz="0" w:space="0" w:color="auto"/>
      </w:divBdr>
      <w:divsChild>
        <w:div w:id="1136919251">
          <w:marLeft w:val="0"/>
          <w:marRight w:val="0"/>
          <w:marTop w:val="0"/>
          <w:marBottom w:val="0"/>
          <w:divBdr>
            <w:top w:val="none" w:sz="0" w:space="0" w:color="auto"/>
            <w:left w:val="none" w:sz="0" w:space="0" w:color="auto"/>
            <w:bottom w:val="none" w:sz="0" w:space="0" w:color="auto"/>
            <w:right w:val="none" w:sz="0" w:space="0" w:color="auto"/>
          </w:divBdr>
          <w:divsChild>
            <w:div w:id="999113975">
              <w:marLeft w:val="0"/>
              <w:marRight w:val="0"/>
              <w:marTop w:val="0"/>
              <w:marBottom w:val="0"/>
              <w:divBdr>
                <w:top w:val="none" w:sz="0" w:space="0" w:color="auto"/>
                <w:left w:val="none" w:sz="0" w:space="0" w:color="auto"/>
                <w:bottom w:val="none" w:sz="0" w:space="0" w:color="auto"/>
                <w:right w:val="none" w:sz="0" w:space="0" w:color="auto"/>
              </w:divBdr>
              <w:divsChild>
                <w:div w:id="2093745190">
                  <w:marLeft w:val="0"/>
                  <w:marRight w:val="0"/>
                  <w:marTop w:val="0"/>
                  <w:marBottom w:val="0"/>
                  <w:divBdr>
                    <w:top w:val="none" w:sz="0" w:space="0" w:color="auto"/>
                    <w:left w:val="none" w:sz="0" w:space="0" w:color="auto"/>
                    <w:bottom w:val="none" w:sz="0" w:space="0" w:color="auto"/>
                    <w:right w:val="none" w:sz="0" w:space="0" w:color="auto"/>
                  </w:divBdr>
                  <w:divsChild>
                    <w:div w:id="1777943753">
                      <w:marLeft w:val="0"/>
                      <w:marRight w:val="0"/>
                      <w:marTop w:val="0"/>
                      <w:marBottom w:val="240"/>
                      <w:divBdr>
                        <w:top w:val="none" w:sz="0" w:space="0" w:color="auto"/>
                        <w:left w:val="none" w:sz="0" w:space="0" w:color="auto"/>
                        <w:bottom w:val="none" w:sz="0" w:space="0" w:color="auto"/>
                        <w:right w:val="none" w:sz="0" w:space="0" w:color="auto"/>
                      </w:divBdr>
                      <w:divsChild>
                        <w:div w:id="658463389">
                          <w:marLeft w:val="0"/>
                          <w:marRight w:val="0"/>
                          <w:marTop w:val="0"/>
                          <w:marBottom w:val="0"/>
                          <w:divBdr>
                            <w:top w:val="none" w:sz="0" w:space="0" w:color="auto"/>
                            <w:left w:val="none" w:sz="0" w:space="0" w:color="auto"/>
                            <w:bottom w:val="none" w:sz="0" w:space="0" w:color="auto"/>
                            <w:right w:val="none" w:sz="0" w:space="0" w:color="auto"/>
                          </w:divBdr>
                          <w:divsChild>
                            <w:div w:id="472872993">
                              <w:marLeft w:val="0"/>
                              <w:marRight w:val="0"/>
                              <w:marTop w:val="0"/>
                              <w:marBottom w:val="360"/>
                              <w:divBdr>
                                <w:top w:val="none" w:sz="0" w:space="0" w:color="048C4A"/>
                                <w:left w:val="none" w:sz="0" w:space="0" w:color="048C4A"/>
                                <w:bottom w:val="none" w:sz="0" w:space="0" w:color="048C4A"/>
                                <w:right w:val="none" w:sz="0" w:space="0" w:color="048C4A"/>
                              </w:divBdr>
                              <w:divsChild>
                                <w:div w:id="80488481">
                                  <w:marLeft w:val="0"/>
                                  <w:marRight w:val="0"/>
                                  <w:marTop w:val="0"/>
                                  <w:marBottom w:val="0"/>
                                  <w:divBdr>
                                    <w:top w:val="none" w:sz="0" w:space="0" w:color="auto"/>
                                    <w:left w:val="none" w:sz="0" w:space="0" w:color="auto"/>
                                    <w:bottom w:val="none" w:sz="0" w:space="0" w:color="auto"/>
                                    <w:right w:val="none" w:sz="0" w:space="0" w:color="auto"/>
                                  </w:divBdr>
                                  <w:divsChild>
                                    <w:div w:id="787505015">
                                      <w:marLeft w:val="0"/>
                                      <w:marRight w:val="0"/>
                                      <w:marTop w:val="0"/>
                                      <w:marBottom w:val="0"/>
                                      <w:divBdr>
                                        <w:top w:val="none" w:sz="0" w:space="0" w:color="auto"/>
                                        <w:left w:val="none" w:sz="0" w:space="0" w:color="auto"/>
                                        <w:bottom w:val="none" w:sz="0" w:space="0" w:color="auto"/>
                                        <w:right w:val="none" w:sz="0" w:space="0" w:color="auto"/>
                                      </w:divBdr>
                                      <w:divsChild>
                                        <w:div w:id="1099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580645">
      <w:bodyDiv w:val="1"/>
      <w:marLeft w:val="0"/>
      <w:marRight w:val="0"/>
      <w:marTop w:val="0"/>
      <w:marBottom w:val="0"/>
      <w:divBdr>
        <w:top w:val="none" w:sz="0" w:space="0" w:color="auto"/>
        <w:left w:val="none" w:sz="0" w:space="0" w:color="auto"/>
        <w:bottom w:val="none" w:sz="0" w:space="0" w:color="auto"/>
        <w:right w:val="none" w:sz="0" w:space="0" w:color="auto"/>
      </w:divBdr>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56094378">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732659097">
      <w:bodyDiv w:val="1"/>
      <w:marLeft w:val="0"/>
      <w:marRight w:val="0"/>
      <w:marTop w:val="0"/>
      <w:marBottom w:val="0"/>
      <w:divBdr>
        <w:top w:val="none" w:sz="0" w:space="0" w:color="auto"/>
        <w:left w:val="none" w:sz="0" w:space="0" w:color="auto"/>
        <w:bottom w:val="none" w:sz="0" w:space="0" w:color="auto"/>
        <w:right w:val="none" w:sz="0" w:space="0" w:color="auto"/>
      </w:divBdr>
      <w:divsChild>
        <w:div w:id="1376196776">
          <w:marLeft w:val="0"/>
          <w:marRight w:val="0"/>
          <w:marTop w:val="0"/>
          <w:marBottom w:val="0"/>
          <w:divBdr>
            <w:top w:val="none" w:sz="0" w:space="0" w:color="auto"/>
            <w:left w:val="none" w:sz="0" w:space="0" w:color="auto"/>
            <w:bottom w:val="none" w:sz="0" w:space="0" w:color="auto"/>
            <w:right w:val="none" w:sz="0" w:space="0" w:color="auto"/>
          </w:divBdr>
          <w:divsChild>
            <w:div w:id="1700231452">
              <w:marLeft w:val="0"/>
              <w:marRight w:val="0"/>
              <w:marTop w:val="0"/>
              <w:marBottom w:val="0"/>
              <w:divBdr>
                <w:top w:val="none" w:sz="0" w:space="0" w:color="auto"/>
                <w:left w:val="none" w:sz="0" w:space="0" w:color="auto"/>
                <w:bottom w:val="none" w:sz="0" w:space="0" w:color="auto"/>
                <w:right w:val="none" w:sz="0" w:space="0" w:color="auto"/>
              </w:divBdr>
              <w:divsChild>
                <w:div w:id="1188642232">
                  <w:marLeft w:val="0"/>
                  <w:marRight w:val="0"/>
                  <w:marTop w:val="0"/>
                  <w:marBottom w:val="0"/>
                  <w:divBdr>
                    <w:top w:val="none" w:sz="0" w:space="0" w:color="auto"/>
                    <w:left w:val="none" w:sz="0" w:space="0" w:color="auto"/>
                    <w:bottom w:val="none" w:sz="0" w:space="0" w:color="auto"/>
                    <w:right w:val="none" w:sz="0" w:space="0" w:color="auto"/>
                  </w:divBdr>
                  <w:divsChild>
                    <w:div w:id="1569075322">
                      <w:marLeft w:val="0"/>
                      <w:marRight w:val="0"/>
                      <w:marTop w:val="0"/>
                      <w:marBottom w:val="240"/>
                      <w:divBdr>
                        <w:top w:val="none" w:sz="0" w:space="0" w:color="auto"/>
                        <w:left w:val="none" w:sz="0" w:space="0" w:color="auto"/>
                        <w:bottom w:val="none" w:sz="0" w:space="0" w:color="auto"/>
                        <w:right w:val="none" w:sz="0" w:space="0" w:color="auto"/>
                      </w:divBdr>
                      <w:divsChild>
                        <w:div w:id="936643684">
                          <w:marLeft w:val="0"/>
                          <w:marRight w:val="0"/>
                          <w:marTop w:val="0"/>
                          <w:marBottom w:val="0"/>
                          <w:divBdr>
                            <w:top w:val="none" w:sz="0" w:space="0" w:color="auto"/>
                            <w:left w:val="none" w:sz="0" w:space="0" w:color="auto"/>
                            <w:bottom w:val="none" w:sz="0" w:space="0" w:color="auto"/>
                            <w:right w:val="none" w:sz="0" w:space="0" w:color="auto"/>
                          </w:divBdr>
                          <w:divsChild>
                            <w:div w:id="292449456">
                              <w:marLeft w:val="0"/>
                              <w:marRight w:val="0"/>
                              <w:marTop w:val="0"/>
                              <w:marBottom w:val="360"/>
                              <w:divBdr>
                                <w:top w:val="none" w:sz="0" w:space="0" w:color="048C4A"/>
                                <w:left w:val="none" w:sz="0" w:space="0" w:color="048C4A"/>
                                <w:bottom w:val="none" w:sz="0" w:space="0" w:color="048C4A"/>
                                <w:right w:val="none" w:sz="0" w:space="0" w:color="048C4A"/>
                              </w:divBdr>
                              <w:divsChild>
                                <w:div w:id="1624843484">
                                  <w:marLeft w:val="0"/>
                                  <w:marRight w:val="0"/>
                                  <w:marTop w:val="0"/>
                                  <w:marBottom w:val="0"/>
                                  <w:divBdr>
                                    <w:top w:val="none" w:sz="0" w:space="0" w:color="auto"/>
                                    <w:left w:val="none" w:sz="0" w:space="0" w:color="auto"/>
                                    <w:bottom w:val="none" w:sz="0" w:space="0" w:color="auto"/>
                                    <w:right w:val="none" w:sz="0" w:space="0" w:color="auto"/>
                                  </w:divBdr>
                                  <w:divsChild>
                                    <w:div w:id="717438185">
                                      <w:marLeft w:val="0"/>
                                      <w:marRight w:val="0"/>
                                      <w:marTop w:val="0"/>
                                      <w:marBottom w:val="0"/>
                                      <w:divBdr>
                                        <w:top w:val="none" w:sz="0" w:space="0" w:color="auto"/>
                                        <w:left w:val="none" w:sz="0" w:space="0" w:color="auto"/>
                                        <w:bottom w:val="none" w:sz="0" w:space="0" w:color="auto"/>
                                        <w:right w:val="none" w:sz="0" w:space="0" w:color="auto"/>
                                      </w:divBdr>
                                      <w:divsChild>
                                        <w:div w:id="923415243">
                                          <w:marLeft w:val="0"/>
                                          <w:marRight w:val="0"/>
                                          <w:marTop w:val="0"/>
                                          <w:marBottom w:val="0"/>
                                          <w:divBdr>
                                            <w:top w:val="none" w:sz="0" w:space="0" w:color="auto"/>
                                            <w:left w:val="none" w:sz="0" w:space="0" w:color="auto"/>
                                            <w:bottom w:val="none" w:sz="0" w:space="0" w:color="auto"/>
                                            <w:right w:val="none" w:sz="0" w:space="0" w:color="auto"/>
                                          </w:divBdr>
                                          <w:divsChild>
                                            <w:div w:id="6630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610473">
      <w:bodyDiv w:val="1"/>
      <w:marLeft w:val="0"/>
      <w:marRight w:val="0"/>
      <w:marTop w:val="0"/>
      <w:marBottom w:val="0"/>
      <w:divBdr>
        <w:top w:val="none" w:sz="0" w:space="0" w:color="auto"/>
        <w:left w:val="none" w:sz="0" w:space="0" w:color="auto"/>
        <w:bottom w:val="none" w:sz="0" w:space="0" w:color="auto"/>
        <w:right w:val="none" w:sz="0" w:space="0" w:color="auto"/>
      </w:divBdr>
      <w:divsChild>
        <w:div w:id="1741319035">
          <w:marLeft w:val="0"/>
          <w:marRight w:val="0"/>
          <w:marTop w:val="0"/>
          <w:marBottom w:val="0"/>
          <w:divBdr>
            <w:top w:val="none" w:sz="0" w:space="0" w:color="auto"/>
            <w:left w:val="none" w:sz="0" w:space="0" w:color="auto"/>
            <w:bottom w:val="none" w:sz="0" w:space="0" w:color="auto"/>
            <w:right w:val="none" w:sz="0" w:space="0" w:color="auto"/>
          </w:divBdr>
          <w:divsChild>
            <w:div w:id="999894709">
              <w:marLeft w:val="0"/>
              <w:marRight w:val="0"/>
              <w:marTop w:val="0"/>
              <w:marBottom w:val="0"/>
              <w:divBdr>
                <w:top w:val="none" w:sz="0" w:space="0" w:color="auto"/>
                <w:left w:val="none" w:sz="0" w:space="0" w:color="auto"/>
                <w:bottom w:val="none" w:sz="0" w:space="0" w:color="auto"/>
                <w:right w:val="none" w:sz="0" w:space="0" w:color="auto"/>
              </w:divBdr>
              <w:divsChild>
                <w:div w:id="1934314660">
                  <w:marLeft w:val="0"/>
                  <w:marRight w:val="0"/>
                  <w:marTop w:val="0"/>
                  <w:marBottom w:val="0"/>
                  <w:divBdr>
                    <w:top w:val="none" w:sz="0" w:space="0" w:color="auto"/>
                    <w:left w:val="none" w:sz="0" w:space="0" w:color="auto"/>
                    <w:bottom w:val="none" w:sz="0" w:space="0" w:color="auto"/>
                    <w:right w:val="none" w:sz="0" w:space="0" w:color="auto"/>
                  </w:divBdr>
                  <w:divsChild>
                    <w:div w:id="312376922">
                      <w:marLeft w:val="0"/>
                      <w:marRight w:val="0"/>
                      <w:marTop w:val="0"/>
                      <w:marBottom w:val="240"/>
                      <w:divBdr>
                        <w:top w:val="none" w:sz="0" w:space="0" w:color="auto"/>
                        <w:left w:val="none" w:sz="0" w:space="0" w:color="auto"/>
                        <w:bottom w:val="none" w:sz="0" w:space="0" w:color="auto"/>
                        <w:right w:val="none" w:sz="0" w:space="0" w:color="auto"/>
                      </w:divBdr>
                      <w:divsChild>
                        <w:div w:id="471559560">
                          <w:marLeft w:val="0"/>
                          <w:marRight w:val="0"/>
                          <w:marTop w:val="0"/>
                          <w:marBottom w:val="0"/>
                          <w:divBdr>
                            <w:top w:val="none" w:sz="0" w:space="0" w:color="auto"/>
                            <w:left w:val="none" w:sz="0" w:space="0" w:color="auto"/>
                            <w:bottom w:val="none" w:sz="0" w:space="0" w:color="auto"/>
                            <w:right w:val="none" w:sz="0" w:space="0" w:color="auto"/>
                          </w:divBdr>
                          <w:divsChild>
                            <w:div w:id="1090397145">
                              <w:marLeft w:val="0"/>
                              <w:marRight w:val="0"/>
                              <w:marTop w:val="0"/>
                              <w:marBottom w:val="215"/>
                              <w:divBdr>
                                <w:top w:val="none" w:sz="0" w:space="0" w:color="auto"/>
                                <w:left w:val="none" w:sz="0" w:space="0" w:color="auto"/>
                                <w:bottom w:val="none" w:sz="0" w:space="0" w:color="auto"/>
                                <w:right w:val="none" w:sz="0" w:space="0" w:color="auto"/>
                              </w:divBdr>
                              <w:divsChild>
                                <w:div w:id="1274747183">
                                  <w:marLeft w:val="0"/>
                                  <w:marRight w:val="0"/>
                                  <w:marTop w:val="0"/>
                                  <w:marBottom w:val="0"/>
                                  <w:divBdr>
                                    <w:top w:val="none" w:sz="0" w:space="0" w:color="auto"/>
                                    <w:left w:val="none" w:sz="0" w:space="0" w:color="auto"/>
                                    <w:bottom w:val="none" w:sz="0" w:space="0" w:color="auto"/>
                                    <w:right w:val="none" w:sz="0" w:space="0" w:color="auto"/>
                                  </w:divBdr>
                                </w:div>
                              </w:divsChild>
                            </w:div>
                            <w:div w:id="1479372735">
                              <w:marLeft w:val="0"/>
                              <w:marRight w:val="0"/>
                              <w:marTop w:val="0"/>
                              <w:marBottom w:val="360"/>
                              <w:divBdr>
                                <w:top w:val="none" w:sz="0" w:space="0" w:color="048C4A"/>
                                <w:left w:val="none" w:sz="0" w:space="0" w:color="048C4A"/>
                                <w:bottom w:val="none" w:sz="0" w:space="0" w:color="048C4A"/>
                                <w:right w:val="none" w:sz="0" w:space="0" w:color="048C4A"/>
                              </w:divBdr>
                              <w:divsChild>
                                <w:div w:id="1945725648">
                                  <w:marLeft w:val="0"/>
                                  <w:marRight w:val="0"/>
                                  <w:marTop w:val="0"/>
                                  <w:marBottom w:val="0"/>
                                  <w:divBdr>
                                    <w:top w:val="none" w:sz="0" w:space="0" w:color="auto"/>
                                    <w:left w:val="none" w:sz="0" w:space="0" w:color="auto"/>
                                    <w:bottom w:val="none" w:sz="0" w:space="0" w:color="auto"/>
                                    <w:right w:val="none" w:sz="0" w:space="0" w:color="auto"/>
                                  </w:divBdr>
                                  <w:divsChild>
                                    <w:div w:id="4043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56415">
      <w:bodyDiv w:val="1"/>
      <w:marLeft w:val="0"/>
      <w:marRight w:val="0"/>
      <w:marTop w:val="0"/>
      <w:marBottom w:val="0"/>
      <w:divBdr>
        <w:top w:val="none" w:sz="0" w:space="0" w:color="auto"/>
        <w:left w:val="none" w:sz="0" w:space="0" w:color="auto"/>
        <w:bottom w:val="none" w:sz="0" w:space="0" w:color="auto"/>
        <w:right w:val="none" w:sz="0" w:space="0" w:color="auto"/>
      </w:divBdr>
      <w:divsChild>
        <w:div w:id="628821770">
          <w:marLeft w:val="0"/>
          <w:marRight w:val="0"/>
          <w:marTop w:val="0"/>
          <w:marBottom w:val="0"/>
          <w:divBdr>
            <w:top w:val="none" w:sz="0" w:space="0" w:color="auto"/>
            <w:left w:val="none" w:sz="0" w:space="0" w:color="auto"/>
            <w:bottom w:val="none" w:sz="0" w:space="0" w:color="auto"/>
            <w:right w:val="none" w:sz="0" w:space="0" w:color="auto"/>
          </w:divBdr>
          <w:divsChild>
            <w:div w:id="1674144416">
              <w:marLeft w:val="0"/>
              <w:marRight w:val="0"/>
              <w:marTop w:val="0"/>
              <w:marBottom w:val="0"/>
              <w:divBdr>
                <w:top w:val="none" w:sz="0" w:space="0" w:color="auto"/>
                <w:left w:val="none" w:sz="0" w:space="0" w:color="auto"/>
                <w:bottom w:val="none" w:sz="0" w:space="0" w:color="auto"/>
                <w:right w:val="none" w:sz="0" w:space="0" w:color="auto"/>
              </w:divBdr>
              <w:divsChild>
                <w:div w:id="1376738920">
                  <w:marLeft w:val="0"/>
                  <w:marRight w:val="0"/>
                  <w:marTop w:val="0"/>
                  <w:marBottom w:val="0"/>
                  <w:divBdr>
                    <w:top w:val="none" w:sz="0" w:space="0" w:color="auto"/>
                    <w:left w:val="none" w:sz="0" w:space="0" w:color="auto"/>
                    <w:bottom w:val="none" w:sz="0" w:space="0" w:color="auto"/>
                    <w:right w:val="none" w:sz="0" w:space="0" w:color="auto"/>
                  </w:divBdr>
                  <w:divsChild>
                    <w:div w:id="1838568776">
                      <w:marLeft w:val="0"/>
                      <w:marRight w:val="0"/>
                      <w:marTop w:val="0"/>
                      <w:marBottom w:val="240"/>
                      <w:divBdr>
                        <w:top w:val="none" w:sz="0" w:space="0" w:color="auto"/>
                        <w:left w:val="none" w:sz="0" w:space="0" w:color="auto"/>
                        <w:bottom w:val="none" w:sz="0" w:space="0" w:color="auto"/>
                        <w:right w:val="none" w:sz="0" w:space="0" w:color="auto"/>
                      </w:divBdr>
                      <w:divsChild>
                        <w:div w:id="1969773711">
                          <w:marLeft w:val="0"/>
                          <w:marRight w:val="0"/>
                          <w:marTop w:val="0"/>
                          <w:marBottom w:val="0"/>
                          <w:divBdr>
                            <w:top w:val="none" w:sz="0" w:space="0" w:color="auto"/>
                            <w:left w:val="none" w:sz="0" w:space="0" w:color="auto"/>
                            <w:bottom w:val="none" w:sz="0" w:space="0" w:color="auto"/>
                            <w:right w:val="none" w:sz="0" w:space="0" w:color="auto"/>
                          </w:divBdr>
                          <w:divsChild>
                            <w:div w:id="456529331">
                              <w:marLeft w:val="0"/>
                              <w:marRight w:val="0"/>
                              <w:marTop w:val="0"/>
                              <w:marBottom w:val="360"/>
                              <w:divBdr>
                                <w:top w:val="none" w:sz="0" w:space="0" w:color="048C4A"/>
                                <w:left w:val="none" w:sz="0" w:space="0" w:color="048C4A"/>
                                <w:bottom w:val="none" w:sz="0" w:space="0" w:color="048C4A"/>
                                <w:right w:val="none" w:sz="0" w:space="0" w:color="048C4A"/>
                              </w:divBdr>
                              <w:divsChild>
                                <w:div w:id="484973280">
                                  <w:marLeft w:val="0"/>
                                  <w:marRight w:val="0"/>
                                  <w:marTop w:val="0"/>
                                  <w:marBottom w:val="0"/>
                                  <w:divBdr>
                                    <w:top w:val="none" w:sz="0" w:space="0" w:color="auto"/>
                                    <w:left w:val="none" w:sz="0" w:space="0" w:color="auto"/>
                                    <w:bottom w:val="none" w:sz="0" w:space="0" w:color="auto"/>
                                    <w:right w:val="none" w:sz="0" w:space="0" w:color="auto"/>
                                  </w:divBdr>
                                  <w:divsChild>
                                    <w:div w:id="1314262144">
                                      <w:marLeft w:val="0"/>
                                      <w:marRight w:val="0"/>
                                      <w:marTop w:val="0"/>
                                      <w:marBottom w:val="0"/>
                                      <w:divBdr>
                                        <w:top w:val="none" w:sz="0" w:space="0" w:color="auto"/>
                                        <w:left w:val="none" w:sz="0" w:space="0" w:color="auto"/>
                                        <w:bottom w:val="none" w:sz="0" w:space="0" w:color="auto"/>
                                        <w:right w:val="none" w:sz="0" w:space="0" w:color="auto"/>
                                      </w:divBdr>
                                      <w:divsChild>
                                        <w:div w:id="10013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9adf5f-cec3-4b9f-8fe9-07c0fde19a6b">
      <Terms xmlns="http://schemas.microsoft.com/office/infopath/2007/PartnerControls"/>
    </lcf76f155ced4ddcb4097134ff3c332f>
    <TaxCatchAll xmlns="2799d30d-6731-4efe-ac9b-c4895a8828d9">
      <Value>18</Value>
      <Value>46</Value>
      <Value>57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5" ma:contentTypeDescription="Create a new document." ma:contentTypeScope="" ma:versionID="766073b05fd4515273fc5dcedbb1a3cc">
  <xsd:schema xmlns:xsd="http://www.w3.org/2001/XMLSchema" xmlns:xs="http://www.w3.org/2001/XMLSchema" xmlns:p="http://schemas.microsoft.com/office/2006/metadata/properties" xmlns:ns2="319adf5f-cec3-4b9f-8fe9-07c0fde19a6b" xmlns:ns3="e54e9734-3776-4302-8e3b-45fdf39d1593" xmlns:ns4="2799d30d-6731-4efe-ac9b-c4895a8828d9" targetNamespace="http://schemas.microsoft.com/office/2006/metadata/properties" ma:root="true" ma:fieldsID="69f1abca39f2ab4a61d9074298aa3e06" ns2:_="" ns3:_="" ns4:_="">
    <xsd:import namespace="319adf5f-cec3-4b9f-8fe9-07c0fde19a6b"/>
    <xsd:import namespace="e54e9734-3776-4302-8e3b-45fdf39d1593"/>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27fbc9-48b5-433e-8b80-9c1b3acc7086}" ma:internalName="TaxCatchAll" ma:showField="CatchAllData" ma:web="e54e9734-3776-4302-8e3b-45fdf39d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0F53E-92F2-4384-8D6A-7030F7226E6C}">
  <ds:schemaRefs>
    <ds:schemaRef ds:uri="http://schemas.openxmlformats.org/officeDocument/2006/bibliography"/>
  </ds:schemaRefs>
</ds:datastoreItem>
</file>

<file path=customXml/itemProps2.xml><?xml version="1.0" encoding="utf-8"?>
<ds:datastoreItem xmlns:ds="http://schemas.openxmlformats.org/officeDocument/2006/customXml" ds:itemID="{30F85B98-6ED9-4597-A72E-F387B49E7ACF}">
  <ds:schemaRefs>
    <ds:schemaRef ds:uri="http://schemas.microsoft.com/office/2006/metadata/properties"/>
    <ds:schemaRef ds:uri="http://schemas.microsoft.com/office/infopath/2007/PartnerControls"/>
    <ds:schemaRef ds:uri="319adf5f-cec3-4b9f-8fe9-07c0fde19a6b"/>
    <ds:schemaRef ds:uri="2799d30d-6731-4efe-ac9b-c4895a8828d9"/>
  </ds:schemaRefs>
</ds:datastoreItem>
</file>

<file path=customXml/itemProps3.xml><?xml version="1.0" encoding="utf-8"?>
<ds:datastoreItem xmlns:ds="http://schemas.openxmlformats.org/officeDocument/2006/customXml" ds:itemID="{E6B87210-83EC-47C4-87BF-D1315F6B142C}">
  <ds:schemaRefs>
    <ds:schemaRef ds:uri="http://schemas.microsoft.com/sharepoint/v3/contenttype/forms"/>
  </ds:schemaRefs>
</ds:datastoreItem>
</file>

<file path=customXml/itemProps4.xml><?xml version="1.0" encoding="utf-8"?>
<ds:datastoreItem xmlns:ds="http://schemas.openxmlformats.org/officeDocument/2006/customXml" ds:itemID="{51ED9824-9DDB-4EE5-91DD-3D68F6D3F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df5f-cec3-4b9f-8fe9-07c0fde19a6b"/>
    <ds:schemaRef ds:uri="e54e9734-3776-4302-8e3b-45fdf39d1593"/>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16874</CharactersWithSpaces>
  <SharedDoc>false</SharedDoc>
  <HLinks>
    <vt:vector size="60" baseType="variant">
      <vt:variant>
        <vt:i4>1441844</vt:i4>
      </vt:variant>
      <vt:variant>
        <vt:i4>56</vt:i4>
      </vt:variant>
      <vt:variant>
        <vt:i4>0</vt:i4>
      </vt:variant>
      <vt:variant>
        <vt:i4>5</vt:i4>
      </vt:variant>
      <vt:variant>
        <vt:lpwstr/>
      </vt:variant>
      <vt:variant>
        <vt:lpwstr>_Toc410046462</vt:lpwstr>
      </vt:variant>
      <vt:variant>
        <vt:i4>1441844</vt:i4>
      </vt:variant>
      <vt:variant>
        <vt:i4>50</vt:i4>
      </vt:variant>
      <vt:variant>
        <vt:i4>0</vt:i4>
      </vt:variant>
      <vt:variant>
        <vt:i4>5</vt:i4>
      </vt:variant>
      <vt:variant>
        <vt:lpwstr/>
      </vt:variant>
      <vt:variant>
        <vt:lpwstr>_Toc410046461</vt:lpwstr>
      </vt:variant>
      <vt:variant>
        <vt:i4>1441844</vt:i4>
      </vt:variant>
      <vt:variant>
        <vt:i4>44</vt:i4>
      </vt:variant>
      <vt:variant>
        <vt:i4>0</vt:i4>
      </vt:variant>
      <vt:variant>
        <vt:i4>5</vt:i4>
      </vt:variant>
      <vt:variant>
        <vt:lpwstr/>
      </vt:variant>
      <vt:variant>
        <vt:lpwstr>_Toc410046460</vt:lpwstr>
      </vt:variant>
      <vt:variant>
        <vt:i4>1376308</vt:i4>
      </vt:variant>
      <vt:variant>
        <vt:i4>38</vt:i4>
      </vt:variant>
      <vt:variant>
        <vt:i4>0</vt:i4>
      </vt:variant>
      <vt:variant>
        <vt:i4>5</vt:i4>
      </vt:variant>
      <vt:variant>
        <vt:lpwstr/>
      </vt:variant>
      <vt:variant>
        <vt:lpwstr>_Toc410046459</vt:lpwstr>
      </vt:variant>
      <vt:variant>
        <vt:i4>1376308</vt:i4>
      </vt:variant>
      <vt:variant>
        <vt:i4>32</vt:i4>
      </vt:variant>
      <vt:variant>
        <vt:i4>0</vt:i4>
      </vt:variant>
      <vt:variant>
        <vt:i4>5</vt:i4>
      </vt:variant>
      <vt:variant>
        <vt:lpwstr/>
      </vt:variant>
      <vt:variant>
        <vt:lpwstr>_Toc410046458</vt:lpwstr>
      </vt:variant>
      <vt:variant>
        <vt:i4>1376308</vt:i4>
      </vt:variant>
      <vt:variant>
        <vt:i4>26</vt:i4>
      </vt:variant>
      <vt:variant>
        <vt:i4>0</vt:i4>
      </vt:variant>
      <vt:variant>
        <vt:i4>5</vt:i4>
      </vt:variant>
      <vt:variant>
        <vt:lpwstr/>
      </vt:variant>
      <vt:variant>
        <vt:lpwstr>_Toc410046457</vt:lpwstr>
      </vt:variant>
      <vt:variant>
        <vt:i4>1376308</vt:i4>
      </vt:variant>
      <vt:variant>
        <vt:i4>20</vt:i4>
      </vt:variant>
      <vt:variant>
        <vt:i4>0</vt:i4>
      </vt:variant>
      <vt:variant>
        <vt:i4>5</vt:i4>
      </vt:variant>
      <vt:variant>
        <vt:lpwstr/>
      </vt:variant>
      <vt:variant>
        <vt:lpwstr>_Toc410046456</vt:lpwstr>
      </vt:variant>
      <vt:variant>
        <vt:i4>1376308</vt:i4>
      </vt:variant>
      <vt:variant>
        <vt:i4>14</vt:i4>
      </vt:variant>
      <vt:variant>
        <vt:i4>0</vt:i4>
      </vt:variant>
      <vt:variant>
        <vt:i4>5</vt:i4>
      </vt:variant>
      <vt:variant>
        <vt:lpwstr/>
      </vt:variant>
      <vt:variant>
        <vt:lpwstr>_Toc410046455</vt:lpwstr>
      </vt:variant>
      <vt:variant>
        <vt:i4>1376308</vt:i4>
      </vt:variant>
      <vt:variant>
        <vt:i4>8</vt:i4>
      </vt:variant>
      <vt:variant>
        <vt:i4>0</vt:i4>
      </vt:variant>
      <vt:variant>
        <vt:i4>5</vt:i4>
      </vt:variant>
      <vt:variant>
        <vt:lpwstr/>
      </vt:variant>
      <vt:variant>
        <vt:lpwstr>_Toc410046454</vt:lpwstr>
      </vt:variant>
      <vt:variant>
        <vt:i4>1376308</vt:i4>
      </vt:variant>
      <vt:variant>
        <vt:i4>2</vt:i4>
      </vt:variant>
      <vt:variant>
        <vt:i4>0</vt:i4>
      </vt:variant>
      <vt:variant>
        <vt:i4>5</vt:i4>
      </vt:variant>
      <vt:variant>
        <vt:lpwstr/>
      </vt:variant>
      <vt:variant>
        <vt:lpwstr>_Toc410046453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Ingham</dc:creator>
  <cp:keywords>template, process, guide, pensions</cp:keywords>
  <cp:lastModifiedBy>Beverley Battersby</cp:lastModifiedBy>
  <cp:revision>4</cp:revision>
  <cp:lastPrinted>2024-02-22T08:23:00Z</cp:lastPrinted>
  <dcterms:created xsi:type="dcterms:W3CDTF">2024-02-20T13:14:00Z</dcterms:created>
  <dcterms:modified xsi:type="dcterms:W3CDTF">2024-02-22T08:23:00Z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rimaryOwner">
    <vt:lpwstr>224</vt:lpwstr>
  </property>
  <property fmtid="{D5CDD505-2E9C-101B-9397-08002B2CF9AE}" pid="3" name="DepartmentManagedMetadata">
    <vt:lpwstr>118;#Pensions Operations|b04de6ae-08ed-4d2b-bb56-90f8285b76a0</vt:lpwstr>
  </property>
  <property fmtid="{D5CDD505-2E9C-101B-9397-08002B2CF9AE}" pid="4" name="_SecondaryOwner">
    <vt:lpwstr>220</vt:lpwstr>
  </property>
  <property fmtid="{D5CDD505-2E9C-101B-9397-08002B2CF9AE}" pid="5" name="_EndDateTime">
    <vt:lpwstr>2015-04-23T00:00:00Z</vt:lpwstr>
  </property>
  <property fmtid="{D5CDD505-2E9C-101B-9397-08002B2CF9AE}" pid="6" name="IntranetCategoryManagedMetadata">
    <vt:lpwstr>414;#Document Management Process|8c2f91d7-36b7-4532-8d28-644e3e80b40c</vt:lpwstr>
  </property>
  <property fmtid="{D5CDD505-2E9C-101B-9397-08002B2CF9AE}" pid="7" name="PublishingExpirationDate">
    <vt:lpwstr>2015-04-23T00:00:00Z</vt:lpwstr>
  </property>
  <property fmtid="{D5CDD505-2E9C-101B-9397-08002B2CF9AE}" pid="8" name="IntranetCategoryManagedMetadataTaxHTField0">
    <vt:lpwstr>Communications|3eb392b9-16a9-45d8-947f-db9d186f210d</vt:lpwstr>
  </property>
  <property fmtid="{D5CDD505-2E9C-101B-9397-08002B2CF9AE}" pid="9" name="CategoryManagedMetadataTaxHTField0">
    <vt:lpwstr>Managing Corporate Relations|bb73da66-fcad-4794-a3e9-9e30e766425c</vt:lpwstr>
  </property>
  <property fmtid="{D5CDD505-2E9C-101B-9397-08002B2CF9AE}" pid="10" name="display_urn:schemas-microsoft-com:office:office#_PrimaryOwner">
    <vt:lpwstr>Nicola Ratcliffe</vt:lpwstr>
  </property>
  <property fmtid="{D5CDD505-2E9C-101B-9397-08002B2CF9AE}" pid="11" name="_RetentionPeriod">
    <vt:lpwstr>7 Years</vt:lpwstr>
  </property>
  <property fmtid="{D5CDD505-2E9C-101B-9397-08002B2CF9AE}" pid="12" name="CategoryManagedMetadata">
    <vt:lpwstr>238;#Managing members' pensions|38b0a38a-82da-4b59-bac7-c0234abccf4c</vt:lpwstr>
  </property>
  <property fmtid="{D5CDD505-2E9C-101B-9397-08002B2CF9AE}" pid="13" name="DepartmentManagedMetadataTaxHTField0">
    <vt:lpwstr>Customer Insight and Communications|3adf1842-26d1-43aa-91a8-1f6dd431fc74</vt:lpwstr>
  </property>
  <property fmtid="{D5CDD505-2E9C-101B-9397-08002B2CF9AE}" pid="14" name="display_urn:schemas-microsoft-com:office:office#_SecondaryOwner">
    <vt:lpwstr>NHSBSA\jamda</vt:lpwstr>
  </property>
  <property fmtid="{D5CDD505-2E9C-101B-9397-08002B2CF9AE}" pid="15" name="_RequireReview">
    <vt:lpwstr>1</vt:lpwstr>
  </property>
  <property fmtid="{D5CDD505-2E9C-101B-9397-08002B2CF9AE}" pid="16" name="TaxCatchAll">
    <vt:lpwstr>18;#;#46;#;#57;#</vt:lpwstr>
  </property>
  <property fmtid="{D5CDD505-2E9C-101B-9397-08002B2CF9AE}" pid="17" name="Gov_SecondNotification">
    <vt:lpwstr/>
  </property>
  <property fmtid="{D5CDD505-2E9C-101B-9397-08002B2CF9AE}" pid="18" name="Gov_FinalNotification">
    <vt:lpwstr/>
  </property>
  <property fmtid="{D5CDD505-2E9C-101B-9397-08002B2CF9AE}" pid="19" name="Gov_FirstNotification">
    <vt:lpwstr/>
  </property>
  <property fmtid="{D5CDD505-2E9C-101B-9397-08002B2CF9AE}" pid="20" name="PublishingStartDate">
    <vt:lpwstr/>
  </property>
  <property fmtid="{D5CDD505-2E9C-101B-9397-08002B2CF9AE}" pid="21" name="_StartDateTime">
    <vt:lpwstr/>
  </property>
  <property fmtid="{D5CDD505-2E9C-101B-9397-08002B2CF9AE}" pid="22" name="ContentTypeId">
    <vt:lpwstr>0x010100BEE3E5AD5F260948BFEDB111416DF67A</vt:lpwstr>
  </property>
  <property fmtid="{D5CDD505-2E9C-101B-9397-08002B2CF9AE}" pid="23" name="Category">
    <vt:lpwstr>Document Management Process</vt:lpwstr>
  </property>
  <property fmtid="{D5CDD505-2E9C-101B-9397-08002B2CF9AE}" pid="24" name="Order">
    <vt:r8>100</vt:r8>
  </property>
</Properties>
</file>