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7B20C" w14:textId="65A41DDA" w:rsidR="00AF3839" w:rsidRDefault="00AF3839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C2A6F77" wp14:editId="61FC37FC">
            <wp:extent cx="5731510" cy="9258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A3B40" w14:textId="59BB9772" w:rsidR="000D3ACA" w:rsidRPr="00AF3839" w:rsidRDefault="003F2DA7" w:rsidP="00893743">
      <w:pPr>
        <w:jc w:val="center"/>
        <w:rPr>
          <w:rFonts w:ascii="Arial" w:hAnsi="Arial" w:cs="Arial"/>
          <w:b/>
          <w:bCs/>
        </w:rPr>
      </w:pPr>
      <w:r w:rsidRPr="00AF3839">
        <w:rPr>
          <w:rFonts w:ascii="Arial" w:hAnsi="Arial" w:cs="Arial"/>
          <w:b/>
          <w:bCs/>
        </w:rPr>
        <w:t xml:space="preserve">Audit – </w:t>
      </w:r>
      <w:r w:rsidR="00CA0951" w:rsidRPr="00CA0951">
        <w:rPr>
          <w:rFonts w:ascii="Arial" w:hAnsi="Arial" w:cs="Arial"/>
          <w:b/>
          <w:bCs/>
        </w:rPr>
        <w:t>Does your clinical governance system support the delivery of safe and effective care in relation to</w:t>
      </w:r>
      <w:r w:rsidR="009B59C3">
        <w:rPr>
          <w:rFonts w:ascii="Arial" w:hAnsi="Arial" w:cs="Arial"/>
          <w:b/>
          <w:bCs/>
        </w:rPr>
        <w:t xml:space="preserve"> </w:t>
      </w:r>
      <w:r w:rsidR="00CA0951" w:rsidRPr="00CA0951">
        <w:rPr>
          <w:rFonts w:ascii="Arial" w:hAnsi="Arial" w:cs="Arial"/>
          <w:b/>
          <w:bCs/>
        </w:rPr>
        <w:t xml:space="preserve">oral surgical procedures in </w:t>
      </w:r>
      <w:r w:rsidR="00172CE7">
        <w:rPr>
          <w:rFonts w:ascii="Arial" w:hAnsi="Arial" w:cs="Arial"/>
          <w:b/>
          <w:bCs/>
        </w:rPr>
        <w:t xml:space="preserve">a high street </w:t>
      </w:r>
      <w:r w:rsidR="00CA0951" w:rsidRPr="00CA0951">
        <w:rPr>
          <w:rFonts w:ascii="Arial" w:hAnsi="Arial" w:cs="Arial"/>
          <w:b/>
          <w:bCs/>
        </w:rPr>
        <w:t>general dental practice</w:t>
      </w:r>
      <w:r w:rsidR="00172CE7">
        <w:rPr>
          <w:rFonts w:ascii="Arial" w:hAnsi="Arial" w:cs="Arial"/>
          <w:b/>
          <w:bCs/>
        </w:rPr>
        <w:t xml:space="preserve"> setting</w:t>
      </w:r>
      <w:r w:rsidR="00CA0951" w:rsidRPr="00CA0951">
        <w:rPr>
          <w:rFonts w:ascii="Arial" w:hAnsi="Arial" w:cs="Arial"/>
          <w:b/>
          <w:bCs/>
        </w:rPr>
        <w:t>?</w:t>
      </w:r>
    </w:p>
    <w:p w14:paraId="54CC5A41" w14:textId="499F62EF" w:rsidR="003F2DA7" w:rsidRPr="00A374AD" w:rsidRDefault="003F2DA7">
      <w:pPr>
        <w:rPr>
          <w:rFonts w:ascii="Arial" w:hAnsi="Arial" w:cs="Arial"/>
          <w:b/>
          <w:bCs/>
        </w:rPr>
      </w:pPr>
      <w:r w:rsidRPr="00A374AD">
        <w:rPr>
          <w:rFonts w:ascii="Arial" w:hAnsi="Arial" w:cs="Arial"/>
          <w:b/>
          <w:bCs/>
        </w:rPr>
        <w:t>Who is the audit for?</w:t>
      </w:r>
    </w:p>
    <w:p w14:paraId="1DFEC925" w14:textId="53B6BE79" w:rsidR="00CA0951" w:rsidRDefault="003F2DA7">
      <w:pPr>
        <w:rPr>
          <w:rFonts w:ascii="Arial" w:hAnsi="Arial" w:cs="Arial"/>
        </w:rPr>
      </w:pPr>
      <w:r w:rsidRPr="00D4267A">
        <w:rPr>
          <w:rFonts w:ascii="Arial" w:hAnsi="Arial" w:cs="Arial"/>
        </w:rPr>
        <w:t xml:space="preserve">This </w:t>
      </w:r>
      <w:r w:rsidR="003E6377" w:rsidRPr="009B59C3">
        <w:rPr>
          <w:rFonts w:ascii="Arial" w:hAnsi="Arial" w:cs="Arial"/>
        </w:rPr>
        <w:t xml:space="preserve">is a voluntary </w:t>
      </w:r>
      <w:r w:rsidR="003E6377" w:rsidRPr="00D4267A">
        <w:rPr>
          <w:rFonts w:ascii="Arial" w:hAnsi="Arial" w:cs="Arial"/>
        </w:rPr>
        <w:t>audit</w:t>
      </w:r>
      <w:r w:rsidR="003E6377" w:rsidRPr="003E6377">
        <w:rPr>
          <w:rFonts w:ascii="Arial" w:hAnsi="Arial" w:cs="Arial"/>
          <w:color w:val="FF0000"/>
        </w:rPr>
        <w:t xml:space="preserve"> </w:t>
      </w:r>
      <w:r w:rsidR="003E6377" w:rsidRPr="009B59C3">
        <w:rPr>
          <w:rFonts w:ascii="Arial" w:hAnsi="Arial" w:cs="Arial"/>
        </w:rPr>
        <w:t>and</w:t>
      </w:r>
      <w:r w:rsidR="001D1174" w:rsidRPr="003E6377">
        <w:rPr>
          <w:rFonts w:ascii="Arial" w:hAnsi="Arial" w:cs="Arial"/>
          <w:color w:val="FF0000"/>
        </w:rPr>
        <w:t xml:space="preserve"> </w:t>
      </w:r>
      <w:r w:rsidRPr="00D4267A">
        <w:rPr>
          <w:rFonts w:ascii="Arial" w:hAnsi="Arial" w:cs="Arial"/>
        </w:rPr>
        <w:t xml:space="preserve">is suitable for </w:t>
      </w:r>
      <w:r w:rsidR="00AF3839">
        <w:rPr>
          <w:rFonts w:ascii="Arial" w:hAnsi="Arial" w:cs="Arial"/>
        </w:rPr>
        <w:t xml:space="preserve">practices or practitioners wishing to review </w:t>
      </w:r>
      <w:r w:rsidR="00CA0951">
        <w:rPr>
          <w:rFonts w:ascii="Arial" w:hAnsi="Arial" w:cs="Arial"/>
        </w:rPr>
        <w:t>the governance systems and processes that u</w:t>
      </w:r>
      <w:r w:rsidR="00CA0951" w:rsidRPr="00CA0951">
        <w:rPr>
          <w:rFonts w:ascii="Arial" w:hAnsi="Arial" w:cs="Arial"/>
        </w:rPr>
        <w:t>nderpi</w:t>
      </w:r>
      <w:r w:rsidR="00CA0951">
        <w:rPr>
          <w:rFonts w:ascii="Arial" w:hAnsi="Arial" w:cs="Arial"/>
        </w:rPr>
        <w:t>n</w:t>
      </w:r>
      <w:r w:rsidR="00CA0951" w:rsidRPr="00CA0951">
        <w:rPr>
          <w:rFonts w:ascii="Arial" w:hAnsi="Arial" w:cs="Arial"/>
        </w:rPr>
        <w:t xml:space="preserve"> the delivery of safe and effective</w:t>
      </w:r>
      <w:r w:rsidR="00CA0951">
        <w:rPr>
          <w:rFonts w:ascii="Arial" w:hAnsi="Arial" w:cs="Arial"/>
        </w:rPr>
        <w:t xml:space="preserve"> oral surgery in </w:t>
      </w:r>
      <w:r w:rsidR="00172CE7">
        <w:rPr>
          <w:rFonts w:ascii="Arial" w:hAnsi="Arial" w:cs="Arial"/>
        </w:rPr>
        <w:t xml:space="preserve">a high street </w:t>
      </w:r>
      <w:r w:rsidR="00CA0951">
        <w:rPr>
          <w:rFonts w:ascii="Arial" w:hAnsi="Arial" w:cs="Arial"/>
        </w:rPr>
        <w:t>general dental practice</w:t>
      </w:r>
      <w:r w:rsidR="00172CE7">
        <w:rPr>
          <w:rFonts w:ascii="Arial" w:hAnsi="Arial" w:cs="Arial"/>
        </w:rPr>
        <w:t xml:space="preserve"> setting</w:t>
      </w:r>
      <w:r w:rsidR="00CA0951">
        <w:rPr>
          <w:rFonts w:ascii="Arial" w:hAnsi="Arial" w:cs="Arial"/>
        </w:rPr>
        <w:t>.</w:t>
      </w:r>
    </w:p>
    <w:p w14:paraId="4710420A" w14:textId="4554317B" w:rsidR="00CA0951" w:rsidRDefault="001B02F8">
      <w:pPr>
        <w:rPr>
          <w:rFonts w:ascii="Arial" w:hAnsi="Arial" w:cs="Arial"/>
        </w:rPr>
      </w:pPr>
      <w:r w:rsidRPr="001B02F8">
        <w:rPr>
          <w:rFonts w:ascii="Arial" w:hAnsi="Arial" w:cs="Arial"/>
        </w:rPr>
        <w:t xml:space="preserve">A simple system of governance comprises </w:t>
      </w:r>
      <w:r w:rsidR="00893743">
        <w:rPr>
          <w:rFonts w:ascii="Arial" w:hAnsi="Arial" w:cs="Arial"/>
        </w:rPr>
        <w:t xml:space="preserve">of </w:t>
      </w:r>
      <w:r w:rsidRPr="001B02F8">
        <w:rPr>
          <w:rFonts w:ascii="Arial" w:hAnsi="Arial" w:cs="Arial"/>
        </w:rPr>
        <w:t>several domains including:</w:t>
      </w:r>
    </w:p>
    <w:p w14:paraId="1B6AD63C" w14:textId="6C680F9F" w:rsidR="00CA0951" w:rsidRPr="001B02F8" w:rsidRDefault="001B02F8" w:rsidP="001B02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Systems and processes to keep staff and patients safe</w:t>
      </w:r>
    </w:p>
    <w:p w14:paraId="37E0885D" w14:textId="77777777" w:rsidR="001B02F8" w:rsidRPr="001B02F8" w:rsidRDefault="001B02F8" w:rsidP="001B02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Staffing and management of the practice</w:t>
      </w:r>
    </w:p>
    <w:p w14:paraId="3B02C73A" w14:textId="7B604914" w:rsidR="001B02F8" w:rsidRPr="001B02F8" w:rsidRDefault="001B02F8" w:rsidP="001B02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Involving patients and managing information</w:t>
      </w:r>
    </w:p>
    <w:p w14:paraId="0CA1D417" w14:textId="75A24037" w:rsidR="001B02F8" w:rsidRPr="001B02F8" w:rsidRDefault="001B02F8" w:rsidP="001B02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Education and training of the workforce</w:t>
      </w:r>
    </w:p>
    <w:p w14:paraId="30B0AFD1" w14:textId="05D41F85" w:rsidR="001B02F8" w:rsidRPr="001B02F8" w:rsidRDefault="001B02F8" w:rsidP="001B02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Clinical audit and service improvement</w:t>
      </w:r>
    </w:p>
    <w:p w14:paraId="0B307AA5" w14:textId="37B75456" w:rsidR="001B02F8" w:rsidRPr="001B02F8" w:rsidRDefault="001B02F8" w:rsidP="001B02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Providing evidenced based care</w:t>
      </w:r>
    </w:p>
    <w:p w14:paraId="390B53D2" w14:textId="5D3A7650" w:rsidR="001D1174" w:rsidRPr="00A374AD" w:rsidRDefault="001D1174">
      <w:pPr>
        <w:rPr>
          <w:rFonts w:ascii="Arial" w:hAnsi="Arial" w:cs="Arial"/>
          <w:b/>
          <w:bCs/>
        </w:rPr>
      </w:pPr>
      <w:r w:rsidRPr="00A374AD">
        <w:rPr>
          <w:rFonts w:ascii="Arial" w:hAnsi="Arial" w:cs="Arial"/>
          <w:b/>
          <w:bCs/>
        </w:rPr>
        <w:t xml:space="preserve">What does it </w:t>
      </w:r>
      <w:r w:rsidR="001B02F8" w:rsidRPr="00A374AD">
        <w:rPr>
          <w:rFonts w:ascii="Arial" w:hAnsi="Arial" w:cs="Arial"/>
          <w:b/>
          <w:bCs/>
        </w:rPr>
        <w:t>assess</w:t>
      </w:r>
      <w:r w:rsidRPr="00A374AD">
        <w:rPr>
          <w:rFonts w:ascii="Arial" w:hAnsi="Arial" w:cs="Arial"/>
          <w:b/>
          <w:bCs/>
        </w:rPr>
        <w:t>?</w:t>
      </w:r>
    </w:p>
    <w:p w14:paraId="7700425D" w14:textId="77777777" w:rsidR="001B02F8" w:rsidRPr="001B02F8" w:rsidRDefault="001B02F8" w:rsidP="001B02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Facilities and Equipment for Oral Surgical procedures</w:t>
      </w:r>
    </w:p>
    <w:p w14:paraId="6BC6B86D" w14:textId="77777777" w:rsidR="001B02F8" w:rsidRPr="001B02F8" w:rsidRDefault="001B02F8" w:rsidP="001B02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Training and Competence</w:t>
      </w:r>
    </w:p>
    <w:p w14:paraId="4F247A86" w14:textId="419E1A9E" w:rsidR="001B02F8" w:rsidRPr="001B02F8" w:rsidRDefault="001B02F8" w:rsidP="001B02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Pre-operative Assessment</w:t>
      </w:r>
    </w:p>
    <w:p w14:paraId="295930F8" w14:textId="25EF3524" w:rsidR="001B02F8" w:rsidRPr="001B02F8" w:rsidRDefault="001B02F8" w:rsidP="001B02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Diagnosis, Treatment Planning and Consent</w:t>
      </w:r>
    </w:p>
    <w:p w14:paraId="5BA913AE" w14:textId="6FE480F0" w:rsidR="001B02F8" w:rsidRPr="001B02F8" w:rsidRDefault="001B02F8" w:rsidP="001B02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 xml:space="preserve">Peri-operative stage and </w:t>
      </w:r>
      <w:r w:rsidR="00893743">
        <w:rPr>
          <w:rFonts w:ascii="Arial" w:hAnsi="Arial" w:cs="Arial"/>
        </w:rPr>
        <w:t>C</w:t>
      </w:r>
      <w:r w:rsidRPr="001B02F8">
        <w:rPr>
          <w:rFonts w:ascii="Arial" w:hAnsi="Arial" w:cs="Arial"/>
        </w:rPr>
        <w:t xml:space="preserve">ontemporaneous </w:t>
      </w:r>
      <w:r w:rsidR="00893743">
        <w:rPr>
          <w:rFonts w:ascii="Arial" w:hAnsi="Arial" w:cs="Arial"/>
        </w:rPr>
        <w:t>R</w:t>
      </w:r>
      <w:r w:rsidRPr="001B02F8">
        <w:rPr>
          <w:rFonts w:ascii="Arial" w:hAnsi="Arial" w:cs="Arial"/>
        </w:rPr>
        <w:t xml:space="preserve">ecord </w:t>
      </w:r>
      <w:r w:rsidR="00893743">
        <w:rPr>
          <w:rFonts w:ascii="Arial" w:hAnsi="Arial" w:cs="Arial"/>
        </w:rPr>
        <w:t>K</w:t>
      </w:r>
      <w:r w:rsidRPr="001B02F8">
        <w:rPr>
          <w:rFonts w:ascii="Arial" w:hAnsi="Arial" w:cs="Arial"/>
        </w:rPr>
        <w:t>eeping</w:t>
      </w:r>
    </w:p>
    <w:p w14:paraId="55DEEBEE" w14:textId="77777777" w:rsidR="001B02F8" w:rsidRPr="001B02F8" w:rsidRDefault="001B02F8" w:rsidP="001B02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Management of Complications</w:t>
      </w:r>
    </w:p>
    <w:p w14:paraId="399A6C34" w14:textId="640DF6B4" w:rsidR="001B02F8" w:rsidRPr="001B02F8" w:rsidRDefault="001B02F8" w:rsidP="001B02F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Treatment Outcomes</w:t>
      </w:r>
    </w:p>
    <w:p w14:paraId="5DEAD6DF" w14:textId="3E0243AA" w:rsidR="001B02F8" w:rsidRPr="00A374AD" w:rsidRDefault="001B02F8" w:rsidP="00A374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B02F8">
        <w:rPr>
          <w:rFonts w:ascii="Arial" w:hAnsi="Arial" w:cs="Arial"/>
        </w:rPr>
        <w:t>Performance Indicators</w:t>
      </w:r>
    </w:p>
    <w:p w14:paraId="5786D965" w14:textId="16F9BA8E" w:rsidR="003F2DA7" w:rsidRPr="00A374AD" w:rsidRDefault="003F2DA7">
      <w:pPr>
        <w:rPr>
          <w:rFonts w:ascii="Arial" w:hAnsi="Arial" w:cs="Arial"/>
          <w:b/>
          <w:bCs/>
        </w:rPr>
      </w:pPr>
      <w:r w:rsidRPr="00A374AD">
        <w:rPr>
          <w:rFonts w:ascii="Arial" w:hAnsi="Arial" w:cs="Arial"/>
          <w:b/>
          <w:bCs/>
        </w:rPr>
        <w:t>Who c</w:t>
      </w:r>
      <w:r w:rsidR="00893743">
        <w:rPr>
          <w:rFonts w:ascii="Arial" w:hAnsi="Arial" w:cs="Arial"/>
          <w:b/>
          <w:bCs/>
        </w:rPr>
        <w:t>an</w:t>
      </w:r>
      <w:r w:rsidRPr="00A374AD">
        <w:rPr>
          <w:rFonts w:ascii="Arial" w:hAnsi="Arial" w:cs="Arial"/>
          <w:b/>
          <w:bCs/>
        </w:rPr>
        <w:t xml:space="preserve"> complete the audit?</w:t>
      </w:r>
    </w:p>
    <w:p w14:paraId="75ED1BA0" w14:textId="16E28113" w:rsidR="003F2DA7" w:rsidRDefault="003F2DA7">
      <w:pPr>
        <w:rPr>
          <w:rFonts w:ascii="Arial" w:hAnsi="Arial" w:cs="Arial"/>
        </w:rPr>
      </w:pPr>
      <w:r w:rsidRPr="00D4267A">
        <w:rPr>
          <w:rFonts w:ascii="Arial" w:hAnsi="Arial" w:cs="Arial"/>
        </w:rPr>
        <w:t xml:space="preserve">The audit </w:t>
      </w:r>
      <w:r w:rsidR="00893743">
        <w:rPr>
          <w:rFonts w:ascii="Arial" w:hAnsi="Arial" w:cs="Arial"/>
        </w:rPr>
        <w:t>can be completed</w:t>
      </w:r>
      <w:r w:rsidRPr="00D4267A">
        <w:rPr>
          <w:rFonts w:ascii="Arial" w:hAnsi="Arial" w:cs="Arial"/>
        </w:rPr>
        <w:t xml:space="preserve"> by any member of the dental team that has read and understood the</w:t>
      </w:r>
      <w:r w:rsidR="00C67617">
        <w:rPr>
          <w:rFonts w:ascii="Arial" w:hAnsi="Arial" w:cs="Arial"/>
        </w:rPr>
        <w:t xml:space="preserve"> relevant</w:t>
      </w:r>
      <w:r w:rsidRPr="00D4267A">
        <w:rPr>
          <w:rFonts w:ascii="Arial" w:hAnsi="Arial" w:cs="Arial"/>
        </w:rPr>
        <w:t xml:space="preserve"> </w:t>
      </w:r>
      <w:r w:rsidR="00A374AD">
        <w:rPr>
          <w:rFonts w:ascii="Arial" w:hAnsi="Arial" w:cs="Arial"/>
        </w:rPr>
        <w:t>clinical and governance guidance pertinent to the provision of oral surg</w:t>
      </w:r>
      <w:r w:rsidR="009B59C3">
        <w:rPr>
          <w:rFonts w:ascii="Arial" w:hAnsi="Arial" w:cs="Arial"/>
        </w:rPr>
        <w:t>ical procedures</w:t>
      </w:r>
      <w:r w:rsidR="00A374AD">
        <w:rPr>
          <w:rFonts w:ascii="Arial" w:hAnsi="Arial" w:cs="Arial"/>
        </w:rPr>
        <w:t xml:space="preserve"> in a high street </w:t>
      </w:r>
      <w:r w:rsidR="00172CE7">
        <w:rPr>
          <w:rFonts w:ascii="Arial" w:hAnsi="Arial" w:cs="Arial"/>
        </w:rPr>
        <w:t>general dental practice setting</w:t>
      </w:r>
      <w:r w:rsidR="00A374AD">
        <w:rPr>
          <w:rFonts w:ascii="Arial" w:hAnsi="Arial" w:cs="Arial"/>
        </w:rPr>
        <w:t xml:space="preserve"> </w:t>
      </w:r>
      <w:r w:rsidRPr="00D4267A">
        <w:rPr>
          <w:rFonts w:ascii="Arial" w:hAnsi="Arial" w:cs="Arial"/>
        </w:rPr>
        <w:t>(links provided</w:t>
      </w:r>
      <w:r w:rsidR="00C67617">
        <w:rPr>
          <w:rFonts w:ascii="Arial" w:hAnsi="Arial" w:cs="Arial"/>
        </w:rPr>
        <w:t xml:space="preserve"> below</w:t>
      </w:r>
      <w:r w:rsidRPr="00D4267A">
        <w:rPr>
          <w:rFonts w:ascii="Arial" w:hAnsi="Arial" w:cs="Arial"/>
        </w:rPr>
        <w:t>).</w:t>
      </w:r>
    </w:p>
    <w:p w14:paraId="53161BAA" w14:textId="7194EED9" w:rsidR="00A11FF1" w:rsidRPr="004309BD" w:rsidRDefault="00172CE7" w:rsidP="008937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93743">
        <w:rPr>
          <w:rFonts w:ascii="Arial" w:hAnsi="Arial" w:cs="Arial"/>
        </w:rPr>
        <w:t xml:space="preserve">Facilities and equipment: </w:t>
      </w:r>
      <w:hyperlink r:id="rId6" w:history="1">
        <w:r w:rsidRPr="00893743">
          <w:rPr>
            <w:rStyle w:val="Hyperlink"/>
            <w:rFonts w:ascii="Arial" w:hAnsi="Arial" w:cs="Arial"/>
          </w:rPr>
          <w:t>https://www.resus.org.uk/library/quality-standards-cpr/primary-dental-care</w:t>
        </w:r>
      </w:hyperlink>
      <w:r w:rsidRPr="00893743">
        <w:rPr>
          <w:rFonts w:ascii="Arial" w:hAnsi="Arial" w:cs="Arial"/>
        </w:rPr>
        <w:t xml:space="preserve"> ,  </w:t>
      </w:r>
      <w:r w:rsidR="00000000">
        <w:fldChar w:fldCharType="begin"/>
      </w:r>
      <w:r w:rsidR="00000000">
        <w:instrText>HYPERLINK "https://bnf.nice.org.uk/guidance/prescribing-in-dental-practice.html"</w:instrText>
      </w:r>
      <w:r w:rsidR="00000000">
        <w:fldChar w:fldCharType="separate"/>
      </w:r>
      <w:r w:rsidRPr="00893743">
        <w:rPr>
          <w:rStyle w:val="Hyperlink"/>
          <w:rFonts w:ascii="Arial" w:hAnsi="Arial" w:cs="Arial"/>
        </w:rPr>
        <w:t>https://bnf.nice.org.uk/guidance/prescribing-in-dental-practice.html</w:t>
      </w:r>
      <w:r w:rsidR="00000000">
        <w:rPr>
          <w:rStyle w:val="Hyperlink"/>
          <w:rFonts w:ascii="Arial" w:hAnsi="Arial" w:cs="Arial"/>
        </w:rPr>
        <w:fldChar w:fldCharType="end"/>
      </w:r>
      <w:r w:rsidR="00A11FF1" w:rsidRPr="00893743">
        <w:rPr>
          <w:rFonts w:ascii="Arial" w:hAnsi="Arial" w:cs="Arial"/>
        </w:rPr>
        <w:t xml:space="preserve"> ,</w:t>
      </w:r>
      <w:r w:rsidR="00A11FF1" w:rsidRPr="00A11FF1">
        <w:t xml:space="preserve"> </w:t>
      </w:r>
    </w:p>
    <w:p w14:paraId="52ABA2B5" w14:textId="6602647B" w:rsidR="004309BD" w:rsidRPr="004309BD" w:rsidRDefault="004309BD" w:rsidP="004309BD">
      <w:pPr>
        <w:pStyle w:val="ListParagraph"/>
        <w:ind w:left="360"/>
      </w:pPr>
      <w:r w:rsidRPr="004309BD">
        <w:fldChar w:fldCharType="begin"/>
      </w:r>
      <w:r w:rsidRPr="004309BD">
        <w:instrText>HYPERLINK "https://www.england.nhs.uk/long-read/oral-surgery-clinical-standard/"</w:instrText>
      </w:r>
      <w:r w:rsidRPr="004309BD">
        <w:fldChar w:fldCharType="separate"/>
      </w:r>
      <w:r w:rsidRPr="004309BD">
        <w:rPr>
          <w:color w:val="0000FF"/>
          <w:u w:val="single"/>
        </w:rPr>
        <w:t>NHS England » Oral surgery clinical standard</w:t>
      </w:r>
      <w:r w:rsidRPr="004309BD">
        <w:fldChar w:fldCharType="end"/>
      </w:r>
    </w:p>
    <w:p w14:paraId="317FDF70" w14:textId="0BA2EA8F" w:rsidR="00301C47" w:rsidRPr="00893743" w:rsidRDefault="00172CE7" w:rsidP="008937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93743">
        <w:rPr>
          <w:rFonts w:ascii="Arial" w:hAnsi="Arial" w:cs="Arial"/>
        </w:rPr>
        <w:t xml:space="preserve">Scope of practice: </w:t>
      </w:r>
      <w:hyperlink r:id="rId7" w:history="1">
        <w:r w:rsidR="00301C47" w:rsidRPr="00893743">
          <w:rPr>
            <w:rStyle w:val="Hyperlink"/>
            <w:rFonts w:ascii="Arial" w:hAnsi="Arial" w:cs="Arial"/>
          </w:rPr>
          <w:t>https://www.gdc-uk.org/docs/default-source/scope-of-practice/scope-of-practice.pdf</w:t>
        </w:r>
      </w:hyperlink>
    </w:p>
    <w:p w14:paraId="6A4B1660" w14:textId="01FAA29D" w:rsidR="00172CE7" w:rsidRPr="00893743" w:rsidRDefault="00172CE7" w:rsidP="008937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93743">
        <w:rPr>
          <w:rFonts w:ascii="Arial" w:hAnsi="Arial" w:cs="Arial"/>
        </w:rPr>
        <w:t xml:space="preserve">Record Keeping: </w:t>
      </w:r>
      <w:r w:rsidR="00000000">
        <w:fldChar w:fldCharType="begin"/>
      </w:r>
      <w:r w:rsidR="00000000">
        <w:instrText>HYPERLINK "https://www.england.nhs.uk/wp-content/uploads/2019/10/dental-record-keeping-standards-a-consensus-approach.pdf"</w:instrText>
      </w:r>
      <w:r w:rsidR="00000000">
        <w:fldChar w:fldCharType="separate"/>
      </w:r>
      <w:r w:rsidRPr="00893743">
        <w:rPr>
          <w:rStyle w:val="Hyperlink"/>
          <w:rFonts w:ascii="Arial" w:hAnsi="Arial" w:cs="Arial"/>
        </w:rPr>
        <w:t>https://www.england.nhs.uk/wp-content/uploads/2019/10/dental-record-keeping-standards-a-consensus-approach.pdf</w:t>
      </w:r>
      <w:r w:rsidR="00000000">
        <w:rPr>
          <w:rStyle w:val="Hyperlink"/>
          <w:rFonts w:ascii="Arial" w:hAnsi="Arial" w:cs="Arial"/>
        </w:rPr>
        <w:fldChar w:fldCharType="end"/>
      </w:r>
      <w:r w:rsidRPr="00893743">
        <w:rPr>
          <w:rFonts w:ascii="Arial" w:hAnsi="Arial" w:cs="Arial"/>
        </w:rPr>
        <w:t xml:space="preserve"> , </w:t>
      </w:r>
      <w:r w:rsidR="00000000">
        <w:fldChar w:fldCharType="begin"/>
      </w:r>
      <w:r w:rsidR="00000000">
        <w:instrText>HYPERLINK "https://cgdent.uk/clinical-examination-and-record-keeping/"</w:instrText>
      </w:r>
      <w:r w:rsidR="00000000">
        <w:fldChar w:fldCharType="separate"/>
      </w:r>
      <w:r w:rsidRPr="00893743">
        <w:rPr>
          <w:rStyle w:val="Hyperlink"/>
          <w:rFonts w:ascii="Arial" w:hAnsi="Arial" w:cs="Arial"/>
        </w:rPr>
        <w:t>https://cgdent.uk/clinical-examination-and-record-keeping/</w:t>
      </w:r>
      <w:r w:rsidR="00000000">
        <w:rPr>
          <w:rStyle w:val="Hyperlink"/>
          <w:rFonts w:ascii="Arial" w:hAnsi="Arial" w:cs="Arial"/>
        </w:rPr>
        <w:fldChar w:fldCharType="end"/>
      </w:r>
    </w:p>
    <w:p w14:paraId="7A06054B" w14:textId="719E8475" w:rsidR="00301C47" w:rsidRPr="00893743" w:rsidRDefault="00301C47" w:rsidP="008937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93743">
        <w:rPr>
          <w:rFonts w:ascii="Arial" w:hAnsi="Arial" w:cs="Arial"/>
        </w:rPr>
        <w:t xml:space="preserve">Dental Anxiety Questionnaire: </w:t>
      </w:r>
      <w:hyperlink r:id="rId8" w:history="1">
        <w:r w:rsidR="002E4996" w:rsidRPr="002E4996">
          <w:rPr>
            <w:rStyle w:val="Hyperlink"/>
            <w:rFonts w:ascii="Arial" w:hAnsi="Arial" w:cs="Arial"/>
          </w:rPr>
          <w:t>Forms - A4.indd (sdcep.org.uk)</w:t>
        </w:r>
      </w:hyperlink>
    </w:p>
    <w:p w14:paraId="11024F9A" w14:textId="7F854E20" w:rsidR="00172CE7" w:rsidRPr="00893743" w:rsidRDefault="00172CE7" w:rsidP="0089374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93743">
        <w:rPr>
          <w:rFonts w:ascii="Arial" w:hAnsi="Arial" w:cs="Arial"/>
        </w:rPr>
        <w:t xml:space="preserve">Consent (Montgomery Ruling): </w:t>
      </w:r>
      <w:hyperlink r:id="rId9" w:history="1">
        <w:r w:rsidRPr="00893743">
          <w:rPr>
            <w:rStyle w:val="Hyperlink"/>
            <w:rFonts w:ascii="Arial" w:hAnsi="Arial" w:cs="Arial"/>
          </w:rPr>
          <w:t>https://www.supremecourt.uk/cases/uksc-2013-0136.html</w:t>
        </w:r>
      </w:hyperlink>
    </w:p>
    <w:p w14:paraId="5ED49A3B" w14:textId="77777777" w:rsidR="009B59C3" w:rsidRPr="009B59C3" w:rsidRDefault="00A11FF1" w:rsidP="009B59C3">
      <w:pPr>
        <w:pStyle w:val="ListParagraph"/>
        <w:numPr>
          <w:ilvl w:val="0"/>
          <w:numId w:val="10"/>
        </w:numPr>
        <w:rPr>
          <w:rStyle w:val="Hyperlink"/>
          <w:rFonts w:ascii="Arial" w:hAnsi="Arial" w:cs="Arial"/>
          <w:color w:val="auto"/>
          <w:u w:val="none"/>
        </w:rPr>
      </w:pPr>
      <w:r w:rsidRPr="00893743">
        <w:rPr>
          <w:rFonts w:ascii="Arial" w:hAnsi="Arial" w:cs="Arial"/>
        </w:rPr>
        <w:lastRenderedPageBreak/>
        <w:t>M</w:t>
      </w:r>
      <w:r w:rsidR="009B59C3">
        <w:rPr>
          <w:rFonts w:ascii="Arial" w:hAnsi="Arial" w:cs="Arial"/>
        </w:rPr>
        <w:t>inimising human error</w:t>
      </w:r>
      <w:r w:rsidRPr="00893743">
        <w:rPr>
          <w:rFonts w:ascii="Arial" w:hAnsi="Arial" w:cs="Arial"/>
        </w:rPr>
        <w:t>:</w:t>
      </w:r>
      <w:r w:rsidRPr="00A11FF1">
        <w:t xml:space="preserve"> </w:t>
      </w:r>
      <w:hyperlink r:id="rId10" w:history="1">
        <w:r w:rsidRPr="00893743">
          <w:rPr>
            <w:rStyle w:val="Hyperlink"/>
            <w:rFonts w:ascii="Arial" w:hAnsi="Arial" w:cs="Arial"/>
          </w:rPr>
          <w:t>https://www.rcseng.ac.uk/dental-faculties/fds/publications-guidelines/locssips-toolkit-dental-extraction/</w:t>
        </w:r>
      </w:hyperlink>
    </w:p>
    <w:p w14:paraId="6254D2D9" w14:textId="7F3C5315" w:rsidR="009B59C3" w:rsidRPr="00C83684" w:rsidRDefault="009B59C3" w:rsidP="009B59C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9B59C3">
        <w:rPr>
          <w:rFonts w:ascii="Arial" w:hAnsi="Arial" w:cs="Arial"/>
        </w:rPr>
        <w:t>Management of complications:</w:t>
      </w:r>
      <w:r w:rsidR="004309BD" w:rsidRPr="004309BD">
        <w:t xml:space="preserve"> </w:t>
      </w:r>
      <w:r w:rsidR="004309BD" w:rsidRPr="004309BD">
        <w:fldChar w:fldCharType="begin"/>
      </w:r>
      <w:r w:rsidR="004309BD" w:rsidRPr="004309BD">
        <w:instrText>HYPERLINK "https://www.rcseng.ac.uk/dental-faculties/fds/publications-guidelines/clinical-guidelines/"</w:instrText>
      </w:r>
      <w:r w:rsidR="004309BD" w:rsidRPr="004309BD">
        <w:fldChar w:fldCharType="separate"/>
      </w:r>
      <w:r w:rsidR="004309BD" w:rsidRPr="004309BD">
        <w:rPr>
          <w:color w:val="0000FF"/>
          <w:u w:val="single"/>
        </w:rPr>
        <w:t>Clinical Guidelines — Royal College of Surgeons (rcseng.ac.uk)</w:t>
      </w:r>
      <w:r w:rsidR="004309BD" w:rsidRPr="004309BD">
        <w:fldChar w:fldCharType="end"/>
      </w:r>
      <w:r w:rsidRPr="009B1487">
        <w:rPr>
          <w:rFonts w:ascii="Arial" w:hAnsi="Arial" w:cs="Arial"/>
          <w:color w:val="0070C0"/>
        </w:rPr>
        <w:t xml:space="preserve">, </w:t>
      </w:r>
      <w:r w:rsidR="00000000">
        <w:fldChar w:fldCharType="begin"/>
      </w:r>
      <w:r w:rsidR="00000000">
        <w:instrText>HYPERLINK "https://www.rcseng.ac.uk/dental-faculties/fds/faculty/news/archive/antimicrobial-prescribing-guidelines/"</w:instrText>
      </w:r>
      <w:r w:rsidR="00000000">
        <w:fldChar w:fldCharType="separate"/>
      </w:r>
      <w:r w:rsidRPr="009B1487">
        <w:rPr>
          <w:rStyle w:val="Hyperlink"/>
          <w:rFonts w:ascii="Arial" w:hAnsi="Arial" w:cs="Arial"/>
          <w:color w:val="0070C0"/>
        </w:rPr>
        <w:t>https://www.rcseng.ac.uk/dental-faculties/fds/faculty/news/archive/antimicrobial-prescribing-guidelines/</w:t>
      </w:r>
      <w:r w:rsidR="00000000">
        <w:rPr>
          <w:rStyle w:val="Hyperlink"/>
          <w:rFonts w:ascii="Arial" w:hAnsi="Arial" w:cs="Arial"/>
          <w:color w:val="0070C0"/>
        </w:rPr>
        <w:fldChar w:fldCharType="end"/>
      </w:r>
      <w:r w:rsidRPr="009B1487">
        <w:rPr>
          <w:rFonts w:ascii="Arial" w:hAnsi="Arial" w:cs="Arial"/>
          <w:color w:val="0070C0"/>
        </w:rPr>
        <w:t xml:space="preserve">, </w:t>
      </w:r>
    </w:p>
    <w:p w14:paraId="7E1FA025" w14:textId="4E2954D5" w:rsidR="00C83684" w:rsidRDefault="00000000" w:rsidP="00C83684">
      <w:pPr>
        <w:pStyle w:val="ListParagraph"/>
        <w:ind w:left="360"/>
        <w:rPr>
          <w:rFonts w:ascii="Arial" w:hAnsi="Arial" w:cs="Arial"/>
        </w:rPr>
      </w:pPr>
      <w:r>
        <w:fldChar w:fldCharType="begin"/>
      </w:r>
      <w:r>
        <w:instrText>HYPERLINK "https://www.nature.com/articles/s41415-019-0989-9?proof=t%253B"</w:instrText>
      </w:r>
      <w:r>
        <w:fldChar w:fldCharType="separate"/>
      </w:r>
      <w:r w:rsidR="00C83684" w:rsidRPr="004F459D">
        <w:rPr>
          <w:rStyle w:val="Hyperlink"/>
          <w:rFonts w:ascii="Arial" w:hAnsi="Arial" w:cs="Arial"/>
        </w:rPr>
        <w:t>https://www.nature.com/articles/s41415-019-0989-9?proof=t%253B</w:t>
      </w:r>
      <w:r>
        <w:rPr>
          <w:rStyle w:val="Hyperlink"/>
          <w:rFonts w:ascii="Arial" w:hAnsi="Arial" w:cs="Arial"/>
        </w:rPr>
        <w:fldChar w:fldCharType="end"/>
      </w:r>
    </w:p>
    <w:p w14:paraId="6667F467" w14:textId="49B8D29E" w:rsidR="001D26EF" w:rsidRPr="00A374AD" w:rsidRDefault="001D26EF">
      <w:pPr>
        <w:rPr>
          <w:rFonts w:ascii="Arial" w:hAnsi="Arial" w:cs="Arial"/>
          <w:b/>
          <w:bCs/>
        </w:rPr>
      </w:pPr>
      <w:r w:rsidRPr="00A374AD">
        <w:rPr>
          <w:rFonts w:ascii="Arial" w:hAnsi="Arial" w:cs="Arial"/>
          <w:b/>
          <w:bCs/>
        </w:rPr>
        <w:t>How many records should be audited, and how long might it take?</w:t>
      </w:r>
    </w:p>
    <w:p w14:paraId="22420C5B" w14:textId="26A34BC5" w:rsidR="00CB0BD0" w:rsidRDefault="00CB0B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Choose ten patient records </w:t>
      </w:r>
      <w:r w:rsidR="00BD4917">
        <w:rPr>
          <w:rFonts w:ascii="Arial" w:hAnsi="Arial" w:cs="Arial"/>
        </w:rPr>
        <w:t>where a patient has undergone an oral surgery procedure (</w:t>
      </w:r>
      <w:r w:rsidR="00893743">
        <w:rPr>
          <w:rFonts w:ascii="Arial" w:hAnsi="Arial" w:cs="Arial"/>
        </w:rPr>
        <w:t>such as a r</w:t>
      </w:r>
      <w:r w:rsidR="00BD4917">
        <w:rPr>
          <w:rFonts w:ascii="Arial" w:hAnsi="Arial" w:cs="Arial"/>
        </w:rPr>
        <w:t xml:space="preserve">outine dental extraction, surgical extraction, soft tissue surgery, periodontal surgery) </w:t>
      </w:r>
      <w:r>
        <w:rPr>
          <w:rFonts w:ascii="Arial" w:hAnsi="Arial" w:cs="Arial"/>
        </w:rPr>
        <w:t xml:space="preserve">to assess </w:t>
      </w:r>
      <w:r w:rsidR="00BD4917">
        <w:rPr>
          <w:rFonts w:ascii="Arial" w:hAnsi="Arial" w:cs="Arial"/>
        </w:rPr>
        <w:t>the record keeping sections of the audit.</w:t>
      </w:r>
    </w:p>
    <w:p w14:paraId="5274D522" w14:textId="30BC8CD8" w:rsidR="001D26EF" w:rsidRPr="00D4267A" w:rsidRDefault="001D26EF">
      <w:pPr>
        <w:rPr>
          <w:rFonts w:ascii="Arial" w:hAnsi="Arial" w:cs="Arial"/>
        </w:rPr>
      </w:pPr>
      <w:r w:rsidRPr="00D4267A">
        <w:rPr>
          <w:rFonts w:ascii="Arial" w:hAnsi="Arial" w:cs="Arial"/>
        </w:rPr>
        <w:t xml:space="preserve">The </w:t>
      </w:r>
      <w:r w:rsidR="00893743">
        <w:rPr>
          <w:rFonts w:ascii="Arial" w:hAnsi="Arial" w:cs="Arial"/>
        </w:rPr>
        <w:t xml:space="preserve">average </w:t>
      </w:r>
      <w:r w:rsidRPr="00D4267A">
        <w:rPr>
          <w:rFonts w:ascii="Arial" w:hAnsi="Arial" w:cs="Arial"/>
        </w:rPr>
        <w:t>time taken to complete</w:t>
      </w:r>
      <w:r w:rsidR="00244750">
        <w:rPr>
          <w:rFonts w:ascii="Arial" w:hAnsi="Arial" w:cs="Arial"/>
        </w:rPr>
        <w:t xml:space="preserve"> </w:t>
      </w:r>
      <w:r w:rsidRPr="00D4267A">
        <w:rPr>
          <w:rFonts w:ascii="Arial" w:hAnsi="Arial" w:cs="Arial"/>
        </w:rPr>
        <w:t xml:space="preserve">the audit </w:t>
      </w:r>
      <w:r w:rsidR="00244750">
        <w:rPr>
          <w:rFonts w:ascii="Arial" w:hAnsi="Arial" w:cs="Arial"/>
        </w:rPr>
        <w:t>is 3 hours</w:t>
      </w:r>
      <w:r w:rsidR="0033075D">
        <w:rPr>
          <w:rFonts w:ascii="Arial" w:hAnsi="Arial" w:cs="Arial"/>
        </w:rPr>
        <w:t xml:space="preserve"> however this will </w:t>
      </w:r>
      <w:r w:rsidRPr="00D4267A">
        <w:rPr>
          <w:rFonts w:ascii="Arial" w:hAnsi="Arial" w:cs="Arial"/>
        </w:rPr>
        <w:t xml:space="preserve">depend on </w:t>
      </w:r>
      <w:r w:rsidR="0033075D">
        <w:rPr>
          <w:rFonts w:ascii="Arial" w:hAnsi="Arial" w:cs="Arial"/>
        </w:rPr>
        <w:t xml:space="preserve">your </w:t>
      </w:r>
      <w:r w:rsidR="00D4267A" w:rsidRPr="00D4267A">
        <w:rPr>
          <w:rFonts w:ascii="Arial" w:hAnsi="Arial" w:cs="Arial"/>
        </w:rPr>
        <w:t xml:space="preserve">familiarity </w:t>
      </w:r>
      <w:r w:rsidR="0033075D">
        <w:rPr>
          <w:rFonts w:ascii="Arial" w:hAnsi="Arial" w:cs="Arial"/>
        </w:rPr>
        <w:t xml:space="preserve">with the </w:t>
      </w:r>
      <w:r w:rsidR="00D4267A" w:rsidRPr="00D4267A">
        <w:rPr>
          <w:rFonts w:ascii="Arial" w:hAnsi="Arial" w:cs="Arial"/>
        </w:rPr>
        <w:t>guidelines</w:t>
      </w:r>
      <w:r w:rsidRPr="00D4267A">
        <w:rPr>
          <w:rFonts w:ascii="Arial" w:hAnsi="Arial" w:cs="Arial"/>
        </w:rPr>
        <w:t>.</w:t>
      </w:r>
      <w:r w:rsidR="00D4267A" w:rsidRPr="00D4267A">
        <w:rPr>
          <w:rFonts w:ascii="Arial" w:hAnsi="Arial" w:cs="Arial"/>
        </w:rPr>
        <w:t xml:space="preserve"> </w:t>
      </w:r>
    </w:p>
    <w:p w14:paraId="5FFFAA43" w14:textId="714E2D8E" w:rsidR="001D26EF" w:rsidRPr="00A374AD" w:rsidRDefault="001D26EF">
      <w:pPr>
        <w:rPr>
          <w:rFonts w:ascii="Arial" w:hAnsi="Arial" w:cs="Arial"/>
          <w:b/>
          <w:bCs/>
        </w:rPr>
      </w:pPr>
      <w:r w:rsidRPr="00A374AD">
        <w:rPr>
          <w:rFonts w:ascii="Arial" w:hAnsi="Arial" w:cs="Arial"/>
          <w:b/>
          <w:bCs/>
        </w:rPr>
        <w:t>What are the possible outcomes of the audit?</w:t>
      </w:r>
    </w:p>
    <w:p w14:paraId="4709BED6" w14:textId="0F9F8BBB" w:rsidR="00D4267A" w:rsidRPr="00D4267A" w:rsidRDefault="00612F1C" w:rsidP="00D426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Identification of existing good clinical practice</w:t>
      </w:r>
    </w:p>
    <w:p w14:paraId="61567AE0" w14:textId="22D98FA8" w:rsidR="00D4267A" w:rsidRPr="00D4267A" w:rsidRDefault="00C67617" w:rsidP="00D4267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Improved </w:t>
      </w:r>
      <w:r w:rsidR="00612F1C">
        <w:rPr>
          <w:rFonts w:ascii="Arial" w:hAnsi="Arial" w:cs="Arial"/>
        </w:rPr>
        <w:t>clinical record keeping</w:t>
      </w:r>
    </w:p>
    <w:p w14:paraId="1E0C058C" w14:textId="74D1A17A" w:rsidR="00612F1C" w:rsidRDefault="00D4267A" w:rsidP="005E69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D6DEA">
        <w:rPr>
          <w:rFonts w:ascii="Arial" w:hAnsi="Arial" w:cs="Arial"/>
        </w:rPr>
        <w:t>Improved awareness</w:t>
      </w:r>
      <w:r w:rsidR="00612F1C">
        <w:rPr>
          <w:rFonts w:ascii="Arial" w:hAnsi="Arial" w:cs="Arial"/>
        </w:rPr>
        <w:t xml:space="preserve"> of reporting and preventing adverse events associated with oral surg</w:t>
      </w:r>
      <w:r w:rsidR="009245DC">
        <w:rPr>
          <w:rFonts w:ascii="Arial" w:hAnsi="Arial" w:cs="Arial"/>
        </w:rPr>
        <w:t>ical</w:t>
      </w:r>
      <w:r w:rsidR="009B59C3">
        <w:rPr>
          <w:rFonts w:ascii="Arial" w:hAnsi="Arial" w:cs="Arial"/>
        </w:rPr>
        <w:t xml:space="preserve"> procedures</w:t>
      </w:r>
    </w:p>
    <w:p w14:paraId="5EDDF622" w14:textId="3DB48790" w:rsidR="001D26EF" w:rsidRPr="005E69DD" w:rsidRDefault="00612F1C" w:rsidP="005E69D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Improved patient experience for oral surg</w:t>
      </w:r>
      <w:r w:rsidR="009B59C3">
        <w:rPr>
          <w:rFonts w:ascii="Arial" w:hAnsi="Arial" w:cs="Arial"/>
        </w:rPr>
        <w:t>ical procedures</w:t>
      </w:r>
      <w:r w:rsidR="001D26EF" w:rsidRPr="00DD6DEA">
        <w:rPr>
          <w:rFonts w:ascii="Arial" w:hAnsi="Arial" w:cs="Arial"/>
        </w:rPr>
        <w:t xml:space="preserve"> </w:t>
      </w:r>
    </w:p>
    <w:p w14:paraId="7ECE0E9A" w14:textId="0731F0F7" w:rsidR="0084554A" w:rsidRPr="00A374AD" w:rsidRDefault="0084554A">
      <w:pPr>
        <w:rPr>
          <w:rFonts w:ascii="Arial" w:hAnsi="Arial" w:cs="Arial"/>
          <w:b/>
          <w:bCs/>
        </w:rPr>
      </w:pPr>
      <w:r w:rsidRPr="00A374AD">
        <w:rPr>
          <w:rFonts w:ascii="Arial" w:hAnsi="Arial" w:cs="Arial"/>
          <w:b/>
          <w:bCs/>
        </w:rPr>
        <w:t xml:space="preserve">How to use this audit.   </w:t>
      </w:r>
    </w:p>
    <w:p w14:paraId="2112AB58" w14:textId="4B882A71" w:rsidR="001A78CD" w:rsidRPr="0075305E" w:rsidRDefault="00D3381A" w:rsidP="0075305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5305E">
        <w:rPr>
          <w:rFonts w:ascii="Arial" w:hAnsi="Arial" w:cs="Arial"/>
        </w:rPr>
        <w:t>Familiarise yourself with the</w:t>
      </w:r>
      <w:r w:rsidR="001A78CD" w:rsidRPr="0075305E">
        <w:rPr>
          <w:rFonts w:ascii="Arial" w:hAnsi="Arial" w:cs="Arial"/>
        </w:rPr>
        <w:t xml:space="preserve"> guidance documents</w:t>
      </w:r>
      <w:r w:rsidRPr="0075305E">
        <w:rPr>
          <w:rFonts w:ascii="Arial" w:hAnsi="Arial" w:cs="Arial"/>
        </w:rPr>
        <w:t xml:space="preserve">. </w:t>
      </w:r>
    </w:p>
    <w:p w14:paraId="114C081A" w14:textId="66545763" w:rsidR="001A78CD" w:rsidRPr="009B59C3" w:rsidRDefault="001A78CD" w:rsidP="0075305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5305E">
        <w:rPr>
          <w:rFonts w:ascii="Arial" w:hAnsi="Arial" w:cs="Arial"/>
        </w:rPr>
        <w:t xml:space="preserve">Complete the audit questions using a combination of assessing the existing practice governance system and patient dental care records where an oral surgery procedure was carried out. </w:t>
      </w:r>
      <w:r w:rsidR="003C6EB3">
        <w:rPr>
          <w:rFonts w:ascii="Arial" w:hAnsi="Arial" w:cs="Arial"/>
        </w:rPr>
        <w:t xml:space="preserve">A series of drop-down boxes are to be used to answer each question with a comments section if required. </w:t>
      </w:r>
      <w:r w:rsidRPr="0075305E">
        <w:rPr>
          <w:rFonts w:ascii="Arial" w:hAnsi="Arial" w:cs="Arial"/>
        </w:rPr>
        <w:t xml:space="preserve">Please </w:t>
      </w:r>
      <w:r w:rsidRPr="009B59C3">
        <w:rPr>
          <w:rFonts w:ascii="Arial" w:hAnsi="Arial" w:cs="Arial"/>
        </w:rPr>
        <w:t>note, the governance questions are only required to be assessed once and not for each patient ID</w:t>
      </w:r>
      <w:r w:rsidR="005C438B" w:rsidRPr="009B59C3">
        <w:rPr>
          <w:rFonts w:ascii="Arial" w:hAnsi="Arial" w:cs="Arial"/>
        </w:rPr>
        <w:t xml:space="preserve"> (see TAB 1 of the accompanying excel spreadsheet).</w:t>
      </w:r>
    </w:p>
    <w:p w14:paraId="0C1A18D0" w14:textId="466A9175" w:rsidR="001A78CD" w:rsidRPr="009B59C3" w:rsidRDefault="001A78CD" w:rsidP="0075305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B59C3">
        <w:rPr>
          <w:rFonts w:ascii="Arial" w:hAnsi="Arial" w:cs="Arial"/>
        </w:rPr>
        <w:t>Use the accompanying results work sheet</w:t>
      </w:r>
      <w:r w:rsidR="00612F1C" w:rsidRPr="009B59C3">
        <w:rPr>
          <w:rFonts w:ascii="Arial" w:hAnsi="Arial" w:cs="Arial"/>
        </w:rPr>
        <w:t xml:space="preserve"> within the audit tool</w:t>
      </w:r>
      <w:r w:rsidRPr="009B59C3">
        <w:rPr>
          <w:rFonts w:ascii="Arial" w:hAnsi="Arial" w:cs="Arial"/>
        </w:rPr>
        <w:t xml:space="preserve"> to identify areas for improvement</w:t>
      </w:r>
      <w:r w:rsidR="005C438B" w:rsidRPr="009B59C3">
        <w:rPr>
          <w:rFonts w:ascii="Arial" w:hAnsi="Arial" w:cs="Arial"/>
        </w:rPr>
        <w:t xml:space="preserve"> (see TAB 2 of the accompanying excel spreadsheet).</w:t>
      </w:r>
    </w:p>
    <w:p w14:paraId="0D33C005" w14:textId="00585B01" w:rsidR="001A78CD" w:rsidRPr="009B59C3" w:rsidRDefault="001A78CD" w:rsidP="0075305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B59C3">
        <w:rPr>
          <w:rFonts w:ascii="Arial" w:hAnsi="Arial" w:cs="Arial"/>
        </w:rPr>
        <w:t>Use the accompanying action plan work sheet</w:t>
      </w:r>
      <w:r w:rsidR="00612F1C" w:rsidRPr="009B59C3">
        <w:rPr>
          <w:rFonts w:ascii="Arial" w:hAnsi="Arial" w:cs="Arial"/>
        </w:rPr>
        <w:t xml:space="preserve"> within the audit tool</w:t>
      </w:r>
      <w:r w:rsidRPr="009B59C3">
        <w:rPr>
          <w:rFonts w:ascii="Arial" w:hAnsi="Arial" w:cs="Arial"/>
        </w:rPr>
        <w:t xml:space="preserve"> to address the areas requiring improvement</w:t>
      </w:r>
      <w:r w:rsidR="003E6377" w:rsidRPr="009B59C3">
        <w:rPr>
          <w:rFonts w:ascii="Arial" w:hAnsi="Arial" w:cs="Arial"/>
        </w:rPr>
        <w:t xml:space="preserve"> </w:t>
      </w:r>
      <w:bookmarkStart w:id="0" w:name="_Hlk92372891"/>
      <w:r w:rsidR="003E6377" w:rsidRPr="009B59C3">
        <w:rPr>
          <w:rFonts w:ascii="Arial" w:hAnsi="Arial" w:cs="Arial"/>
        </w:rPr>
        <w:t>(see TAB 2 of the accompanying excel spreadsheet).</w:t>
      </w:r>
      <w:bookmarkEnd w:id="0"/>
    </w:p>
    <w:p w14:paraId="7928C0A8" w14:textId="5766D933" w:rsidR="003C6EB3" w:rsidRDefault="00D3381A" w:rsidP="0075305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5305E">
        <w:rPr>
          <w:rFonts w:ascii="Arial" w:hAnsi="Arial" w:cs="Arial"/>
        </w:rPr>
        <w:t xml:space="preserve">Present and discuss the results of the </w:t>
      </w:r>
      <w:r w:rsidR="00AD419B">
        <w:rPr>
          <w:rFonts w:ascii="Arial" w:hAnsi="Arial" w:cs="Arial"/>
        </w:rPr>
        <w:t xml:space="preserve">audit </w:t>
      </w:r>
      <w:r w:rsidRPr="0075305E">
        <w:rPr>
          <w:rFonts w:ascii="Arial" w:hAnsi="Arial" w:cs="Arial"/>
        </w:rPr>
        <w:t xml:space="preserve">with the whole team at the </w:t>
      </w:r>
      <w:r w:rsidR="00893743">
        <w:rPr>
          <w:rFonts w:ascii="Arial" w:hAnsi="Arial" w:cs="Arial"/>
        </w:rPr>
        <w:t xml:space="preserve">dental </w:t>
      </w:r>
      <w:r w:rsidRPr="0075305E">
        <w:rPr>
          <w:rFonts w:ascii="Arial" w:hAnsi="Arial" w:cs="Arial"/>
        </w:rPr>
        <w:t>practice.</w:t>
      </w:r>
    </w:p>
    <w:p w14:paraId="62AB2D75" w14:textId="1FA76CD8" w:rsidR="00D3381A" w:rsidRPr="0075305E" w:rsidRDefault="00D3381A" w:rsidP="0075305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75305E">
        <w:rPr>
          <w:rFonts w:ascii="Arial" w:hAnsi="Arial" w:cs="Arial"/>
        </w:rPr>
        <w:t>Implement any required change</w:t>
      </w:r>
      <w:r w:rsidR="00893743">
        <w:rPr>
          <w:rFonts w:ascii="Arial" w:hAnsi="Arial" w:cs="Arial"/>
        </w:rPr>
        <w:t>s</w:t>
      </w:r>
      <w:r w:rsidRPr="0075305E">
        <w:rPr>
          <w:rFonts w:ascii="Arial" w:hAnsi="Arial" w:cs="Arial"/>
        </w:rPr>
        <w:t xml:space="preserve">.  </w:t>
      </w:r>
    </w:p>
    <w:p w14:paraId="3D0CAC04" w14:textId="468D30E6" w:rsidR="00876D32" w:rsidRPr="00207DA3" w:rsidRDefault="00A45627" w:rsidP="00207D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22BDB">
        <w:rPr>
          <w:rFonts w:ascii="Arial" w:hAnsi="Arial" w:cs="Arial"/>
        </w:rPr>
        <w:t xml:space="preserve"> </w:t>
      </w:r>
    </w:p>
    <w:sectPr w:rsidR="00876D32" w:rsidRPr="00207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D11BE"/>
    <w:multiLevelType w:val="hybridMultilevel"/>
    <w:tmpl w:val="F13E5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D6CA5"/>
    <w:multiLevelType w:val="hybridMultilevel"/>
    <w:tmpl w:val="859A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107DA"/>
    <w:multiLevelType w:val="hybridMultilevel"/>
    <w:tmpl w:val="D30AB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54A99"/>
    <w:multiLevelType w:val="hybridMultilevel"/>
    <w:tmpl w:val="13AE7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949B5"/>
    <w:multiLevelType w:val="hybridMultilevel"/>
    <w:tmpl w:val="8C482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1605F"/>
    <w:multiLevelType w:val="hybridMultilevel"/>
    <w:tmpl w:val="B36808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485A"/>
    <w:multiLevelType w:val="hybridMultilevel"/>
    <w:tmpl w:val="DA5C8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4230B7"/>
    <w:multiLevelType w:val="hybridMultilevel"/>
    <w:tmpl w:val="538A2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2966A8"/>
    <w:multiLevelType w:val="hybridMultilevel"/>
    <w:tmpl w:val="224C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C4494"/>
    <w:multiLevelType w:val="hybridMultilevel"/>
    <w:tmpl w:val="458A4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531272">
    <w:abstractNumId w:val="3"/>
  </w:num>
  <w:num w:numId="2" w16cid:durableId="985933151">
    <w:abstractNumId w:val="4"/>
  </w:num>
  <w:num w:numId="3" w16cid:durableId="574821364">
    <w:abstractNumId w:val="1"/>
  </w:num>
  <w:num w:numId="4" w16cid:durableId="1966352469">
    <w:abstractNumId w:val="2"/>
  </w:num>
  <w:num w:numId="5" w16cid:durableId="1472672407">
    <w:abstractNumId w:val="8"/>
  </w:num>
  <w:num w:numId="6" w16cid:durableId="1291938515">
    <w:abstractNumId w:val="9"/>
  </w:num>
  <w:num w:numId="7" w16cid:durableId="1799714612">
    <w:abstractNumId w:val="0"/>
  </w:num>
  <w:num w:numId="8" w16cid:durableId="1209609900">
    <w:abstractNumId w:val="7"/>
  </w:num>
  <w:num w:numId="9" w16cid:durableId="114956304">
    <w:abstractNumId w:val="5"/>
  </w:num>
  <w:num w:numId="10" w16cid:durableId="707024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A7"/>
    <w:rsid w:val="00020EE4"/>
    <w:rsid w:val="00031426"/>
    <w:rsid w:val="00067FF1"/>
    <w:rsid w:val="0008161D"/>
    <w:rsid w:val="000D1F39"/>
    <w:rsid w:val="000D3ACA"/>
    <w:rsid w:val="00172CE7"/>
    <w:rsid w:val="001A78CD"/>
    <w:rsid w:val="001B02F8"/>
    <w:rsid w:val="001D1174"/>
    <w:rsid w:val="001D26EF"/>
    <w:rsid w:val="00207DA3"/>
    <w:rsid w:val="0022404C"/>
    <w:rsid w:val="00244750"/>
    <w:rsid w:val="002E4996"/>
    <w:rsid w:val="00301C47"/>
    <w:rsid w:val="0033075D"/>
    <w:rsid w:val="003C6EB3"/>
    <w:rsid w:val="003E6377"/>
    <w:rsid w:val="003F2DA7"/>
    <w:rsid w:val="00420DE0"/>
    <w:rsid w:val="00422BDB"/>
    <w:rsid w:val="004309BD"/>
    <w:rsid w:val="004A19D0"/>
    <w:rsid w:val="00534D80"/>
    <w:rsid w:val="005700BE"/>
    <w:rsid w:val="005C438B"/>
    <w:rsid w:val="005E69DD"/>
    <w:rsid w:val="00612F1C"/>
    <w:rsid w:val="00655FEE"/>
    <w:rsid w:val="00710166"/>
    <w:rsid w:val="00730658"/>
    <w:rsid w:val="0075305E"/>
    <w:rsid w:val="0084554A"/>
    <w:rsid w:val="008660A9"/>
    <w:rsid w:val="00876D32"/>
    <w:rsid w:val="00893743"/>
    <w:rsid w:val="00893F3E"/>
    <w:rsid w:val="008E2E5F"/>
    <w:rsid w:val="00902105"/>
    <w:rsid w:val="009245DC"/>
    <w:rsid w:val="009B1487"/>
    <w:rsid w:val="009B59C3"/>
    <w:rsid w:val="009F5F98"/>
    <w:rsid w:val="00A020D6"/>
    <w:rsid w:val="00A04FDF"/>
    <w:rsid w:val="00A11FF1"/>
    <w:rsid w:val="00A374AD"/>
    <w:rsid w:val="00A45627"/>
    <w:rsid w:val="00A510B3"/>
    <w:rsid w:val="00A918B2"/>
    <w:rsid w:val="00AD419B"/>
    <w:rsid w:val="00AF3839"/>
    <w:rsid w:val="00BD4917"/>
    <w:rsid w:val="00C67617"/>
    <w:rsid w:val="00C80B32"/>
    <w:rsid w:val="00C83684"/>
    <w:rsid w:val="00CA0951"/>
    <w:rsid w:val="00CB0BD0"/>
    <w:rsid w:val="00D3381A"/>
    <w:rsid w:val="00D4267A"/>
    <w:rsid w:val="00D56044"/>
    <w:rsid w:val="00DD6DEA"/>
    <w:rsid w:val="00E01606"/>
    <w:rsid w:val="00E03397"/>
    <w:rsid w:val="00E83F7F"/>
    <w:rsid w:val="00E906F4"/>
    <w:rsid w:val="00EF4F5F"/>
    <w:rsid w:val="00F068FA"/>
    <w:rsid w:val="00F6472B"/>
    <w:rsid w:val="00F8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61929"/>
  <w15:chartTrackingRefBased/>
  <w15:docId w15:val="{81829A06-ECEC-4966-AB8A-A9964A5A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6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F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F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F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cep.org.uk/media/begddyw4/dental-anxiety-form-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dc-uk.org/docs/default-source/scope-of-practice/scope-of-practic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us.org.uk/library/quality-standards-cpr/primary-dental-car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rcseng.ac.uk/dental-faculties/fds/publications-guidelines/locssips-toolkit-dental-extra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remecourt.uk/cases/uksc-2013-01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783</Words>
  <Characters>4409</Characters>
  <Application>Microsoft Office Word</Application>
  <DocSecurity>0</DocSecurity>
  <Lines>129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Brown</dc:creator>
  <cp:keywords/>
  <dc:description/>
  <cp:lastModifiedBy>Clive Fern</cp:lastModifiedBy>
  <cp:revision>2</cp:revision>
  <dcterms:created xsi:type="dcterms:W3CDTF">2024-07-04T07:04:00Z</dcterms:created>
  <dcterms:modified xsi:type="dcterms:W3CDTF">2024-07-04T07:04:00Z</dcterms:modified>
</cp:coreProperties>
</file>