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89" w:rsidRDefault="00D47999" w:rsidP="001D4989">
      <w:pPr>
        <w:pStyle w:val="TOCHeading"/>
        <w:spacing w:before="0"/>
        <w:rPr>
          <w:rFonts w:ascii="Arial" w:hAnsi="Arial" w:cs="Arial"/>
          <w:color w:val="0072C6"/>
          <w:sz w:val="72"/>
          <w:szCs w:val="72"/>
        </w:rPr>
      </w:pPr>
      <w:r w:rsidRPr="004C6AC0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9FEFD9A" wp14:editId="2653D00B">
            <wp:simplePos x="0" y="0"/>
            <wp:positionH relativeFrom="margin">
              <wp:posOffset>-762000</wp:posOffset>
            </wp:positionH>
            <wp:positionV relativeFrom="margin">
              <wp:posOffset>-747395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989" w:rsidRDefault="001D4989" w:rsidP="001D4989">
      <w:pPr>
        <w:pStyle w:val="TOCHeading"/>
        <w:spacing w:before="0"/>
        <w:rPr>
          <w:rFonts w:ascii="Arial" w:hAnsi="Arial" w:cs="Arial"/>
          <w:color w:val="0072C6"/>
          <w:sz w:val="72"/>
          <w:szCs w:val="72"/>
        </w:rPr>
      </w:pPr>
    </w:p>
    <w:p w:rsidR="001D4989" w:rsidRDefault="001D4989" w:rsidP="001D4989">
      <w:pPr>
        <w:pStyle w:val="TOCHeading"/>
        <w:spacing w:before="0"/>
        <w:rPr>
          <w:rFonts w:ascii="Arial" w:hAnsi="Arial" w:cs="Arial"/>
          <w:color w:val="0072C6"/>
          <w:sz w:val="72"/>
          <w:szCs w:val="72"/>
        </w:rPr>
      </w:pPr>
    </w:p>
    <w:p w:rsidR="001D4989" w:rsidRDefault="001D4989" w:rsidP="001D4989">
      <w:pPr>
        <w:pStyle w:val="TOCHeading"/>
        <w:spacing w:before="0"/>
        <w:rPr>
          <w:rFonts w:ascii="Arial" w:hAnsi="Arial" w:cs="Arial"/>
          <w:color w:val="0072C6"/>
          <w:sz w:val="72"/>
          <w:szCs w:val="72"/>
        </w:rPr>
      </w:pPr>
    </w:p>
    <w:p w:rsidR="001D4989" w:rsidRDefault="001D4989" w:rsidP="001D4989">
      <w:pPr>
        <w:pStyle w:val="TOCHeading"/>
        <w:spacing w:before="0"/>
        <w:rPr>
          <w:rFonts w:ascii="Arial" w:hAnsi="Arial" w:cs="Arial"/>
          <w:color w:val="0072C6"/>
          <w:sz w:val="72"/>
          <w:szCs w:val="72"/>
        </w:rPr>
      </w:pPr>
      <w:r>
        <w:rPr>
          <w:rFonts w:ascii="Arial" w:hAnsi="Arial" w:cs="Arial"/>
          <w:color w:val="0072C6"/>
          <w:sz w:val="72"/>
          <w:szCs w:val="72"/>
        </w:rPr>
        <w:t xml:space="preserve">MIS Toolkit Metrics </w:t>
      </w:r>
    </w:p>
    <w:p w:rsidR="001D4989" w:rsidRDefault="001D4989" w:rsidP="001D4989">
      <w:pPr>
        <w:rPr>
          <w:lang w:val="en-US"/>
        </w:rPr>
      </w:pPr>
    </w:p>
    <w:p w:rsidR="001D4989" w:rsidRDefault="001D4989" w:rsidP="001D4989">
      <w:pPr>
        <w:rPr>
          <w:lang w:val="en-US"/>
        </w:rPr>
      </w:pPr>
    </w:p>
    <w:p w:rsidR="001D4989" w:rsidRDefault="001D4989" w:rsidP="001D4989">
      <w:pPr>
        <w:rPr>
          <w:lang w:val="en-US"/>
        </w:rPr>
      </w:pPr>
    </w:p>
    <w:p w:rsidR="001D4989" w:rsidRDefault="001D4989" w:rsidP="001D4989">
      <w:pPr>
        <w:rPr>
          <w:lang w:val="en-US"/>
        </w:rPr>
      </w:pPr>
    </w:p>
    <w:p w:rsidR="001D4989" w:rsidRPr="001D4989" w:rsidRDefault="001D4989" w:rsidP="001D4989">
      <w:pPr>
        <w:rPr>
          <w:rFonts w:cs="Arial"/>
          <w:b/>
          <w:bCs/>
          <w:color w:val="0072C6"/>
          <w:sz w:val="40"/>
          <w:szCs w:val="40"/>
          <w:lang w:val="en-US"/>
        </w:rPr>
      </w:pPr>
      <w:r w:rsidRPr="001D4989">
        <w:rPr>
          <w:rFonts w:cs="Arial"/>
          <w:b/>
          <w:bCs/>
          <w:color w:val="0072C6"/>
          <w:sz w:val="40"/>
          <w:szCs w:val="40"/>
          <w:lang w:val="en-US"/>
        </w:rPr>
        <w:t>Descriptions and Specifications</w:t>
      </w:r>
    </w:p>
    <w:p w:rsidR="001D4989" w:rsidRPr="00C81E94" w:rsidRDefault="001D4989" w:rsidP="001D4989">
      <w:pPr>
        <w:spacing w:after="0"/>
        <w:rPr>
          <w:rFonts w:cs="Arial"/>
          <w:color w:val="404040"/>
          <w:sz w:val="36"/>
          <w:szCs w:val="36"/>
          <w:lang w:val="en-US"/>
        </w:rPr>
      </w:pPr>
    </w:p>
    <w:p w:rsidR="001D4989" w:rsidRDefault="001D4989" w:rsidP="001D4989">
      <w:pPr>
        <w:rPr>
          <w:rFonts w:cs="Arial"/>
          <w:color w:val="404040"/>
          <w:sz w:val="36"/>
          <w:szCs w:val="36"/>
          <w:lang w:val="en-US"/>
        </w:rPr>
      </w:pPr>
    </w:p>
    <w:p w:rsidR="001D4989" w:rsidRPr="00C81E94" w:rsidRDefault="001D4989" w:rsidP="001D4989">
      <w:pPr>
        <w:rPr>
          <w:rFonts w:cs="Arial"/>
          <w:b/>
          <w:sz w:val="28"/>
        </w:rPr>
      </w:pPr>
      <w:r w:rsidRPr="001D4989">
        <w:rPr>
          <w:rFonts w:cs="Arial"/>
          <w:b/>
          <w:bCs/>
          <w:color w:val="0072C6"/>
          <w:sz w:val="40"/>
          <w:szCs w:val="40"/>
          <w:lang w:val="en-US"/>
        </w:rPr>
        <w:t>March 2015</w:t>
      </w:r>
      <w:r w:rsidRPr="00C81E94">
        <w:rPr>
          <w:rFonts w:cs="Arial"/>
          <w:color w:val="404040"/>
          <w:sz w:val="36"/>
          <w:szCs w:val="36"/>
          <w:lang w:val="en-US"/>
        </w:rPr>
        <w:br w:type="page"/>
      </w:r>
    </w:p>
    <w:p w:rsidR="001D4989" w:rsidRDefault="001D4989" w:rsidP="00180643">
      <w:pPr>
        <w:pStyle w:val="Heading1"/>
        <w:tabs>
          <w:tab w:val="left" w:pos="2319"/>
        </w:tabs>
      </w:pPr>
      <w:bookmarkStart w:id="0" w:name="_Toc413065588"/>
      <w:r w:rsidRPr="00C81E94">
        <w:lastRenderedPageBreak/>
        <w:t>Contents</w:t>
      </w:r>
      <w:bookmarkEnd w:id="0"/>
      <w:r w:rsidR="00180643">
        <w:tab/>
      </w:r>
    </w:p>
    <w:p w:rsidR="00180643" w:rsidRPr="00180643" w:rsidRDefault="00180643" w:rsidP="00180643"/>
    <w:p w:rsidR="00024339" w:rsidRDefault="001D498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r w:rsidRPr="00C81E94">
        <w:fldChar w:fldCharType="begin"/>
      </w:r>
      <w:r w:rsidRPr="00C81E94">
        <w:instrText xml:space="preserve"> TOC \o "1-3" \h \z \u </w:instrText>
      </w:r>
      <w:r w:rsidRPr="00C81E94">
        <w:fldChar w:fldCharType="separate"/>
      </w:r>
      <w:hyperlink w:anchor="_Toc413065588" w:history="1">
        <w:r w:rsidR="00024339" w:rsidRPr="000A65DF">
          <w:rPr>
            <w:rStyle w:val="Hyperlink"/>
            <w:noProof/>
          </w:rPr>
          <w:t>Contents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_Toc413065588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2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413065589" w:history="1">
        <w:r w:rsidR="00024339" w:rsidRPr="000A65DF">
          <w:rPr>
            <w:rStyle w:val="Hyperlink"/>
            <w:noProof/>
            <w:lang w:eastAsia="en-GB"/>
          </w:rPr>
          <w:t>MIS Reporting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_Toc413065589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3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413065590" w:history="1">
        <w:r w:rsidR="00024339" w:rsidRPr="000A65DF">
          <w:rPr>
            <w:rStyle w:val="Hyperlink"/>
            <w:noProof/>
            <w:lang w:eastAsia="en-GB"/>
          </w:rPr>
          <w:t>Aims and Purpose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_Toc413065590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3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413065591" w:history="1">
        <w:r w:rsidR="00024339" w:rsidRPr="000A65DF">
          <w:rPr>
            <w:rStyle w:val="Hyperlink"/>
            <w:noProof/>
            <w:lang w:eastAsia="en-GB"/>
          </w:rPr>
          <w:t>High level requirements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_Toc413065591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3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413065592" w:history="1">
        <w:r w:rsidR="00024339" w:rsidRPr="000A65DF">
          <w:rPr>
            <w:rStyle w:val="Hyperlink"/>
            <w:noProof/>
            <w:lang w:eastAsia="en-GB"/>
          </w:rPr>
          <w:t>Current Metrics-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_Toc413065592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3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413065593" w:history="1">
        <w:r w:rsidR="00024339" w:rsidRPr="000A65DF">
          <w:rPr>
            <w:rStyle w:val="Hyperlink"/>
            <w:noProof/>
            <w:lang w:eastAsia="en-GB"/>
          </w:rPr>
          <w:t>Description and specification of metrics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_Toc413065593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3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13065594" w:history="1">
        <w:r w:rsidR="00024339" w:rsidRPr="000A65DF">
          <w:rPr>
            <w:rStyle w:val="Hyperlink"/>
            <w:rFonts w:cs="Arial"/>
            <w:noProof/>
            <w:lang w:eastAsia="en-GB"/>
          </w:rPr>
          <w:t>1 .Medicine Use Reviews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_Toc413065594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3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13065595" w:history="1">
        <w:r w:rsidR="00024339" w:rsidRPr="000A65DF">
          <w:rPr>
            <w:rStyle w:val="Hyperlink"/>
            <w:rFonts w:cs="Arial"/>
            <w:noProof/>
            <w:lang w:eastAsia="en-GB"/>
          </w:rPr>
          <w:t>2 .New Medicine Service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_Toc413065595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5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13065596" w:history="1">
        <w:r w:rsidR="00024339" w:rsidRPr="000A65DF">
          <w:rPr>
            <w:rStyle w:val="Hyperlink"/>
            <w:rFonts w:cs="Arial"/>
            <w:noProof/>
            <w:lang w:eastAsia="en-GB"/>
          </w:rPr>
          <w:t>3. Out Of Pocket Expenses (OOPE)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_Toc413065596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6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13065597" w:history="1">
        <w:r w:rsidR="00024339" w:rsidRPr="000A65DF">
          <w:rPr>
            <w:rStyle w:val="Hyperlink"/>
            <w:rFonts w:cs="Arial"/>
            <w:noProof/>
            <w:lang w:eastAsia="en-GB"/>
          </w:rPr>
          <w:t>4. Staff Hours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_Toc413065597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7</w:t>
        </w:r>
        <w:r w:rsidR="00024339">
          <w:rPr>
            <w:noProof/>
            <w:webHidden/>
          </w:rPr>
          <w:fldChar w:fldCharType="end"/>
        </w:r>
      </w:hyperlink>
    </w:p>
    <w:p w:rsidR="00024339" w:rsidRDefault="0036466F">
      <w:pPr>
        <w:pStyle w:val="TOC1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413065598" w:history="1">
        <w:r w:rsidR="00024339" w:rsidRPr="000A65DF">
          <w:rPr>
            <w:rStyle w:val="Hyperlink"/>
            <w:noProof/>
            <w:lang w:eastAsia="en-GB"/>
          </w:rPr>
          <w:t>Glossary</w:t>
        </w:r>
        <w:r w:rsidR="00024339">
          <w:rPr>
            <w:noProof/>
            <w:webHidden/>
          </w:rPr>
          <w:tab/>
        </w:r>
        <w:r w:rsidR="00024339">
          <w:rPr>
            <w:noProof/>
            <w:webHidden/>
          </w:rPr>
          <w:fldChar w:fldCharType="begin"/>
        </w:r>
        <w:r w:rsidR="00024339">
          <w:rPr>
            <w:noProof/>
            <w:webHidden/>
          </w:rPr>
          <w:instrText xml:space="preserve"> PAGEREF _Toc413065598 \h </w:instrText>
        </w:r>
        <w:r w:rsidR="00024339">
          <w:rPr>
            <w:noProof/>
            <w:webHidden/>
          </w:rPr>
        </w:r>
        <w:r w:rsidR="00024339">
          <w:rPr>
            <w:noProof/>
            <w:webHidden/>
          </w:rPr>
          <w:fldChar w:fldCharType="separate"/>
        </w:r>
        <w:r w:rsidR="00250142">
          <w:rPr>
            <w:noProof/>
            <w:webHidden/>
          </w:rPr>
          <w:t>9</w:t>
        </w:r>
        <w:r w:rsidR="00024339">
          <w:rPr>
            <w:noProof/>
            <w:webHidden/>
          </w:rPr>
          <w:fldChar w:fldCharType="end"/>
        </w:r>
      </w:hyperlink>
    </w:p>
    <w:p w:rsidR="001D4989" w:rsidRPr="00C81E94" w:rsidRDefault="001D4989" w:rsidP="001D4989">
      <w:pPr>
        <w:rPr>
          <w:rFonts w:cs="Arial"/>
        </w:rPr>
      </w:pPr>
      <w:r w:rsidRPr="00C81E94">
        <w:rPr>
          <w:rFonts w:cs="Arial"/>
        </w:rPr>
        <w:fldChar w:fldCharType="end"/>
      </w:r>
    </w:p>
    <w:p w:rsidR="001D4989" w:rsidRDefault="001D4989" w:rsidP="001D4989">
      <w:pPr>
        <w:spacing w:after="0"/>
        <w:ind w:left="-284" w:right="-1440"/>
        <w:rPr>
          <w:rFonts w:cs="Arial"/>
          <w:b/>
          <w:color w:val="4F81BD" w:themeColor="accent1"/>
          <w:sz w:val="32"/>
          <w:szCs w:val="32"/>
          <w:lang w:eastAsia="en-GB"/>
        </w:rPr>
      </w:pPr>
      <w:r w:rsidRPr="00C81E94">
        <w:br w:type="page"/>
      </w:r>
    </w:p>
    <w:p w:rsidR="001D4989" w:rsidRDefault="001D4989" w:rsidP="00FD081B">
      <w:pPr>
        <w:spacing w:after="0"/>
        <w:ind w:left="-284" w:right="-1440"/>
        <w:rPr>
          <w:rFonts w:cs="Arial"/>
          <w:b/>
          <w:color w:val="4F81BD" w:themeColor="accent1"/>
          <w:sz w:val="32"/>
          <w:szCs w:val="32"/>
          <w:lang w:eastAsia="en-GB"/>
        </w:rPr>
      </w:pPr>
    </w:p>
    <w:p w:rsidR="009B2712" w:rsidRDefault="00AA3074" w:rsidP="00F459AC">
      <w:pPr>
        <w:pStyle w:val="Heading1"/>
        <w:rPr>
          <w:lang w:eastAsia="en-GB"/>
        </w:rPr>
      </w:pPr>
      <w:bookmarkStart w:id="1" w:name="_Toc413065589"/>
      <w:r>
        <w:rPr>
          <w:lang w:eastAsia="en-GB"/>
        </w:rPr>
        <w:t>MIS</w:t>
      </w:r>
      <w:r w:rsidR="007C7360" w:rsidRPr="009F5BD3">
        <w:rPr>
          <w:lang w:eastAsia="en-GB"/>
        </w:rPr>
        <w:t xml:space="preserve"> Reporting</w:t>
      </w:r>
      <w:bookmarkEnd w:id="1"/>
      <w:r w:rsidR="007C7360" w:rsidRPr="009F5BD3">
        <w:rPr>
          <w:lang w:eastAsia="en-GB"/>
        </w:rPr>
        <w:t xml:space="preserve"> </w:t>
      </w:r>
    </w:p>
    <w:p w:rsidR="00AA3074" w:rsidRPr="009053FE" w:rsidRDefault="00AA3074" w:rsidP="00FD081B">
      <w:pPr>
        <w:spacing w:after="0"/>
        <w:ind w:left="-284" w:right="-1440"/>
        <w:rPr>
          <w:rFonts w:cs="Arial"/>
          <w:b/>
          <w:color w:val="4F81BD" w:themeColor="accent1"/>
          <w:sz w:val="32"/>
          <w:szCs w:val="32"/>
          <w:lang w:eastAsia="en-GB"/>
        </w:rPr>
      </w:pPr>
    </w:p>
    <w:p w:rsidR="00B632DE" w:rsidRPr="00545244" w:rsidRDefault="00545244" w:rsidP="00180643">
      <w:pPr>
        <w:pStyle w:val="Heading1"/>
        <w:rPr>
          <w:lang w:eastAsia="en-GB"/>
        </w:rPr>
      </w:pPr>
      <w:bookmarkStart w:id="2" w:name="_Toc413065590"/>
      <w:r w:rsidRPr="00545244">
        <w:rPr>
          <w:lang w:eastAsia="en-GB"/>
        </w:rPr>
        <w:t xml:space="preserve">Aims and </w:t>
      </w:r>
      <w:r w:rsidR="00B632DE" w:rsidRPr="00545244">
        <w:rPr>
          <w:lang w:eastAsia="en-GB"/>
        </w:rPr>
        <w:t>Purpose</w:t>
      </w:r>
      <w:bookmarkEnd w:id="2"/>
    </w:p>
    <w:p w:rsidR="00B632DE" w:rsidRPr="009053FE" w:rsidRDefault="00B632DE" w:rsidP="00B632DE">
      <w:pPr>
        <w:pStyle w:val="NoSpacing"/>
        <w:rPr>
          <w:rFonts w:ascii="Arial" w:eastAsia="Times New Roman" w:hAnsi="Arial" w:cs="Arial"/>
          <w:sz w:val="28"/>
          <w:szCs w:val="28"/>
          <w:lang w:eastAsia="en-GB"/>
        </w:rPr>
      </w:pPr>
    </w:p>
    <w:p w:rsidR="00B632DE" w:rsidRPr="00180643" w:rsidRDefault="00B632DE" w:rsidP="00B632DE">
      <w:pPr>
        <w:pStyle w:val="NoSpacing"/>
        <w:rPr>
          <w:rFonts w:ascii="Arial" w:hAnsi="Arial" w:cs="Arial"/>
          <w:szCs w:val="24"/>
        </w:rPr>
      </w:pPr>
      <w:r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To aid 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Area Teams </w:t>
      </w:r>
      <w:r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in fulfilling their obligations 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to manage the dispensing </w:t>
      </w:r>
      <w:r w:rsidR="00545244" w:rsidRPr="00180643">
        <w:rPr>
          <w:rFonts w:ascii="Arial" w:eastAsia="Times New Roman" w:hAnsi="Arial" w:cs="Arial"/>
          <w:sz w:val="24"/>
          <w:szCs w:val="28"/>
          <w:lang w:eastAsia="en-GB"/>
        </w:rPr>
        <w:t>contractor’s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 contract and to identify possible areas </w:t>
      </w:r>
      <w:r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for concern 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>which require</w:t>
      </w:r>
      <w:r w:rsidR="00ED587B"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 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>further investigation</w:t>
      </w:r>
      <w:r w:rsidR="00E84936" w:rsidRPr="00180643">
        <w:rPr>
          <w:rFonts w:ascii="Arial" w:eastAsia="Times New Roman" w:hAnsi="Arial" w:cs="Arial"/>
          <w:sz w:val="24"/>
          <w:szCs w:val="28"/>
          <w:lang w:eastAsia="en-GB"/>
        </w:rPr>
        <w:t>,</w:t>
      </w:r>
      <w:r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 NHSBSA are to routinely provide 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>monthly</w:t>
      </w:r>
      <w:r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 reports to Area Teams, which will identify variance between </w:t>
      </w:r>
      <w:r w:rsidR="00AA3074" w:rsidRPr="00180643">
        <w:rPr>
          <w:rFonts w:ascii="Arial" w:eastAsia="Times New Roman" w:hAnsi="Arial" w:cs="Arial"/>
          <w:sz w:val="24"/>
          <w:szCs w:val="28"/>
          <w:lang w:eastAsia="en-GB"/>
        </w:rPr>
        <w:t>dispensing contractor activity</w:t>
      </w:r>
      <w:r w:rsidRPr="00180643">
        <w:rPr>
          <w:rFonts w:ascii="Arial" w:eastAsia="Times New Roman" w:hAnsi="Arial" w:cs="Arial"/>
          <w:sz w:val="24"/>
          <w:szCs w:val="28"/>
          <w:lang w:eastAsia="en-GB"/>
        </w:rPr>
        <w:t xml:space="preserve"> and assist in identifying outliers.  </w:t>
      </w:r>
    </w:p>
    <w:p w:rsidR="00B632DE" w:rsidRPr="00A86AA9" w:rsidRDefault="00B632DE" w:rsidP="00FD081B">
      <w:pPr>
        <w:spacing w:after="0"/>
        <w:ind w:left="-284" w:right="-1440"/>
        <w:rPr>
          <w:rFonts w:cs="Arial"/>
          <w:color w:val="4F81BD" w:themeColor="accent1"/>
          <w:sz w:val="32"/>
          <w:szCs w:val="32"/>
          <w:lang w:eastAsia="en-GB"/>
        </w:rPr>
      </w:pPr>
    </w:p>
    <w:p w:rsidR="00613880" w:rsidRPr="00545244" w:rsidRDefault="00613880" w:rsidP="00180643">
      <w:pPr>
        <w:pStyle w:val="Heading1"/>
        <w:rPr>
          <w:lang w:eastAsia="en-GB"/>
        </w:rPr>
      </w:pPr>
      <w:bookmarkStart w:id="3" w:name="_Toc413065591"/>
      <w:r w:rsidRPr="00545244">
        <w:rPr>
          <w:lang w:eastAsia="en-GB"/>
        </w:rPr>
        <w:t>High level requirements</w:t>
      </w:r>
      <w:bookmarkEnd w:id="3"/>
    </w:p>
    <w:p w:rsidR="00ED587B" w:rsidRPr="00C60C9F" w:rsidRDefault="00ED587B" w:rsidP="00A744A2">
      <w:pPr>
        <w:spacing w:after="0"/>
        <w:rPr>
          <w:rFonts w:cs="Arial"/>
          <w:b/>
          <w:color w:val="4F81BD" w:themeColor="accent1"/>
          <w:sz w:val="32"/>
          <w:szCs w:val="32"/>
          <w:lang w:eastAsia="en-GB"/>
        </w:rPr>
      </w:pPr>
    </w:p>
    <w:p w:rsidR="00AA3074" w:rsidRPr="00180643" w:rsidRDefault="00ED587B" w:rsidP="00ED587B">
      <w:pPr>
        <w:spacing w:after="0"/>
        <w:rPr>
          <w:rFonts w:cs="Arial"/>
          <w:szCs w:val="28"/>
          <w:lang w:eastAsia="en-GB"/>
        </w:rPr>
      </w:pPr>
      <w:r w:rsidRPr="00180643">
        <w:rPr>
          <w:rFonts w:cs="Arial"/>
          <w:szCs w:val="28"/>
          <w:lang w:eastAsia="en-GB"/>
        </w:rPr>
        <w:t>I</w:t>
      </w:r>
      <w:r w:rsidR="00AA3074" w:rsidRPr="00180643">
        <w:rPr>
          <w:rFonts w:cs="Arial"/>
          <w:szCs w:val="28"/>
          <w:lang w:eastAsia="en-GB"/>
        </w:rPr>
        <w:t xml:space="preserve">mprove the reporting of existing data contained within the Management Information Spreadsheet (MIS) to ensure consistent reporting across all Area Teams. </w:t>
      </w:r>
    </w:p>
    <w:p w:rsidR="00AA3074" w:rsidRPr="00180643" w:rsidRDefault="00AA3074" w:rsidP="00ED587B">
      <w:pPr>
        <w:spacing w:after="0"/>
        <w:rPr>
          <w:rFonts w:cs="Arial"/>
          <w:szCs w:val="28"/>
          <w:lang w:eastAsia="en-GB"/>
        </w:rPr>
      </w:pPr>
      <w:r w:rsidRPr="00180643">
        <w:rPr>
          <w:rFonts w:cs="Arial"/>
          <w:szCs w:val="28"/>
          <w:lang w:eastAsia="en-GB"/>
        </w:rPr>
        <w:t xml:space="preserve">Agree a programme of activity to identify key areas of risk and </w:t>
      </w:r>
      <w:r w:rsidR="00ED587B" w:rsidRPr="00180643">
        <w:rPr>
          <w:rFonts w:cs="Arial"/>
          <w:szCs w:val="28"/>
          <w:lang w:eastAsia="en-GB"/>
        </w:rPr>
        <w:t>create</w:t>
      </w:r>
      <w:r w:rsidRPr="00180643">
        <w:rPr>
          <w:rFonts w:cs="Arial"/>
          <w:szCs w:val="28"/>
          <w:lang w:eastAsia="en-GB"/>
        </w:rPr>
        <w:t xml:space="preserve"> robust metrics so contractors ‘for attention’ are clearly flagged.</w:t>
      </w:r>
    </w:p>
    <w:p w:rsidR="009053FE" w:rsidRPr="00FB423B" w:rsidRDefault="009053FE" w:rsidP="00FB423B">
      <w:pPr>
        <w:spacing w:after="0"/>
        <w:rPr>
          <w:rFonts w:cs="Arial"/>
          <w:color w:val="4F81BD" w:themeColor="accent1"/>
          <w:sz w:val="32"/>
          <w:szCs w:val="32"/>
          <w:lang w:eastAsia="en-GB"/>
        </w:rPr>
      </w:pPr>
    </w:p>
    <w:p w:rsidR="00DB6D7E" w:rsidRPr="00B91377" w:rsidRDefault="00545244" w:rsidP="00180643">
      <w:pPr>
        <w:pStyle w:val="Heading1"/>
        <w:rPr>
          <w:lang w:eastAsia="en-GB"/>
        </w:rPr>
      </w:pPr>
      <w:bookmarkStart w:id="4" w:name="_Toc413065592"/>
      <w:r>
        <w:rPr>
          <w:lang w:eastAsia="en-GB"/>
        </w:rPr>
        <w:t xml:space="preserve">Current </w:t>
      </w:r>
      <w:r w:rsidR="00ED587B" w:rsidRPr="00B91377">
        <w:rPr>
          <w:lang w:eastAsia="en-GB"/>
        </w:rPr>
        <w:t>Metrics</w:t>
      </w:r>
      <w:r w:rsidR="00602944" w:rsidRPr="00B91377">
        <w:rPr>
          <w:lang w:eastAsia="en-GB"/>
        </w:rPr>
        <w:t>-</w:t>
      </w:r>
      <w:bookmarkEnd w:id="4"/>
      <w:r w:rsidR="00584893" w:rsidRPr="00B91377">
        <w:rPr>
          <w:lang w:eastAsia="en-GB"/>
        </w:rPr>
        <w:t xml:space="preserve"> </w:t>
      </w:r>
    </w:p>
    <w:p w:rsidR="00821010" w:rsidRPr="00180643" w:rsidRDefault="00821010" w:rsidP="00180643">
      <w:pPr>
        <w:spacing w:after="0"/>
        <w:ind w:left="720"/>
        <w:rPr>
          <w:rFonts w:cs="Arial"/>
          <w:szCs w:val="28"/>
          <w:lang w:eastAsia="en-GB"/>
        </w:rPr>
      </w:pPr>
      <w:r w:rsidRPr="00180643">
        <w:rPr>
          <w:rFonts w:cs="Arial"/>
          <w:szCs w:val="28"/>
          <w:lang w:eastAsia="en-GB"/>
        </w:rPr>
        <w:t>1</w:t>
      </w:r>
      <w:r w:rsidR="00ED587B" w:rsidRPr="00180643">
        <w:rPr>
          <w:rFonts w:cs="Arial"/>
          <w:szCs w:val="28"/>
          <w:lang w:eastAsia="en-GB"/>
        </w:rPr>
        <w:t>.</w:t>
      </w:r>
      <w:r w:rsidR="00EA6E29" w:rsidRPr="00180643">
        <w:rPr>
          <w:rFonts w:cs="Arial"/>
          <w:szCs w:val="28"/>
          <w:lang w:eastAsia="en-GB"/>
        </w:rPr>
        <w:t xml:space="preserve"> </w:t>
      </w:r>
      <w:r w:rsidR="00ED587B" w:rsidRPr="00180643">
        <w:rPr>
          <w:rFonts w:cs="Arial"/>
          <w:szCs w:val="28"/>
          <w:lang w:eastAsia="en-GB"/>
        </w:rPr>
        <w:t>Medicine Use Reviews (MURs)</w:t>
      </w:r>
    </w:p>
    <w:p w:rsidR="00821010" w:rsidRPr="00180643" w:rsidRDefault="00821010" w:rsidP="00180643">
      <w:pPr>
        <w:spacing w:after="0"/>
        <w:ind w:left="720"/>
        <w:textboxTightWrap w:val="none"/>
        <w:rPr>
          <w:rFonts w:cs="Arial"/>
          <w:szCs w:val="28"/>
          <w:lang w:eastAsia="en-GB"/>
        </w:rPr>
      </w:pPr>
      <w:r w:rsidRPr="00180643">
        <w:rPr>
          <w:rFonts w:cs="Arial"/>
          <w:szCs w:val="28"/>
          <w:lang w:eastAsia="en-GB"/>
        </w:rPr>
        <w:t>2</w:t>
      </w:r>
      <w:r w:rsidR="00ED587B" w:rsidRPr="00180643">
        <w:rPr>
          <w:rFonts w:cs="Arial"/>
          <w:szCs w:val="28"/>
          <w:lang w:eastAsia="en-GB"/>
        </w:rPr>
        <w:t>.</w:t>
      </w:r>
      <w:r w:rsidRPr="00180643">
        <w:rPr>
          <w:rFonts w:cs="Arial"/>
          <w:b/>
          <w:szCs w:val="28"/>
          <w:lang w:eastAsia="en-GB"/>
        </w:rPr>
        <w:t xml:space="preserve"> </w:t>
      </w:r>
      <w:r w:rsidR="00ED587B" w:rsidRPr="00180643">
        <w:rPr>
          <w:rFonts w:cs="Arial"/>
          <w:szCs w:val="28"/>
          <w:lang w:eastAsia="en-GB"/>
        </w:rPr>
        <w:t>New Medicine Services (NMS</w:t>
      </w:r>
      <w:r w:rsidRPr="00180643">
        <w:rPr>
          <w:rFonts w:cs="Arial"/>
          <w:szCs w:val="28"/>
          <w:lang w:eastAsia="en-GB"/>
        </w:rPr>
        <w:t xml:space="preserve">) </w:t>
      </w:r>
    </w:p>
    <w:p w:rsidR="00821010" w:rsidRPr="00180643" w:rsidRDefault="00821010" w:rsidP="00180643">
      <w:pPr>
        <w:spacing w:after="0"/>
        <w:ind w:left="720"/>
        <w:rPr>
          <w:rFonts w:cs="Arial"/>
          <w:szCs w:val="28"/>
          <w:lang w:eastAsia="en-GB"/>
        </w:rPr>
      </w:pPr>
      <w:r w:rsidRPr="00180643">
        <w:rPr>
          <w:rFonts w:cs="Arial"/>
          <w:szCs w:val="28"/>
          <w:lang w:eastAsia="en-GB"/>
        </w:rPr>
        <w:t>3</w:t>
      </w:r>
      <w:r w:rsidR="00ED587B" w:rsidRPr="00180643">
        <w:rPr>
          <w:rFonts w:cs="Arial"/>
          <w:szCs w:val="28"/>
          <w:lang w:eastAsia="en-GB"/>
        </w:rPr>
        <w:t>. Out of Pocket Expenses</w:t>
      </w:r>
    </w:p>
    <w:p w:rsidR="00821010" w:rsidRPr="00180643" w:rsidRDefault="00821010" w:rsidP="00180643">
      <w:pPr>
        <w:spacing w:after="0"/>
        <w:ind w:left="720"/>
        <w:rPr>
          <w:rFonts w:cs="Arial"/>
          <w:szCs w:val="28"/>
          <w:lang w:eastAsia="en-GB"/>
        </w:rPr>
      </w:pPr>
      <w:r w:rsidRPr="00180643">
        <w:rPr>
          <w:rFonts w:cs="Arial"/>
          <w:szCs w:val="28"/>
          <w:lang w:eastAsia="en-GB"/>
        </w:rPr>
        <w:t>4.</w:t>
      </w:r>
      <w:r w:rsidR="00EA6E29" w:rsidRPr="00180643">
        <w:rPr>
          <w:rFonts w:cs="Arial"/>
          <w:szCs w:val="28"/>
          <w:lang w:eastAsia="en-GB"/>
        </w:rPr>
        <w:t xml:space="preserve"> </w:t>
      </w:r>
      <w:r w:rsidR="00ED587B" w:rsidRPr="00180643">
        <w:rPr>
          <w:rFonts w:cs="Arial"/>
          <w:szCs w:val="28"/>
          <w:lang w:eastAsia="en-GB"/>
        </w:rPr>
        <w:t>Staff Hours</w:t>
      </w:r>
    </w:p>
    <w:p w:rsidR="0055184A" w:rsidRPr="00A86AA9" w:rsidRDefault="0055184A" w:rsidP="00180643">
      <w:pPr>
        <w:pStyle w:val="Heading1"/>
        <w:rPr>
          <w:lang w:eastAsia="en-GB"/>
        </w:rPr>
      </w:pPr>
    </w:p>
    <w:p w:rsidR="00B91377" w:rsidRDefault="00545244" w:rsidP="00180643">
      <w:pPr>
        <w:pStyle w:val="Heading1"/>
        <w:rPr>
          <w:szCs w:val="32"/>
          <w:lang w:eastAsia="en-GB"/>
        </w:rPr>
      </w:pPr>
      <w:bookmarkStart w:id="5" w:name="_Toc413065593"/>
      <w:r w:rsidRPr="00545244">
        <w:rPr>
          <w:szCs w:val="32"/>
          <w:lang w:eastAsia="en-GB"/>
        </w:rPr>
        <w:t>Description and specification of metrics</w:t>
      </w:r>
      <w:bookmarkEnd w:id="5"/>
    </w:p>
    <w:p w:rsidR="00545244" w:rsidRPr="00545244" w:rsidRDefault="00545244" w:rsidP="00A744A2">
      <w:pPr>
        <w:spacing w:after="0"/>
        <w:rPr>
          <w:rFonts w:cs="Arial"/>
          <w:b/>
          <w:sz w:val="32"/>
          <w:szCs w:val="32"/>
          <w:lang w:eastAsia="en-GB"/>
        </w:rPr>
      </w:pPr>
    </w:p>
    <w:p w:rsidR="00A744A2" w:rsidRPr="00180643" w:rsidRDefault="00B2132D" w:rsidP="00180643">
      <w:pPr>
        <w:pStyle w:val="Heading2"/>
        <w:rPr>
          <w:rFonts w:ascii="Arial" w:hAnsi="Arial" w:cs="Arial"/>
          <w:lang w:eastAsia="en-GB"/>
        </w:rPr>
      </w:pPr>
      <w:bookmarkStart w:id="6" w:name="_Toc413065594"/>
      <w:r w:rsidRPr="00180643">
        <w:rPr>
          <w:rFonts w:ascii="Arial" w:hAnsi="Arial" w:cs="Arial"/>
          <w:lang w:eastAsia="en-GB"/>
        </w:rPr>
        <w:t>1</w:t>
      </w:r>
      <w:r w:rsidR="00E5141B" w:rsidRPr="00180643">
        <w:rPr>
          <w:rFonts w:ascii="Arial" w:hAnsi="Arial" w:cs="Arial"/>
          <w:lang w:eastAsia="en-GB"/>
        </w:rPr>
        <w:t xml:space="preserve"> </w:t>
      </w:r>
      <w:r w:rsidRPr="00180643">
        <w:rPr>
          <w:rFonts w:ascii="Arial" w:hAnsi="Arial" w:cs="Arial"/>
          <w:lang w:eastAsia="en-GB"/>
        </w:rPr>
        <w:t>.</w:t>
      </w:r>
      <w:r w:rsidR="00ED587B" w:rsidRPr="00180643">
        <w:rPr>
          <w:rFonts w:ascii="Arial" w:hAnsi="Arial" w:cs="Arial"/>
          <w:lang w:eastAsia="en-GB"/>
        </w:rPr>
        <w:t>Medicine Use Reviews</w:t>
      </w:r>
      <w:bookmarkEnd w:id="6"/>
    </w:p>
    <w:p w:rsidR="00B91377" w:rsidRPr="00B91377" w:rsidRDefault="00B91377" w:rsidP="00A744A2">
      <w:pPr>
        <w:spacing w:after="0"/>
        <w:rPr>
          <w:rFonts w:cs="Arial"/>
          <w:lang w:eastAsia="en-GB"/>
        </w:rPr>
      </w:pPr>
    </w:p>
    <w:p w:rsidR="00B91377" w:rsidRDefault="006D71FA" w:rsidP="00A744A2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>Summary of metric:</w:t>
      </w:r>
    </w:p>
    <w:p w:rsidR="00E21DE6" w:rsidRPr="00B91377" w:rsidRDefault="00E21DE6" w:rsidP="006D71FA">
      <w:pPr>
        <w:spacing w:after="0"/>
        <w:ind w:left="720"/>
        <w:rPr>
          <w:rFonts w:cs="Arial"/>
          <w:lang w:eastAsia="en-GB"/>
        </w:rPr>
      </w:pPr>
      <w:r>
        <w:rPr>
          <w:rFonts w:cs="Arial"/>
          <w:lang w:eastAsia="en-GB"/>
        </w:rPr>
        <w:t>Name of metric</w:t>
      </w:r>
    </w:p>
    <w:p w:rsidR="00364D18" w:rsidRPr="00B91377" w:rsidRDefault="00364D1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Area team </w:t>
      </w:r>
      <w:r w:rsidR="00E21DE6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>ode</w:t>
      </w:r>
    </w:p>
    <w:p w:rsidR="00364D18" w:rsidRPr="00B91377" w:rsidRDefault="00364D1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Month</w:t>
      </w:r>
      <w:r w:rsidR="00B91377" w:rsidRPr="00B91377">
        <w:rPr>
          <w:rFonts w:cs="Arial"/>
          <w:lang w:eastAsia="en-GB"/>
        </w:rPr>
        <w:t xml:space="preserve"> of activity</w:t>
      </w:r>
    </w:p>
    <w:p w:rsidR="00364D18" w:rsidRPr="00B91377" w:rsidRDefault="00364D1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contractors </w:t>
      </w:r>
      <w:r w:rsidR="00471A9B">
        <w:rPr>
          <w:rFonts w:cs="Arial"/>
          <w:lang w:eastAsia="en-GB"/>
        </w:rPr>
        <w:t>with</w:t>
      </w:r>
      <w:r w:rsidRPr="00B91377">
        <w:rPr>
          <w:rFonts w:cs="Arial"/>
          <w:lang w:eastAsia="en-GB"/>
        </w:rPr>
        <w:t>in Area Team</w:t>
      </w:r>
    </w:p>
    <w:p w:rsidR="00B91377" w:rsidRPr="00180643" w:rsidRDefault="00364D18" w:rsidP="006D71FA">
      <w:pPr>
        <w:spacing w:after="0"/>
        <w:ind w:left="720"/>
        <w:rPr>
          <w:rFonts w:cs="Arial"/>
          <w:lang w:eastAsia="en-GB"/>
        </w:rPr>
      </w:pPr>
      <w:r w:rsidRPr="00180643">
        <w:rPr>
          <w:rFonts w:cs="Arial"/>
          <w:lang w:eastAsia="en-GB"/>
        </w:rPr>
        <w:t>Total number of contractors conducting MUR</w:t>
      </w:r>
      <w:r w:rsidR="00DE2402">
        <w:rPr>
          <w:rFonts w:cs="Arial"/>
          <w:lang w:eastAsia="en-GB"/>
        </w:rPr>
        <w:t>s</w:t>
      </w:r>
      <w:r w:rsidR="00B91377" w:rsidRPr="00180643">
        <w:rPr>
          <w:rFonts w:cs="Arial"/>
          <w:lang w:eastAsia="en-GB"/>
        </w:rPr>
        <w:t xml:space="preserve"> </w:t>
      </w:r>
    </w:p>
    <w:p w:rsidR="00DE2402" w:rsidRDefault="00364D18" w:rsidP="006D71FA">
      <w:pPr>
        <w:spacing w:after="0"/>
        <w:ind w:left="720"/>
        <w:rPr>
          <w:rFonts w:cs="Arial"/>
          <w:lang w:eastAsia="en-GB"/>
        </w:rPr>
      </w:pPr>
      <w:r w:rsidRPr="00180643">
        <w:rPr>
          <w:rFonts w:cs="Arial"/>
          <w:lang w:eastAsia="en-GB"/>
        </w:rPr>
        <w:t xml:space="preserve">Total number of contractors </w:t>
      </w:r>
      <w:r w:rsidR="00B91377" w:rsidRPr="00180643">
        <w:rPr>
          <w:rFonts w:cs="Arial"/>
          <w:lang w:eastAsia="en-GB"/>
        </w:rPr>
        <w:t>not conducting MUR</w:t>
      </w:r>
      <w:r w:rsidR="00DE2402">
        <w:rPr>
          <w:rFonts w:cs="Arial"/>
          <w:lang w:eastAsia="en-GB"/>
        </w:rPr>
        <w:t>s</w:t>
      </w:r>
    </w:p>
    <w:p w:rsidR="00B91377" w:rsidRPr="00B91377" w:rsidRDefault="00B91377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Total number of MURs conducted within the month</w:t>
      </w:r>
    </w:p>
    <w:p w:rsidR="00B91377" w:rsidRPr="00B91377" w:rsidRDefault="00B91377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Average number of MURs conducted within the month.</w:t>
      </w:r>
    </w:p>
    <w:p w:rsidR="00A744A2" w:rsidRDefault="00A744A2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E21DE6" w:rsidRPr="00E21DE6" w:rsidRDefault="00E21DE6" w:rsidP="00E21DE6">
      <w:pPr>
        <w:spacing w:after="0"/>
        <w:rPr>
          <w:rFonts w:cs="Arial"/>
          <w:lang w:eastAsia="en-GB"/>
        </w:rPr>
      </w:pPr>
      <w:r w:rsidRPr="00E21DE6">
        <w:rPr>
          <w:rFonts w:cs="Arial"/>
          <w:lang w:eastAsia="en-GB"/>
        </w:rPr>
        <w:t>MUR activity</w:t>
      </w:r>
      <w:r w:rsidR="006D71FA">
        <w:rPr>
          <w:rFonts w:cs="Arial"/>
          <w:lang w:eastAsia="en-GB"/>
        </w:rPr>
        <w:t>:</w:t>
      </w:r>
    </w:p>
    <w:p w:rsidR="00B91377" w:rsidRPr="00B91377" w:rsidRDefault="00B91377" w:rsidP="006D71FA">
      <w:pPr>
        <w:spacing w:after="0"/>
        <w:ind w:left="720"/>
        <w:textboxTightWrap w:val="none"/>
        <w:rPr>
          <w:rFonts w:cs="Arial"/>
          <w:lang w:eastAsia="en-GB"/>
        </w:rPr>
      </w:pPr>
      <w:r w:rsidRPr="00B91377">
        <w:rPr>
          <w:rFonts w:cs="Arial"/>
          <w:lang w:eastAsia="en-GB"/>
        </w:rPr>
        <w:t>% of contra</w:t>
      </w:r>
      <w:r w:rsidR="00DB6328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>tors carrying out MUR activity within the Area Team</w:t>
      </w:r>
    </w:p>
    <w:p w:rsidR="00761BDC" w:rsidRDefault="00E21DE6" w:rsidP="006D71FA">
      <w:pPr>
        <w:spacing w:after="0"/>
        <w:ind w:left="72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% of contractors not carrying out MUR activity within the Area Team</w:t>
      </w:r>
    </w:p>
    <w:p w:rsidR="006D71FA" w:rsidRDefault="006D71FA" w:rsidP="006D71FA">
      <w:pPr>
        <w:spacing w:after="0"/>
        <w:ind w:left="720"/>
        <w:textboxTightWrap w:val="none"/>
        <w:rPr>
          <w:rFonts w:cs="Arial"/>
          <w:lang w:eastAsia="en-GB"/>
        </w:rPr>
      </w:pPr>
    </w:p>
    <w:p w:rsidR="00761BDC" w:rsidRDefault="00761BDC" w:rsidP="00761BDC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Top 10 contractors conducting the greatest number of MUR within the given month along with the forecast for the end of year forecast.</w:t>
      </w:r>
    </w:p>
    <w:p w:rsidR="009F7C0A" w:rsidRDefault="009F7C0A" w:rsidP="00761BDC">
      <w:pPr>
        <w:spacing w:after="0"/>
        <w:textboxTightWrap w:val="none"/>
        <w:rPr>
          <w:rFonts w:cs="Arial"/>
          <w:b/>
          <w:sz w:val="28"/>
          <w:szCs w:val="28"/>
          <w:lang w:eastAsia="en-GB"/>
        </w:rPr>
      </w:pPr>
      <w:r w:rsidRPr="00180643">
        <w:rPr>
          <w:rFonts w:cs="Arial"/>
          <w:b/>
          <w:sz w:val="28"/>
          <w:szCs w:val="28"/>
          <w:lang w:eastAsia="en-GB"/>
        </w:rPr>
        <w:lastRenderedPageBreak/>
        <w:t>Metric</w:t>
      </w:r>
      <w:r w:rsidR="00180643">
        <w:rPr>
          <w:rFonts w:cs="Arial"/>
          <w:b/>
          <w:sz w:val="28"/>
          <w:szCs w:val="28"/>
          <w:lang w:eastAsia="en-GB"/>
        </w:rPr>
        <w:t>s</w:t>
      </w:r>
      <w:r w:rsidRPr="00180643">
        <w:rPr>
          <w:rFonts w:cs="Arial"/>
          <w:b/>
          <w:sz w:val="28"/>
          <w:szCs w:val="28"/>
          <w:lang w:eastAsia="en-GB"/>
        </w:rPr>
        <w:t>:</w:t>
      </w:r>
    </w:p>
    <w:p w:rsidR="00924FED" w:rsidRDefault="00924FED" w:rsidP="00761BDC">
      <w:pPr>
        <w:spacing w:after="0"/>
        <w:textboxTightWrap w:val="none"/>
        <w:rPr>
          <w:rFonts w:cs="Arial"/>
          <w:b/>
          <w:sz w:val="28"/>
          <w:szCs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924FED" w:rsidRPr="008073CD" w:rsidTr="00924FED">
        <w:trPr>
          <w:trHeight w:val="413"/>
        </w:trPr>
        <w:tc>
          <w:tcPr>
            <w:tcW w:w="1926" w:type="dxa"/>
            <w:shd w:val="clear" w:color="auto" w:fill="E6E6E6" w:themeFill="background1" w:themeFillShade="E6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Medicine Use Review</w:t>
            </w:r>
          </w:p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924FED" w:rsidRPr="008073CD" w:rsidTr="00924FED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Metric </w:t>
            </w: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Number of Staff hours for the month </w:t>
            </w:r>
          </w:p>
        </w:tc>
      </w:tr>
      <w:tr w:rsidR="00924FED" w:rsidRPr="008073CD" w:rsidTr="00924FED">
        <w:trPr>
          <w:trHeight w:val="702"/>
        </w:trPr>
        <w:tc>
          <w:tcPr>
            <w:tcW w:w="1926" w:type="dxa"/>
            <w:shd w:val="clear" w:color="auto" w:fill="E6E6E6" w:themeFill="background1" w:themeFillShade="E6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Calculation</w:t>
            </w:r>
          </w:p>
        </w:tc>
        <w:tc>
          <w:tcPr>
            <w:tcW w:w="7794" w:type="dxa"/>
            <w:shd w:val="clear" w:color="auto" w:fill="auto"/>
          </w:tcPr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The average number of staff hours declared on the FP34C submission form per week is taken and divided by 7 to get the number of hours per day and then multiplied by the number of days in the month. </w:t>
            </w: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i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</w:t>
            </w:r>
            <w:r w:rsidR="00DB6328">
              <w:rPr>
                <w:rFonts w:cs="Arial"/>
                <w:i/>
                <w:lang w:eastAsia="en-GB"/>
              </w:rPr>
              <w:t>k holidays and assumes all phar</w:t>
            </w:r>
            <w:r w:rsidRPr="00365805">
              <w:rPr>
                <w:rFonts w:cs="Arial"/>
                <w:i/>
                <w:lang w:eastAsia="en-GB"/>
              </w:rPr>
              <w:t>macies are open 7 days a week, 365 days of the year.</w:t>
            </w:r>
          </w:p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</w:tbl>
    <w:p w:rsidR="00924FED" w:rsidRPr="00180643" w:rsidRDefault="00924FED" w:rsidP="00761BDC">
      <w:pPr>
        <w:spacing w:after="0"/>
        <w:textboxTightWrap w:val="none"/>
        <w:rPr>
          <w:rFonts w:cs="Arial"/>
          <w:b/>
          <w:sz w:val="28"/>
          <w:szCs w:val="28"/>
          <w:lang w:eastAsia="en-GB"/>
        </w:rPr>
      </w:pPr>
    </w:p>
    <w:p w:rsidR="00B03C03" w:rsidRPr="00B03C03" w:rsidRDefault="00B03C03" w:rsidP="00B03C03">
      <w:pPr>
        <w:spacing w:after="0"/>
        <w:textboxTightWrap w:val="none"/>
        <w:rPr>
          <w:rFonts w:cs="Arial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A744A2" w:rsidRPr="008073CD" w:rsidTr="00B03C03">
        <w:trPr>
          <w:trHeight w:val="413"/>
        </w:trPr>
        <w:tc>
          <w:tcPr>
            <w:tcW w:w="1926" w:type="dxa"/>
            <w:shd w:val="clear" w:color="auto" w:fill="E6E6E6" w:themeFill="background1" w:themeFillShade="E6"/>
          </w:tcPr>
          <w:p w:rsidR="00A744A2" w:rsidRPr="008073CD" w:rsidRDefault="00B91377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813692" w:rsidRPr="008073CD" w:rsidRDefault="00ED587B" w:rsidP="00813692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Medicine Use Review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A744A2" w:rsidRPr="008073CD" w:rsidTr="00B91377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744A2" w:rsidRPr="008073CD" w:rsidRDefault="00ED587B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Metric </w:t>
            </w:r>
            <w:r w:rsidR="00A744A2"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A744A2" w:rsidRPr="008073CD" w:rsidRDefault="00A744A2" w:rsidP="00ED587B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</w:t>
            </w:r>
            <w:r w:rsidR="00ED587B">
              <w:rPr>
                <w:rFonts w:cs="Arial"/>
                <w:lang w:eastAsia="en-GB"/>
              </w:rPr>
              <w:t xml:space="preserve">MURs conducted per 1000 </w:t>
            </w:r>
            <w:r w:rsidRPr="008073CD">
              <w:rPr>
                <w:rFonts w:cs="Arial"/>
                <w:lang w:eastAsia="en-GB"/>
              </w:rPr>
              <w:t xml:space="preserve">prescription </w:t>
            </w:r>
            <w:r w:rsidR="00AB2EBA">
              <w:rPr>
                <w:rFonts w:cs="Arial"/>
                <w:lang w:eastAsia="en-GB"/>
              </w:rPr>
              <w:t xml:space="preserve">items </w:t>
            </w:r>
          </w:p>
        </w:tc>
      </w:tr>
      <w:tr w:rsidR="00A744A2" w:rsidRPr="008073CD" w:rsidTr="00B03C03">
        <w:trPr>
          <w:trHeight w:val="702"/>
        </w:trPr>
        <w:tc>
          <w:tcPr>
            <w:tcW w:w="1926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</w:t>
            </w:r>
            <w:r w:rsidR="00ED587B">
              <w:rPr>
                <w:rFonts w:cs="Arial"/>
                <w:lang w:eastAsia="en-GB"/>
              </w:rPr>
              <w:t>MURs conducted</w:t>
            </w:r>
            <w:r w:rsidR="00B91377">
              <w:rPr>
                <w:rFonts w:cs="Arial"/>
                <w:lang w:eastAsia="en-GB"/>
              </w:rPr>
              <w:t xml:space="preserve"> by dispensing contractor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744A2" w:rsidRPr="008073CD" w:rsidTr="00B03C03">
        <w:trPr>
          <w:trHeight w:val="414"/>
        </w:trPr>
        <w:tc>
          <w:tcPr>
            <w:tcW w:w="1926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 w:rsidR="00ED587B">
              <w:rPr>
                <w:rFonts w:cs="Arial"/>
                <w:lang w:eastAsia="en-GB"/>
              </w:rPr>
              <w:t>dispensed</w:t>
            </w:r>
            <w:r w:rsidR="005A24A4">
              <w:rPr>
                <w:rFonts w:cs="Arial"/>
                <w:lang w:eastAsia="en-GB"/>
              </w:rPr>
              <w:t xml:space="preserve"> divided by 1</w:t>
            </w:r>
            <w:r w:rsidR="00C91137">
              <w:rPr>
                <w:rFonts w:cs="Arial"/>
                <w:lang w:eastAsia="en-GB"/>
              </w:rPr>
              <w:t>,</w:t>
            </w:r>
            <w:r w:rsidR="005A24A4">
              <w:rPr>
                <w:rFonts w:cs="Arial"/>
                <w:lang w:eastAsia="en-GB"/>
              </w:rPr>
              <w:t>000</w:t>
            </w:r>
            <w:r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</w:tbl>
    <w:p w:rsidR="007C7360" w:rsidRDefault="007C7360" w:rsidP="00A744A2">
      <w:pPr>
        <w:spacing w:after="0"/>
        <w:textboxTightWrap w:val="none"/>
        <w:rPr>
          <w:rFonts w:cs="Arial"/>
          <w:b/>
          <w:lang w:eastAsia="en-GB"/>
        </w:rPr>
      </w:pPr>
    </w:p>
    <w:p w:rsidR="00A744A2" w:rsidRDefault="00A744A2" w:rsidP="00A744A2">
      <w:pPr>
        <w:spacing w:after="0"/>
        <w:textboxTightWrap w:val="none"/>
        <w:rPr>
          <w:rFonts w:cs="Arial"/>
          <w:b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761BDC" w:rsidRPr="008073CD" w:rsidTr="00761BDC">
        <w:trPr>
          <w:trHeight w:val="413"/>
        </w:trPr>
        <w:tc>
          <w:tcPr>
            <w:tcW w:w="1926" w:type="dxa"/>
            <w:shd w:val="clear" w:color="auto" w:fill="E6E6E6" w:themeFill="background1" w:themeFillShade="E6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Medicine Use Review</w:t>
            </w: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761BDC" w:rsidRPr="008073CD" w:rsidTr="00761BDC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Metric </w:t>
            </w: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761BDC" w:rsidRPr="008073CD" w:rsidRDefault="008C6B0A" w:rsidP="00761BDC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>Percentage of staff hours as a proportion of MURs</w:t>
            </w:r>
            <w:r w:rsidR="00761BDC">
              <w:rPr>
                <w:rFonts w:cs="Arial"/>
                <w:lang w:eastAsia="en-GB"/>
              </w:rPr>
              <w:t xml:space="preserve"> </w:t>
            </w:r>
          </w:p>
        </w:tc>
      </w:tr>
      <w:tr w:rsidR="00761BDC" w:rsidRPr="008073CD" w:rsidTr="00761BDC">
        <w:trPr>
          <w:trHeight w:val="702"/>
        </w:trPr>
        <w:tc>
          <w:tcPr>
            <w:tcW w:w="1926" w:type="dxa"/>
            <w:shd w:val="clear" w:color="auto" w:fill="E6E6E6" w:themeFill="background1" w:themeFillShade="E6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</w:t>
            </w:r>
            <w:r>
              <w:rPr>
                <w:rFonts w:cs="Arial"/>
                <w:lang w:eastAsia="en-GB"/>
              </w:rPr>
              <w:t>MURs conducted by dispensing contractor</w:t>
            </w:r>
            <w:r w:rsidR="009F7C0A">
              <w:rPr>
                <w:rFonts w:cs="Arial"/>
                <w:lang w:eastAsia="en-GB"/>
              </w:rPr>
              <w:t xml:space="preserve"> </w:t>
            </w: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761BDC" w:rsidRPr="008073CD" w:rsidTr="00761BDC">
        <w:trPr>
          <w:trHeight w:val="414"/>
        </w:trPr>
        <w:tc>
          <w:tcPr>
            <w:tcW w:w="1926" w:type="dxa"/>
            <w:shd w:val="clear" w:color="auto" w:fill="E6E6E6" w:themeFill="background1" w:themeFillShade="E6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761BDC" w:rsidRDefault="00365805" w:rsidP="00761BD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The average number of staff hours declared on the </w:t>
            </w:r>
            <w:r w:rsidR="00DE2402">
              <w:rPr>
                <w:rFonts w:cs="Arial"/>
                <w:lang w:eastAsia="en-GB"/>
              </w:rPr>
              <w:t xml:space="preserve">FP34C </w:t>
            </w:r>
            <w:r>
              <w:rPr>
                <w:rFonts w:cs="Arial"/>
                <w:lang w:eastAsia="en-GB"/>
              </w:rPr>
              <w:t>submission form per week is taken and d</w:t>
            </w:r>
            <w:r w:rsidR="00DE2402">
              <w:rPr>
                <w:rFonts w:cs="Arial"/>
                <w:lang w:eastAsia="en-GB"/>
              </w:rPr>
              <w:t>i</w:t>
            </w:r>
            <w:r>
              <w:rPr>
                <w:rFonts w:cs="Arial"/>
                <w:lang w:eastAsia="en-GB"/>
              </w:rPr>
              <w:t xml:space="preserve">vided by 7 to get the number of hours per day and then multiplied by the number of days in the month. </w:t>
            </w:r>
          </w:p>
          <w:p w:rsidR="00365805" w:rsidRDefault="00365805" w:rsidP="00761BD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65805" w:rsidRDefault="00365805" w:rsidP="00761BD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365805" w:rsidRDefault="00365805" w:rsidP="00761BD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65805" w:rsidRDefault="00365805" w:rsidP="00761BDC">
            <w:pPr>
              <w:spacing w:after="0"/>
              <w:textboxTightWrap w:val="none"/>
              <w:rPr>
                <w:rFonts w:cs="Arial"/>
                <w:i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bank holidays and assumes all pharamacies are open 7 days a week, 365 days of the year.</w:t>
            </w:r>
          </w:p>
          <w:p w:rsidR="002E0591" w:rsidRDefault="002E0591" w:rsidP="00761BDC">
            <w:pPr>
              <w:spacing w:after="0"/>
              <w:textboxTightWrap w:val="none"/>
              <w:rPr>
                <w:rFonts w:cs="Arial"/>
                <w:i/>
                <w:lang w:eastAsia="en-GB"/>
              </w:rPr>
            </w:pPr>
          </w:p>
          <w:p w:rsidR="002E0591" w:rsidRPr="002E0591" w:rsidRDefault="002E0591" w:rsidP="00761BD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Once the hours per month are calculated this is multiplied by 0.3 </w:t>
            </w:r>
            <w:r>
              <w:rPr>
                <w:rFonts w:cs="Arial"/>
                <w:lang w:eastAsia="en-GB"/>
              </w:rPr>
              <w:lastRenderedPageBreak/>
              <w:t>(assuming 20 minutes per MUR) to give the proportion of staff hours spent on MURs.</w:t>
            </w:r>
          </w:p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761BDC" w:rsidRPr="008073CD" w:rsidTr="00761BDC">
        <w:trPr>
          <w:trHeight w:val="261"/>
        </w:trPr>
        <w:tc>
          <w:tcPr>
            <w:tcW w:w="1926" w:type="dxa"/>
            <w:shd w:val="clear" w:color="auto" w:fill="E6E6E6" w:themeFill="background1" w:themeFillShade="E6"/>
          </w:tcPr>
          <w:p w:rsidR="00761BDC" w:rsidRPr="008073CD" w:rsidRDefault="00761BDC" w:rsidP="00761BD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Comments</w:t>
            </w:r>
          </w:p>
        </w:tc>
        <w:tc>
          <w:tcPr>
            <w:tcW w:w="7794" w:type="dxa"/>
            <w:shd w:val="clear" w:color="auto" w:fill="auto"/>
          </w:tcPr>
          <w:p w:rsidR="00761BDC" w:rsidRPr="008073CD" w:rsidRDefault="009F7C0A" w:rsidP="00106FB4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The metric will provide insight into the capacity of the pharmacy teams to deliver the services.</w:t>
            </w:r>
          </w:p>
        </w:tc>
      </w:tr>
    </w:tbl>
    <w:p w:rsidR="00A744A2" w:rsidRDefault="00A744A2" w:rsidP="00A744A2">
      <w:pPr>
        <w:spacing w:after="0"/>
        <w:textboxTightWrap w:val="none"/>
        <w:rPr>
          <w:rFonts w:cs="Arial"/>
          <w:b/>
          <w:lang w:eastAsia="en-GB"/>
        </w:rPr>
      </w:pPr>
    </w:p>
    <w:p w:rsidR="00D00659" w:rsidRDefault="00D00659" w:rsidP="00A744A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9F7C0A" w:rsidRPr="00180643" w:rsidRDefault="009F7C0A" w:rsidP="00180643">
      <w:pPr>
        <w:pStyle w:val="Heading2"/>
        <w:rPr>
          <w:rFonts w:ascii="Arial" w:hAnsi="Arial" w:cs="Arial"/>
          <w:lang w:eastAsia="en-GB"/>
        </w:rPr>
      </w:pPr>
      <w:bookmarkStart w:id="7" w:name="_Toc413065595"/>
      <w:r w:rsidRPr="00180643">
        <w:rPr>
          <w:rFonts w:ascii="Arial" w:hAnsi="Arial" w:cs="Arial"/>
          <w:lang w:eastAsia="en-GB"/>
        </w:rPr>
        <w:t>2 .New Medicine Service</w:t>
      </w:r>
      <w:bookmarkEnd w:id="7"/>
    </w:p>
    <w:p w:rsidR="00A744A2" w:rsidRDefault="00A744A2" w:rsidP="00A744A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9F7C0A" w:rsidRPr="00B91377" w:rsidRDefault="009F7C0A" w:rsidP="009F7C0A">
      <w:pPr>
        <w:spacing w:after="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Summary of metric:</w:t>
      </w:r>
    </w:p>
    <w:p w:rsidR="00E21DE6" w:rsidRPr="00B91377" w:rsidRDefault="00E21DE6" w:rsidP="006D71FA">
      <w:pPr>
        <w:spacing w:after="0"/>
        <w:ind w:left="720"/>
        <w:rPr>
          <w:rFonts w:cs="Arial"/>
          <w:lang w:eastAsia="en-GB"/>
        </w:rPr>
      </w:pPr>
      <w:r>
        <w:rPr>
          <w:rFonts w:cs="Arial"/>
          <w:lang w:eastAsia="en-GB"/>
        </w:rPr>
        <w:t>Name of metric</w:t>
      </w:r>
    </w:p>
    <w:p w:rsidR="009F7C0A" w:rsidRPr="00B91377" w:rsidRDefault="009F7C0A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Area team </w:t>
      </w:r>
      <w:r w:rsidR="003B5425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>ode</w:t>
      </w:r>
    </w:p>
    <w:p w:rsidR="009F7C0A" w:rsidRPr="00B91377" w:rsidRDefault="009F7C0A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Month of activity</w:t>
      </w:r>
    </w:p>
    <w:p w:rsidR="009F7C0A" w:rsidRPr="00180643" w:rsidRDefault="009F7C0A" w:rsidP="006D71FA">
      <w:pPr>
        <w:spacing w:after="0"/>
        <w:ind w:left="720"/>
        <w:rPr>
          <w:rFonts w:cs="Arial"/>
          <w:lang w:eastAsia="en-GB"/>
        </w:rPr>
      </w:pPr>
      <w:r w:rsidRPr="00180643">
        <w:rPr>
          <w:rFonts w:cs="Arial"/>
          <w:lang w:eastAsia="en-GB"/>
        </w:rPr>
        <w:t>Total number of contractors in Area Team</w:t>
      </w:r>
    </w:p>
    <w:p w:rsidR="009F7C0A" w:rsidRPr="00180643" w:rsidRDefault="009F7C0A" w:rsidP="006D71FA">
      <w:pPr>
        <w:spacing w:after="0"/>
        <w:ind w:left="720"/>
        <w:rPr>
          <w:rFonts w:cs="Arial"/>
          <w:lang w:eastAsia="en-GB"/>
        </w:rPr>
      </w:pPr>
      <w:r w:rsidRPr="00180643">
        <w:rPr>
          <w:rFonts w:cs="Arial"/>
          <w:lang w:eastAsia="en-GB"/>
        </w:rPr>
        <w:t>Total number of contractors conducting NMS activity</w:t>
      </w:r>
    </w:p>
    <w:p w:rsidR="009F7C0A" w:rsidRPr="00B91377" w:rsidRDefault="009F7C0A" w:rsidP="006D71FA">
      <w:pPr>
        <w:spacing w:after="0"/>
        <w:ind w:left="720"/>
        <w:rPr>
          <w:rFonts w:cs="Arial"/>
          <w:lang w:eastAsia="en-GB"/>
        </w:rPr>
      </w:pPr>
      <w:r w:rsidRPr="00180643">
        <w:rPr>
          <w:rFonts w:cs="Arial"/>
          <w:lang w:eastAsia="en-GB"/>
        </w:rPr>
        <w:t>Total number of contractors not conducting NMS activity</w:t>
      </w:r>
    </w:p>
    <w:p w:rsidR="009F7C0A" w:rsidRPr="00B91377" w:rsidRDefault="009F7C0A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</w:t>
      </w:r>
      <w:r>
        <w:rPr>
          <w:rFonts w:cs="Arial"/>
          <w:lang w:eastAsia="en-GB"/>
        </w:rPr>
        <w:t>NMS</w:t>
      </w:r>
      <w:r w:rsidR="006E3063">
        <w:rPr>
          <w:rFonts w:cs="Arial"/>
          <w:lang w:eastAsia="en-GB"/>
        </w:rPr>
        <w:t xml:space="preserve"> interventions</w:t>
      </w:r>
      <w:r w:rsidRPr="00B91377">
        <w:rPr>
          <w:rFonts w:cs="Arial"/>
          <w:lang w:eastAsia="en-GB"/>
        </w:rPr>
        <w:t xml:space="preserve"> conducted within the month</w:t>
      </w:r>
    </w:p>
    <w:p w:rsidR="009F7C0A" w:rsidRPr="00B91377" w:rsidRDefault="009F7C0A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Average number of </w:t>
      </w:r>
      <w:r>
        <w:rPr>
          <w:rFonts w:cs="Arial"/>
          <w:lang w:eastAsia="en-GB"/>
        </w:rPr>
        <w:t>NMS</w:t>
      </w:r>
      <w:r w:rsidR="006E3063">
        <w:rPr>
          <w:rFonts w:cs="Arial"/>
          <w:lang w:eastAsia="en-GB"/>
        </w:rPr>
        <w:t xml:space="preserve"> intervention</w:t>
      </w:r>
      <w:r w:rsidRPr="00B91377">
        <w:rPr>
          <w:rFonts w:cs="Arial"/>
          <w:lang w:eastAsia="en-GB"/>
        </w:rPr>
        <w:t>s conducted within the month.</w:t>
      </w:r>
    </w:p>
    <w:p w:rsidR="00E21DE6" w:rsidRDefault="00E21DE6" w:rsidP="009F7C0A">
      <w:pPr>
        <w:spacing w:after="0"/>
        <w:textboxTightWrap w:val="none"/>
        <w:rPr>
          <w:rFonts w:cs="Arial"/>
          <w:lang w:eastAsia="en-GB"/>
        </w:rPr>
      </w:pPr>
    </w:p>
    <w:p w:rsidR="00E21DE6" w:rsidRDefault="00E21DE6" w:rsidP="009F7C0A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NMS Activity:</w:t>
      </w:r>
    </w:p>
    <w:p w:rsidR="009F7C0A" w:rsidRPr="00B91377" w:rsidRDefault="009F7C0A" w:rsidP="006D71FA">
      <w:pPr>
        <w:spacing w:after="0"/>
        <w:ind w:left="720"/>
        <w:textboxTightWrap w:val="none"/>
        <w:rPr>
          <w:rFonts w:cs="Arial"/>
          <w:lang w:eastAsia="en-GB"/>
        </w:rPr>
      </w:pPr>
      <w:r w:rsidRPr="00B91377">
        <w:rPr>
          <w:rFonts w:cs="Arial"/>
          <w:lang w:eastAsia="en-GB"/>
        </w:rPr>
        <w:t>% of contra</w:t>
      </w:r>
      <w:r w:rsidR="00DB6328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 xml:space="preserve">tors carrying out </w:t>
      </w:r>
      <w:r>
        <w:rPr>
          <w:rFonts w:cs="Arial"/>
          <w:lang w:eastAsia="en-GB"/>
        </w:rPr>
        <w:t>NMS</w:t>
      </w:r>
      <w:r w:rsidRPr="00B91377">
        <w:rPr>
          <w:rFonts w:cs="Arial"/>
          <w:lang w:eastAsia="en-GB"/>
        </w:rPr>
        <w:t xml:space="preserve"> activity within the Area Team</w:t>
      </w:r>
    </w:p>
    <w:p w:rsidR="009F7C0A" w:rsidRDefault="00E21DE6" w:rsidP="006D71FA">
      <w:pPr>
        <w:spacing w:after="0"/>
        <w:ind w:left="72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% of contractors not carrying out NMS activity within Area Team</w:t>
      </w:r>
    </w:p>
    <w:p w:rsidR="00E21DE6" w:rsidRDefault="00E21DE6" w:rsidP="009F7C0A">
      <w:pPr>
        <w:spacing w:after="0"/>
        <w:textboxTightWrap w:val="none"/>
        <w:rPr>
          <w:rFonts w:cs="Arial"/>
          <w:lang w:eastAsia="en-GB"/>
        </w:rPr>
      </w:pPr>
    </w:p>
    <w:p w:rsidR="009F7C0A" w:rsidRDefault="009F7C0A" w:rsidP="009F7C0A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Top 10 contractors conducting the greatest number of NMS within the given month along with the forecast for the end of year forecast.</w:t>
      </w:r>
    </w:p>
    <w:p w:rsidR="00F459AC" w:rsidRDefault="00F459AC" w:rsidP="00A744A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A744A2" w:rsidRPr="00180643" w:rsidRDefault="008C6B0A" w:rsidP="00A744A2">
      <w:pPr>
        <w:spacing w:after="0"/>
        <w:textboxTightWrap w:val="none"/>
        <w:rPr>
          <w:rFonts w:cs="Arial"/>
          <w:b/>
          <w:sz w:val="28"/>
          <w:lang w:eastAsia="en-GB"/>
        </w:rPr>
      </w:pPr>
      <w:r w:rsidRPr="00180643">
        <w:rPr>
          <w:rFonts w:cs="Arial"/>
          <w:b/>
          <w:sz w:val="28"/>
          <w:lang w:eastAsia="en-GB"/>
        </w:rPr>
        <w:t>Metric</w:t>
      </w:r>
      <w:r w:rsidR="00180643">
        <w:rPr>
          <w:rFonts w:cs="Arial"/>
          <w:b/>
          <w:sz w:val="28"/>
          <w:lang w:eastAsia="en-GB"/>
        </w:rPr>
        <w:t>s</w:t>
      </w:r>
      <w:r w:rsidRPr="00180643">
        <w:rPr>
          <w:rFonts w:cs="Arial"/>
          <w:b/>
          <w:sz w:val="28"/>
          <w:lang w:eastAsia="en-GB"/>
        </w:rPr>
        <w:t>:</w:t>
      </w:r>
    </w:p>
    <w:p w:rsidR="008C6B0A" w:rsidRDefault="008C6B0A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924FED" w:rsidRPr="00F459AC" w:rsidTr="00924FED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924FED" w:rsidRPr="00F459AC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F459AC">
              <w:rPr>
                <w:rFonts w:cs="Arial"/>
                <w:b/>
                <w:lang w:eastAsia="en-GB"/>
              </w:rPr>
              <w:t>New Medicine Service</w:t>
            </w:r>
          </w:p>
        </w:tc>
      </w:tr>
      <w:tr w:rsidR="00924FED" w:rsidRPr="008073CD" w:rsidTr="00924FED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924FE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924FED" w:rsidRPr="008073CD" w:rsidRDefault="00924FED" w:rsidP="00924FED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</w:t>
            </w:r>
            <w:r>
              <w:rPr>
                <w:rFonts w:cs="Arial"/>
                <w:lang w:eastAsia="en-GB"/>
              </w:rPr>
              <w:t>of staff hours for the month</w:t>
            </w:r>
          </w:p>
        </w:tc>
      </w:tr>
      <w:tr w:rsidR="00924FED" w:rsidRPr="008073CD" w:rsidTr="00924FED">
        <w:trPr>
          <w:trHeight w:val="530"/>
        </w:trPr>
        <w:tc>
          <w:tcPr>
            <w:tcW w:w="1926" w:type="dxa"/>
            <w:shd w:val="clear" w:color="auto" w:fill="E6E6E6" w:themeFill="background1" w:themeFillShade="E6"/>
          </w:tcPr>
          <w:p w:rsidR="00924FED" w:rsidRPr="00825730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Calculation</w:t>
            </w:r>
          </w:p>
        </w:tc>
        <w:tc>
          <w:tcPr>
            <w:tcW w:w="7794" w:type="dxa"/>
            <w:shd w:val="clear" w:color="auto" w:fill="auto"/>
          </w:tcPr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The average number of staff hours declared on the FP34C submission form per week is taken and divided by 7 to get the number of hours per day and then multiplied by the number of days in the month. </w:t>
            </w: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924FED" w:rsidRDefault="00924FED" w:rsidP="00924FE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24FED" w:rsidRPr="008073CD" w:rsidRDefault="00924FED" w:rsidP="00DB632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bank holidays and assumes all pharmacies are open 7 days a week, 365 days of the year.</w:t>
            </w:r>
          </w:p>
        </w:tc>
      </w:tr>
    </w:tbl>
    <w:p w:rsidR="00924FED" w:rsidRDefault="00924FED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924FED" w:rsidRDefault="00924FED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924FED" w:rsidRDefault="00924FED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924FED" w:rsidRPr="00956F80" w:rsidRDefault="00924FED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813692" w:rsidRPr="008073CD" w:rsidTr="0081369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813692" w:rsidRPr="008073CD" w:rsidRDefault="00E84936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lastRenderedPageBreak/>
              <w:t>Metric</w:t>
            </w: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813692" w:rsidRPr="00F459AC" w:rsidRDefault="009F7C0A" w:rsidP="009F7C0A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F459AC">
              <w:rPr>
                <w:rFonts w:cs="Arial"/>
                <w:b/>
                <w:lang w:eastAsia="en-GB"/>
              </w:rPr>
              <w:t>New Medicine Service</w:t>
            </w:r>
          </w:p>
        </w:tc>
      </w:tr>
      <w:tr w:rsidR="00813692" w:rsidRPr="008073CD" w:rsidTr="0081369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E84936" w:rsidRDefault="00E84936" w:rsidP="00E84936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813692" w:rsidRPr="008073CD" w:rsidRDefault="00813692" w:rsidP="00E84936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813692" w:rsidRPr="008073CD" w:rsidRDefault="00E84936" w:rsidP="00A73116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</w:t>
            </w:r>
            <w:r>
              <w:rPr>
                <w:rFonts w:cs="Arial"/>
                <w:lang w:eastAsia="en-GB"/>
              </w:rPr>
              <w:t xml:space="preserve">NMS conducted per 1000 </w:t>
            </w:r>
            <w:r w:rsidR="00A73116">
              <w:rPr>
                <w:rFonts w:cs="Arial"/>
                <w:lang w:eastAsia="en-GB"/>
              </w:rPr>
              <w:t>NMS</w:t>
            </w:r>
            <w:r w:rsidRPr="008073CD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>items</w:t>
            </w:r>
          </w:p>
        </w:tc>
      </w:tr>
      <w:tr w:rsidR="00E84936" w:rsidRPr="008073CD" w:rsidTr="00E84936">
        <w:trPr>
          <w:trHeight w:val="530"/>
        </w:trPr>
        <w:tc>
          <w:tcPr>
            <w:tcW w:w="1926" w:type="dxa"/>
            <w:shd w:val="clear" w:color="auto" w:fill="E6E6E6" w:themeFill="background1" w:themeFillShade="E6"/>
          </w:tcPr>
          <w:p w:rsidR="00E84936" w:rsidRPr="00825730" w:rsidRDefault="00E84936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25730">
              <w:rPr>
                <w:rFonts w:cs="Arial"/>
                <w:lang w:eastAsia="en-GB"/>
              </w:rPr>
              <w:t>Numerator</w:t>
            </w:r>
          </w:p>
          <w:p w:rsidR="00E84936" w:rsidRPr="00825730" w:rsidRDefault="00E84936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E84936" w:rsidRPr="008073CD" w:rsidRDefault="00E84936" w:rsidP="00A73116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</w:t>
            </w:r>
            <w:r w:rsidR="00A73116">
              <w:rPr>
                <w:rFonts w:cs="Arial"/>
                <w:lang w:eastAsia="en-GB"/>
              </w:rPr>
              <w:t>NMS</w:t>
            </w:r>
            <w:r>
              <w:rPr>
                <w:rFonts w:cs="Arial"/>
                <w:lang w:eastAsia="en-GB"/>
              </w:rPr>
              <w:t xml:space="preserve"> conducted by dispensing contractor</w:t>
            </w:r>
          </w:p>
        </w:tc>
      </w:tr>
      <w:tr w:rsidR="00E84936" w:rsidRPr="008073CD" w:rsidTr="00E84936">
        <w:trPr>
          <w:trHeight w:val="487"/>
        </w:trPr>
        <w:tc>
          <w:tcPr>
            <w:tcW w:w="1926" w:type="dxa"/>
            <w:shd w:val="clear" w:color="auto" w:fill="E6E6E6" w:themeFill="background1" w:themeFillShade="E6"/>
          </w:tcPr>
          <w:p w:rsidR="00E84936" w:rsidRPr="008073CD" w:rsidRDefault="00E84936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E84936" w:rsidRPr="008073CD" w:rsidRDefault="00E84936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E84936" w:rsidRPr="008073CD" w:rsidRDefault="00E84936" w:rsidP="00E84936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</w:t>
            </w:r>
            <w:r w:rsidR="00A73116">
              <w:rPr>
                <w:rFonts w:cs="Arial"/>
                <w:lang w:eastAsia="en-GB"/>
              </w:rPr>
              <w:t>NMS</w:t>
            </w:r>
            <w:r w:rsidRPr="008073CD">
              <w:rPr>
                <w:rFonts w:cs="Arial"/>
                <w:lang w:eastAsia="en-GB"/>
              </w:rPr>
              <w:t xml:space="preserve"> items </w:t>
            </w:r>
            <w:r>
              <w:rPr>
                <w:rFonts w:cs="Arial"/>
                <w:lang w:eastAsia="en-GB"/>
              </w:rPr>
              <w:t>dispensed divided by 1,000.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p w:rsidR="00E84936" w:rsidRPr="008073CD" w:rsidRDefault="00E84936" w:rsidP="00E84936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</w:tbl>
    <w:p w:rsidR="00365805" w:rsidRDefault="00365805" w:rsidP="000C59D8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80643" w:rsidRDefault="00180643" w:rsidP="000C59D8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0C59D8" w:rsidRPr="00956F80" w:rsidRDefault="000C59D8" w:rsidP="000C59D8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86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7794"/>
      </w:tblGrid>
      <w:tr w:rsidR="001D6C19" w:rsidRPr="008073CD" w:rsidTr="00E84936">
        <w:trPr>
          <w:trHeight w:val="555"/>
        </w:trPr>
        <w:tc>
          <w:tcPr>
            <w:tcW w:w="2068" w:type="dxa"/>
            <w:shd w:val="clear" w:color="auto" w:fill="E6E6E6" w:themeFill="background1" w:themeFillShade="E6"/>
          </w:tcPr>
          <w:p w:rsidR="001D6C19" w:rsidRPr="008073CD" w:rsidRDefault="00E84936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1D6C19" w:rsidRPr="008073CD" w:rsidRDefault="00E84936" w:rsidP="00E01FF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New Medicine Service</w:t>
            </w:r>
          </w:p>
          <w:p w:rsidR="001D6C19" w:rsidRPr="008073CD" w:rsidRDefault="001D6C19" w:rsidP="00E01FF9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6C19" w:rsidRPr="008073CD" w:rsidTr="00E84936">
        <w:trPr>
          <w:trHeight w:val="664"/>
        </w:trPr>
        <w:tc>
          <w:tcPr>
            <w:tcW w:w="2068" w:type="dxa"/>
            <w:shd w:val="clear" w:color="auto" w:fill="E6E6E6" w:themeFill="background1" w:themeFillShade="E6"/>
          </w:tcPr>
          <w:p w:rsidR="001D6C19" w:rsidRDefault="00E84936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Metric </w:t>
            </w:r>
            <w:r w:rsidR="001D6C19" w:rsidRPr="008073CD">
              <w:rPr>
                <w:rFonts w:cs="Arial"/>
                <w:b/>
                <w:lang w:eastAsia="en-GB"/>
              </w:rPr>
              <w:t>Description</w:t>
            </w:r>
          </w:p>
          <w:p w:rsidR="00E84936" w:rsidRPr="008073CD" w:rsidRDefault="00E84936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1D6C19" w:rsidRPr="008073CD" w:rsidRDefault="008C6B0A" w:rsidP="008C6B0A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>P</w:t>
            </w:r>
            <w:r w:rsidR="00E84936">
              <w:rPr>
                <w:rFonts w:cs="Arial"/>
                <w:lang w:eastAsia="en-GB"/>
              </w:rPr>
              <w:t xml:space="preserve">roportion </w:t>
            </w:r>
            <w:r>
              <w:rPr>
                <w:rFonts w:cs="Arial"/>
                <w:lang w:eastAsia="en-GB"/>
              </w:rPr>
              <w:t xml:space="preserve">of NMS conducted </w:t>
            </w:r>
            <w:r w:rsidR="00E84936">
              <w:rPr>
                <w:rFonts w:cs="Arial"/>
                <w:lang w:eastAsia="en-GB"/>
              </w:rPr>
              <w:t>to number of staff hours</w:t>
            </w:r>
          </w:p>
        </w:tc>
      </w:tr>
      <w:tr w:rsidR="001D6C19" w:rsidRPr="008073CD" w:rsidTr="00E84936">
        <w:trPr>
          <w:trHeight w:val="521"/>
        </w:trPr>
        <w:tc>
          <w:tcPr>
            <w:tcW w:w="2068" w:type="dxa"/>
            <w:shd w:val="clear" w:color="auto" w:fill="E6E6E6" w:themeFill="background1" w:themeFillShade="E6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1D6C19" w:rsidRPr="008073CD" w:rsidRDefault="00E84936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E84936">
              <w:rPr>
                <w:rFonts w:cs="Arial"/>
                <w:lang w:eastAsia="en-GB"/>
              </w:rPr>
              <w:t>Number of NM</w:t>
            </w:r>
            <w:r>
              <w:rPr>
                <w:rFonts w:cs="Arial"/>
                <w:lang w:eastAsia="en-GB"/>
              </w:rPr>
              <w:t>Ss conducted by contractor in a given month</w:t>
            </w:r>
          </w:p>
        </w:tc>
      </w:tr>
      <w:tr w:rsidR="00365805" w:rsidRPr="008073CD" w:rsidTr="00E84936">
        <w:trPr>
          <w:trHeight w:val="546"/>
        </w:trPr>
        <w:tc>
          <w:tcPr>
            <w:tcW w:w="2068" w:type="dxa"/>
            <w:shd w:val="clear" w:color="auto" w:fill="E6E6E6" w:themeFill="background1" w:themeFillShade="E6"/>
          </w:tcPr>
          <w:p w:rsidR="00365805" w:rsidRPr="008073CD" w:rsidRDefault="00365805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365805" w:rsidRPr="008073CD" w:rsidRDefault="00365805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365805" w:rsidRDefault="00365805" w:rsidP="00365805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The average number of staff hours declared on the submission form per week is taken and d</w:t>
            </w:r>
            <w:r w:rsidR="00DE2402">
              <w:rPr>
                <w:rFonts w:cs="Arial"/>
                <w:lang w:eastAsia="en-GB"/>
              </w:rPr>
              <w:t>i</w:t>
            </w:r>
            <w:r>
              <w:rPr>
                <w:rFonts w:cs="Arial"/>
                <w:lang w:eastAsia="en-GB"/>
              </w:rPr>
              <w:t xml:space="preserve">vided by 7 to get the number of hours per day and then multiplied by the number of days in the month. </w:t>
            </w:r>
          </w:p>
          <w:p w:rsidR="00365805" w:rsidRDefault="00365805" w:rsidP="00365805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65805" w:rsidRDefault="00365805" w:rsidP="00365805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365805" w:rsidRDefault="00365805" w:rsidP="00365805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65805" w:rsidRPr="00365805" w:rsidRDefault="00365805" w:rsidP="00365805">
            <w:pPr>
              <w:spacing w:after="0"/>
              <w:textboxTightWrap w:val="none"/>
              <w:rPr>
                <w:rFonts w:cs="Arial"/>
                <w:i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bank holidays and assumes all pharamacies are open 7 days a week, 365 days of the year.</w:t>
            </w:r>
          </w:p>
          <w:p w:rsidR="00365805" w:rsidRPr="008073CD" w:rsidRDefault="00365805" w:rsidP="00365805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365805" w:rsidRPr="008073CD" w:rsidTr="00E84936">
        <w:tc>
          <w:tcPr>
            <w:tcW w:w="2068" w:type="dxa"/>
            <w:shd w:val="clear" w:color="auto" w:fill="E6E6E6" w:themeFill="background1" w:themeFillShade="E6"/>
          </w:tcPr>
          <w:p w:rsidR="00365805" w:rsidRPr="008073CD" w:rsidRDefault="00365805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365805" w:rsidRDefault="00DE2402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The metric will provide insight into the capacity of the pharmacy teams to deliver the services</w:t>
            </w:r>
          </w:p>
          <w:p w:rsidR="00365805" w:rsidRDefault="00365805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65805" w:rsidRPr="008073CD" w:rsidRDefault="00365805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260D0D" w:rsidRDefault="00260D0D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AB2EBA" w:rsidRPr="00180643" w:rsidRDefault="00E84936" w:rsidP="00180643">
      <w:pPr>
        <w:pStyle w:val="Heading2"/>
        <w:rPr>
          <w:rFonts w:ascii="Arial" w:hAnsi="Arial" w:cs="Arial"/>
          <w:lang w:eastAsia="en-GB"/>
        </w:rPr>
      </w:pPr>
      <w:bookmarkStart w:id="8" w:name="_Toc413065596"/>
      <w:r w:rsidRPr="00180643">
        <w:rPr>
          <w:rFonts w:ascii="Arial" w:hAnsi="Arial" w:cs="Arial"/>
          <w:lang w:eastAsia="en-GB"/>
        </w:rPr>
        <w:t>3</w:t>
      </w:r>
      <w:r w:rsidR="00B2132D" w:rsidRPr="00180643">
        <w:rPr>
          <w:rFonts w:ascii="Arial" w:hAnsi="Arial" w:cs="Arial"/>
          <w:lang w:eastAsia="en-GB"/>
        </w:rPr>
        <w:t>.</w:t>
      </w:r>
      <w:r w:rsidRPr="00180643">
        <w:rPr>
          <w:rFonts w:ascii="Arial" w:hAnsi="Arial" w:cs="Arial"/>
          <w:lang w:eastAsia="en-GB"/>
        </w:rPr>
        <w:t xml:space="preserve"> Out Of Pocket Expenses (OOPE)</w:t>
      </w:r>
      <w:bookmarkEnd w:id="8"/>
    </w:p>
    <w:p w:rsidR="00AB2EBA" w:rsidRDefault="00AB2EBA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B72D2D" w:rsidRDefault="00B72D2D" w:rsidP="00AB2EBA">
      <w:pPr>
        <w:spacing w:after="0"/>
        <w:textboxTightWrap w:val="none"/>
        <w:rPr>
          <w:rFonts w:cs="Arial"/>
          <w:lang w:eastAsia="en-GB"/>
        </w:rPr>
      </w:pPr>
      <w:r w:rsidRPr="00B72D2D">
        <w:rPr>
          <w:rFonts w:cs="Arial"/>
          <w:lang w:eastAsia="en-GB"/>
        </w:rPr>
        <w:t>Summary of metric:</w:t>
      </w:r>
    </w:p>
    <w:p w:rsidR="003B5425" w:rsidRDefault="003B5425" w:rsidP="006D71FA">
      <w:pPr>
        <w:spacing w:after="0"/>
        <w:ind w:left="72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Name of metric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Area team </w:t>
      </w:r>
      <w:r w:rsidR="003B5425">
        <w:rPr>
          <w:rFonts w:cs="Arial"/>
          <w:lang w:eastAsia="en-GB"/>
        </w:rPr>
        <w:t>co</w:t>
      </w:r>
      <w:r w:rsidRPr="00B91377">
        <w:rPr>
          <w:rFonts w:cs="Arial"/>
          <w:lang w:eastAsia="en-GB"/>
        </w:rPr>
        <w:t>de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Month of activity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Total number of contractors in Area Team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contractors </w:t>
      </w:r>
      <w:r>
        <w:rPr>
          <w:rFonts w:cs="Arial"/>
          <w:lang w:eastAsia="en-GB"/>
        </w:rPr>
        <w:t>claiming OOPE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contractors not </w:t>
      </w:r>
      <w:r>
        <w:rPr>
          <w:rFonts w:cs="Arial"/>
          <w:lang w:eastAsia="en-GB"/>
        </w:rPr>
        <w:t>claiming OOPE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</w:t>
      </w:r>
      <w:r>
        <w:rPr>
          <w:rFonts w:cs="Arial"/>
          <w:lang w:eastAsia="en-GB"/>
        </w:rPr>
        <w:t>OOPE claimed</w:t>
      </w:r>
      <w:r w:rsidRPr="00B91377">
        <w:rPr>
          <w:rFonts w:cs="Arial"/>
          <w:lang w:eastAsia="en-GB"/>
        </w:rPr>
        <w:t xml:space="preserve"> within the month</w:t>
      </w:r>
    </w:p>
    <w:p w:rsidR="00B72D2D" w:rsidRPr="00B91377" w:rsidRDefault="00B72D2D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Average number of </w:t>
      </w:r>
      <w:r>
        <w:rPr>
          <w:rFonts w:cs="Arial"/>
          <w:lang w:eastAsia="en-GB"/>
        </w:rPr>
        <w:t>OOPE</w:t>
      </w:r>
      <w:r w:rsidRPr="00B91377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claimed</w:t>
      </w:r>
      <w:r w:rsidRPr="00B91377">
        <w:rPr>
          <w:rFonts w:cs="Arial"/>
          <w:lang w:eastAsia="en-GB"/>
        </w:rPr>
        <w:t xml:space="preserve"> within the month.</w:t>
      </w:r>
    </w:p>
    <w:p w:rsidR="00B72D2D" w:rsidRDefault="00B72D2D" w:rsidP="00AB2EBA">
      <w:pPr>
        <w:spacing w:after="0"/>
        <w:textboxTightWrap w:val="none"/>
        <w:rPr>
          <w:rFonts w:cs="Arial"/>
          <w:lang w:eastAsia="en-GB"/>
        </w:rPr>
      </w:pPr>
    </w:p>
    <w:p w:rsidR="003B5425" w:rsidRPr="00B72D2D" w:rsidRDefault="003B5425" w:rsidP="00AB2EBA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OOPE activity</w:t>
      </w:r>
      <w:r w:rsidR="006D71FA">
        <w:rPr>
          <w:rFonts w:cs="Arial"/>
          <w:lang w:eastAsia="en-GB"/>
        </w:rPr>
        <w:t>:</w:t>
      </w:r>
    </w:p>
    <w:p w:rsidR="005159D8" w:rsidRPr="00B91377" w:rsidRDefault="005159D8" w:rsidP="006D71FA">
      <w:pPr>
        <w:spacing w:after="0"/>
        <w:ind w:left="720"/>
        <w:textboxTightWrap w:val="none"/>
        <w:rPr>
          <w:rFonts w:cs="Arial"/>
          <w:lang w:eastAsia="en-GB"/>
        </w:rPr>
      </w:pPr>
      <w:r w:rsidRPr="00B91377">
        <w:rPr>
          <w:rFonts w:cs="Arial"/>
          <w:lang w:eastAsia="en-GB"/>
        </w:rPr>
        <w:t>% of contra</w:t>
      </w:r>
      <w:r w:rsidR="00DB6328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 xml:space="preserve">tors </w:t>
      </w:r>
      <w:r>
        <w:rPr>
          <w:rFonts w:cs="Arial"/>
          <w:lang w:eastAsia="en-GB"/>
        </w:rPr>
        <w:t>claiming OOPE</w:t>
      </w:r>
      <w:r w:rsidRPr="00B91377">
        <w:rPr>
          <w:rFonts w:cs="Arial"/>
          <w:lang w:eastAsia="en-GB"/>
        </w:rPr>
        <w:t xml:space="preserve"> within the Area Team</w:t>
      </w:r>
      <w:r>
        <w:rPr>
          <w:rFonts w:cs="Arial"/>
          <w:lang w:eastAsia="en-GB"/>
        </w:rPr>
        <w:t>:</w:t>
      </w:r>
    </w:p>
    <w:p w:rsidR="003B5425" w:rsidRDefault="003B5425" w:rsidP="006D71FA">
      <w:pPr>
        <w:spacing w:after="0"/>
        <w:ind w:left="72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lastRenderedPageBreak/>
        <w:t>% of contractors not claiming OOPE within the Area Team</w:t>
      </w:r>
    </w:p>
    <w:p w:rsidR="003B5425" w:rsidRDefault="003B5425" w:rsidP="005159D8">
      <w:pPr>
        <w:spacing w:after="0"/>
        <w:textboxTightWrap w:val="none"/>
        <w:rPr>
          <w:rFonts w:cs="Arial"/>
          <w:lang w:eastAsia="en-GB"/>
        </w:rPr>
      </w:pPr>
    </w:p>
    <w:p w:rsidR="005159D8" w:rsidRDefault="005159D8" w:rsidP="005159D8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Top 10 contractors claiming</w:t>
      </w:r>
      <w:r w:rsidR="009F43B8">
        <w:rPr>
          <w:rFonts w:cs="Arial"/>
          <w:lang w:eastAsia="en-GB"/>
        </w:rPr>
        <w:t xml:space="preserve"> OOPEs</w:t>
      </w:r>
      <w:r>
        <w:rPr>
          <w:rFonts w:cs="Arial"/>
          <w:lang w:eastAsia="en-GB"/>
        </w:rPr>
        <w:t xml:space="preserve"> within the given month along with the </w:t>
      </w:r>
      <w:r w:rsidR="009F43B8">
        <w:rPr>
          <w:rFonts w:cs="Arial"/>
          <w:lang w:eastAsia="en-GB"/>
        </w:rPr>
        <w:t>total value of their claims</w:t>
      </w:r>
    </w:p>
    <w:p w:rsidR="00B72D2D" w:rsidRDefault="00B72D2D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F459AC" w:rsidRDefault="00F459AC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5159D8" w:rsidRPr="00180643" w:rsidRDefault="005159D8" w:rsidP="005159D8">
      <w:pPr>
        <w:spacing w:after="0"/>
        <w:textboxTightWrap w:val="none"/>
        <w:rPr>
          <w:rFonts w:cs="Arial"/>
          <w:b/>
          <w:sz w:val="28"/>
          <w:lang w:eastAsia="en-GB"/>
        </w:rPr>
      </w:pPr>
      <w:r w:rsidRPr="00180643">
        <w:rPr>
          <w:rFonts w:cs="Arial"/>
          <w:b/>
          <w:sz w:val="28"/>
          <w:lang w:eastAsia="en-GB"/>
        </w:rPr>
        <w:t>Metric</w:t>
      </w:r>
      <w:r w:rsidR="00180643">
        <w:rPr>
          <w:rFonts w:cs="Arial"/>
          <w:b/>
          <w:sz w:val="28"/>
          <w:lang w:eastAsia="en-GB"/>
        </w:rPr>
        <w:t>s</w:t>
      </w:r>
      <w:r w:rsidRPr="00180643">
        <w:rPr>
          <w:rFonts w:cs="Arial"/>
          <w:b/>
          <w:sz w:val="28"/>
          <w:lang w:eastAsia="en-GB"/>
        </w:rPr>
        <w:t>:</w:t>
      </w:r>
    </w:p>
    <w:p w:rsidR="001D5B09" w:rsidRDefault="001D5B09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F459AC" w:rsidRPr="008073CD" w:rsidTr="00F459AC">
        <w:trPr>
          <w:trHeight w:val="309"/>
        </w:trPr>
        <w:tc>
          <w:tcPr>
            <w:tcW w:w="1926" w:type="dxa"/>
            <w:shd w:val="clear" w:color="auto" w:fill="E6E6E6" w:themeFill="background1" w:themeFillShade="E6"/>
          </w:tcPr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Out of Pocket Expenses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F459AC" w:rsidRPr="008073CD" w:rsidTr="00F459AC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F459AC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F459AC" w:rsidRPr="001E0527" w:rsidRDefault="00F459AC" w:rsidP="00F459A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>Cost</w:t>
            </w:r>
            <w:r w:rsidRPr="008C6B0A">
              <w:rPr>
                <w:rFonts w:cs="Arial"/>
                <w:lang w:eastAsia="en-GB"/>
              </w:rPr>
              <w:t xml:space="preserve"> of OOPE </w:t>
            </w:r>
            <w:r>
              <w:rPr>
                <w:rFonts w:cs="Arial"/>
                <w:lang w:eastAsia="en-GB"/>
              </w:rPr>
              <w:t>(£) per 1000 items</w:t>
            </w:r>
          </w:p>
        </w:tc>
      </w:tr>
      <w:tr w:rsidR="00F459AC" w:rsidRPr="008073CD" w:rsidTr="00F459AC">
        <w:trPr>
          <w:trHeight w:val="471"/>
        </w:trPr>
        <w:tc>
          <w:tcPr>
            <w:tcW w:w="1926" w:type="dxa"/>
            <w:shd w:val="clear" w:color="auto" w:fill="E6E6E6" w:themeFill="background1" w:themeFillShade="E6"/>
          </w:tcPr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                  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5159D8">
              <w:rPr>
                <w:rFonts w:cs="Arial"/>
                <w:lang w:eastAsia="en-GB"/>
              </w:rPr>
              <w:t>Value of OOPE claimed</w:t>
            </w:r>
          </w:p>
        </w:tc>
      </w:tr>
      <w:tr w:rsidR="00F459AC" w:rsidRPr="008073CD" w:rsidTr="00F459AC">
        <w:trPr>
          <w:trHeight w:val="643"/>
        </w:trPr>
        <w:tc>
          <w:tcPr>
            <w:tcW w:w="1926" w:type="dxa"/>
            <w:shd w:val="clear" w:color="auto" w:fill="E6E6E6" w:themeFill="background1" w:themeFillShade="E6"/>
          </w:tcPr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dispensed divided by 1,000.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p w:rsidR="00F459AC" w:rsidRPr="008073CD" w:rsidRDefault="00F459AC" w:rsidP="00F459A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</w:tbl>
    <w:p w:rsidR="001D5B09" w:rsidRDefault="001D5B09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DE2402" w:rsidRDefault="00DE2402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DE2402" w:rsidRDefault="00DE2402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AB2EBA" w:rsidRPr="008073CD" w:rsidTr="008C6B0A">
        <w:trPr>
          <w:trHeight w:val="309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8C6B0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934501" w:rsidRPr="008073CD" w:rsidRDefault="008C6B0A" w:rsidP="00934501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Out of Pocket Expenses</w:t>
            </w:r>
          </w:p>
          <w:p w:rsidR="00D92452" w:rsidRPr="008073CD" w:rsidRDefault="00D92452" w:rsidP="00D92452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AB2EBA" w:rsidRPr="008073CD" w:rsidTr="00D406AF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8C6B0A" w:rsidRDefault="008C6B0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AB2EBA" w:rsidRPr="008073CD" w:rsidRDefault="00167261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Cost </w:t>
            </w:r>
            <w:r w:rsidR="008C6B0A" w:rsidRPr="00167261">
              <w:rPr>
                <w:rFonts w:cs="Arial"/>
                <w:lang w:eastAsia="en-GB"/>
              </w:rPr>
              <w:t xml:space="preserve">of OOPE claimed </w:t>
            </w:r>
            <w:r>
              <w:rPr>
                <w:rFonts w:cs="Arial"/>
                <w:lang w:eastAsia="en-GB"/>
              </w:rPr>
              <w:t>per £1000 NIC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AB2EBA" w:rsidRPr="008073CD" w:rsidTr="005159D8">
        <w:trPr>
          <w:trHeight w:val="471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AB2EBA" w:rsidRPr="008073CD" w:rsidRDefault="00CE33C4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                 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B2EBA" w:rsidRPr="008073CD" w:rsidRDefault="005159D8" w:rsidP="0051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5159D8">
              <w:rPr>
                <w:rFonts w:cs="Arial"/>
                <w:lang w:eastAsia="en-GB"/>
              </w:rPr>
              <w:t>Value of OOPE claimed</w:t>
            </w:r>
          </w:p>
        </w:tc>
      </w:tr>
      <w:tr w:rsidR="00AB2EBA" w:rsidRPr="008073CD" w:rsidTr="005159D8">
        <w:trPr>
          <w:trHeight w:val="643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CC6F74" w:rsidRPr="008073CD" w:rsidRDefault="00167261" w:rsidP="00167261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>Value of t</w:t>
            </w:r>
            <w:r w:rsidR="005159D8" w:rsidRPr="00167261">
              <w:rPr>
                <w:rFonts w:cs="Arial"/>
                <w:lang w:eastAsia="en-GB"/>
              </w:rPr>
              <w:t>otal NIC</w:t>
            </w:r>
            <w:r>
              <w:rPr>
                <w:rFonts w:cs="Arial"/>
                <w:lang w:eastAsia="en-GB"/>
              </w:rPr>
              <w:t xml:space="preserve"> divided by£1000</w:t>
            </w:r>
          </w:p>
        </w:tc>
      </w:tr>
    </w:tbl>
    <w:p w:rsidR="00AB2EBA" w:rsidRDefault="00AB2EB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AB2EBA" w:rsidRPr="00180643" w:rsidRDefault="005159D8" w:rsidP="00180643">
      <w:pPr>
        <w:pStyle w:val="Heading2"/>
        <w:rPr>
          <w:rFonts w:ascii="Arial" w:hAnsi="Arial" w:cs="Arial"/>
          <w:lang w:eastAsia="en-GB"/>
        </w:rPr>
      </w:pPr>
      <w:bookmarkStart w:id="9" w:name="_Toc413065597"/>
      <w:r w:rsidRPr="00180643">
        <w:rPr>
          <w:rFonts w:ascii="Arial" w:hAnsi="Arial" w:cs="Arial"/>
          <w:lang w:eastAsia="en-GB"/>
        </w:rPr>
        <w:t>4. Staff Hours</w:t>
      </w:r>
      <w:bookmarkEnd w:id="9"/>
    </w:p>
    <w:p w:rsidR="00AB2EBA" w:rsidRDefault="00AB2EBA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9F43B8" w:rsidRDefault="009F43B8" w:rsidP="009F43B8">
      <w:pPr>
        <w:spacing w:after="0"/>
        <w:textboxTightWrap w:val="none"/>
        <w:rPr>
          <w:rFonts w:cs="Arial"/>
          <w:lang w:eastAsia="en-GB"/>
        </w:rPr>
      </w:pPr>
      <w:r w:rsidRPr="00B72D2D">
        <w:rPr>
          <w:rFonts w:cs="Arial"/>
          <w:lang w:eastAsia="en-GB"/>
        </w:rPr>
        <w:t>Summary of metric:</w:t>
      </w:r>
    </w:p>
    <w:p w:rsidR="003B5425" w:rsidRDefault="003B5425" w:rsidP="006D71FA">
      <w:pPr>
        <w:spacing w:after="0"/>
        <w:ind w:left="72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Metric name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Area team </w:t>
      </w:r>
      <w:r w:rsidR="003B5425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>ode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Month of activity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>Total number of contractors in Area Team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contractors </w:t>
      </w:r>
      <w:r>
        <w:rPr>
          <w:rFonts w:cs="Arial"/>
          <w:lang w:eastAsia="en-GB"/>
        </w:rPr>
        <w:t>with staff hours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contractors </w:t>
      </w:r>
      <w:r>
        <w:rPr>
          <w:rFonts w:cs="Arial"/>
          <w:lang w:eastAsia="en-GB"/>
        </w:rPr>
        <w:t>with no staff hours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Total number of </w:t>
      </w:r>
      <w:r>
        <w:rPr>
          <w:rFonts w:cs="Arial"/>
          <w:lang w:eastAsia="en-GB"/>
        </w:rPr>
        <w:t xml:space="preserve">staff hours in </w:t>
      </w:r>
      <w:r w:rsidRPr="00B91377">
        <w:rPr>
          <w:rFonts w:cs="Arial"/>
          <w:lang w:eastAsia="en-GB"/>
        </w:rPr>
        <w:t>the month</w:t>
      </w:r>
    </w:p>
    <w:p w:rsidR="009F43B8" w:rsidRPr="00B91377" w:rsidRDefault="009F43B8" w:rsidP="006D71FA">
      <w:pPr>
        <w:spacing w:after="0"/>
        <w:ind w:left="720"/>
        <w:rPr>
          <w:rFonts w:cs="Arial"/>
          <w:lang w:eastAsia="en-GB"/>
        </w:rPr>
      </w:pPr>
      <w:r w:rsidRPr="00B91377">
        <w:rPr>
          <w:rFonts w:cs="Arial"/>
          <w:lang w:eastAsia="en-GB"/>
        </w:rPr>
        <w:t xml:space="preserve">Average number of </w:t>
      </w:r>
      <w:r>
        <w:rPr>
          <w:rFonts w:cs="Arial"/>
          <w:lang w:eastAsia="en-GB"/>
        </w:rPr>
        <w:t>staff hours in</w:t>
      </w:r>
      <w:r w:rsidRPr="00B91377">
        <w:rPr>
          <w:rFonts w:cs="Arial"/>
          <w:lang w:eastAsia="en-GB"/>
        </w:rPr>
        <w:t xml:space="preserve"> the month.</w:t>
      </w:r>
    </w:p>
    <w:p w:rsidR="009F43B8" w:rsidRDefault="009F43B8" w:rsidP="009F43B8">
      <w:pPr>
        <w:spacing w:after="0"/>
        <w:textboxTightWrap w:val="none"/>
        <w:rPr>
          <w:rFonts w:cs="Arial"/>
          <w:lang w:eastAsia="en-GB"/>
        </w:rPr>
      </w:pPr>
    </w:p>
    <w:p w:rsidR="00924FED" w:rsidRDefault="00924FED" w:rsidP="009F43B8">
      <w:pPr>
        <w:spacing w:after="0"/>
        <w:textboxTightWrap w:val="none"/>
        <w:rPr>
          <w:rFonts w:cs="Arial"/>
          <w:lang w:eastAsia="en-GB"/>
        </w:rPr>
      </w:pPr>
    </w:p>
    <w:p w:rsidR="003B5425" w:rsidRPr="00B72D2D" w:rsidRDefault="003B5425" w:rsidP="009F43B8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lastRenderedPageBreak/>
        <w:t>Staff hours activity</w:t>
      </w:r>
      <w:r w:rsidR="006D71FA">
        <w:rPr>
          <w:rFonts w:cs="Arial"/>
          <w:lang w:eastAsia="en-GB"/>
        </w:rPr>
        <w:t>:</w:t>
      </w:r>
    </w:p>
    <w:p w:rsidR="009F43B8" w:rsidRPr="00B91377" w:rsidRDefault="009F43B8" w:rsidP="006D71FA">
      <w:pPr>
        <w:spacing w:after="0"/>
        <w:ind w:left="720"/>
        <w:textboxTightWrap w:val="none"/>
        <w:rPr>
          <w:rFonts w:cs="Arial"/>
          <w:lang w:eastAsia="en-GB"/>
        </w:rPr>
      </w:pPr>
      <w:r w:rsidRPr="00B91377">
        <w:rPr>
          <w:rFonts w:cs="Arial"/>
          <w:lang w:eastAsia="en-GB"/>
        </w:rPr>
        <w:t>% of contra</w:t>
      </w:r>
      <w:r w:rsidR="00DB6328">
        <w:rPr>
          <w:rFonts w:cs="Arial"/>
          <w:lang w:eastAsia="en-GB"/>
        </w:rPr>
        <w:t>c</w:t>
      </w:r>
      <w:r w:rsidRPr="00B91377">
        <w:rPr>
          <w:rFonts w:cs="Arial"/>
          <w:lang w:eastAsia="en-GB"/>
        </w:rPr>
        <w:t xml:space="preserve">tors </w:t>
      </w:r>
      <w:r>
        <w:rPr>
          <w:rFonts w:cs="Arial"/>
          <w:lang w:eastAsia="en-GB"/>
        </w:rPr>
        <w:t>with staff hours</w:t>
      </w:r>
      <w:r w:rsidRPr="00B91377">
        <w:rPr>
          <w:rFonts w:cs="Arial"/>
          <w:lang w:eastAsia="en-GB"/>
        </w:rPr>
        <w:t xml:space="preserve"> within the Area Team</w:t>
      </w:r>
      <w:r>
        <w:rPr>
          <w:rFonts w:cs="Arial"/>
          <w:lang w:eastAsia="en-GB"/>
        </w:rPr>
        <w:t>:</w:t>
      </w:r>
    </w:p>
    <w:p w:rsidR="009F43B8" w:rsidRDefault="003B5425" w:rsidP="006D71FA">
      <w:pPr>
        <w:spacing w:after="0"/>
        <w:ind w:left="72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% of contractors with no staff hours within Area Team</w:t>
      </w:r>
    </w:p>
    <w:p w:rsidR="003B5425" w:rsidRDefault="003B5425" w:rsidP="009F43B8">
      <w:pPr>
        <w:spacing w:after="0"/>
        <w:textboxTightWrap w:val="none"/>
        <w:rPr>
          <w:rFonts w:cs="Arial"/>
          <w:lang w:eastAsia="en-GB"/>
        </w:rPr>
      </w:pPr>
    </w:p>
    <w:p w:rsidR="009F43B8" w:rsidRDefault="009F43B8" w:rsidP="009F43B8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  <w:r>
        <w:rPr>
          <w:rFonts w:cs="Arial"/>
          <w:lang w:eastAsia="en-GB"/>
        </w:rPr>
        <w:t>Top 10 contractors with the highest number of staff hours</w:t>
      </w:r>
    </w:p>
    <w:p w:rsidR="009F43B8" w:rsidRDefault="009F43B8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3B5425" w:rsidRPr="00180643" w:rsidRDefault="003B5425" w:rsidP="00AB2EBA">
      <w:pPr>
        <w:spacing w:after="0"/>
        <w:textboxTightWrap w:val="none"/>
        <w:rPr>
          <w:rFonts w:cs="Arial"/>
          <w:b/>
          <w:sz w:val="28"/>
          <w:lang w:eastAsia="en-GB"/>
        </w:rPr>
      </w:pPr>
    </w:p>
    <w:p w:rsidR="00481DD7" w:rsidRPr="00180643" w:rsidRDefault="00481DD7" w:rsidP="00AB2EBA">
      <w:pPr>
        <w:spacing w:after="0"/>
        <w:textboxTightWrap w:val="none"/>
        <w:rPr>
          <w:rFonts w:cs="Arial"/>
          <w:b/>
          <w:sz w:val="28"/>
          <w:lang w:eastAsia="en-GB"/>
        </w:rPr>
      </w:pPr>
      <w:r w:rsidRPr="00180643">
        <w:rPr>
          <w:rFonts w:cs="Arial"/>
          <w:b/>
          <w:sz w:val="28"/>
          <w:lang w:eastAsia="en-GB"/>
        </w:rPr>
        <w:t>Metric</w:t>
      </w:r>
      <w:r w:rsidR="00180643">
        <w:rPr>
          <w:rFonts w:cs="Arial"/>
          <w:b/>
          <w:sz w:val="28"/>
          <w:lang w:eastAsia="en-GB"/>
        </w:rPr>
        <w:t>s</w:t>
      </w:r>
      <w:r w:rsidRPr="00180643">
        <w:rPr>
          <w:rFonts w:cs="Arial"/>
          <w:b/>
          <w:sz w:val="28"/>
          <w:lang w:eastAsia="en-GB"/>
        </w:rPr>
        <w:t>:</w:t>
      </w:r>
    </w:p>
    <w:p w:rsidR="00481DD7" w:rsidRDefault="00481DD7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CA3CE9" w:rsidRPr="00F459AC" w:rsidTr="0032077D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CA3CE9" w:rsidRPr="008073CD" w:rsidRDefault="00CA3CE9" w:rsidP="0032077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CA3CE9" w:rsidRPr="008073CD" w:rsidRDefault="00CA3CE9" w:rsidP="0032077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CA3CE9" w:rsidRPr="00F459AC" w:rsidRDefault="00CA3CE9" w:rsidP="0032077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Staff Hours</w:t>
            </w:r>
          </w:p>
        </w:tc>
      </w:tr>
      <w:tr w:rsidR="00CA3CE9" w:rsidRPr="008073CD" w:rsidTr="0032077D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CA3CE9" w:rsidRDefault="00CA3CE9" w:rsidP="0032077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CA3CE9" w:rsidRPr="008073CD" w:rsidRDefault="00CA3CE9" w:rsidP="0032077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Description</w:t>
            </w:r>
          </w:p>
        </w:tc>
        <w:tc>
          <w:tcPr>
            <w:tcW w:w="7794" w:type="dxa"/>
            <w:shd w:val="clear" w:color="auto" w:fill="auto"/>
          </w:tcPr>
          <w:p w:rsidR="00CA3CE9" w:rsidRPr="008073CD" w:rsidRDefault="00CA3CE9" w:rsidP="0032077D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</w:t>
            </w:r>
            <w:r>
              <w:rPr>
                <w:rFonts w:cs="Arial"/>
                <w:lang w:eastAsia="en-GB"/>
              </w:rPr>
              <w:t>of staff hours for the month</w:t>
            </w:r>
          </w:p>
        </w:tc>
      </w:tr>
      <w:tr w:rsidR="00CA3CE9" w:rsidRPr="008073CD" w:rsidTr="0032077D">
        <w:trPr>
          <w:trHeight w:val="530"/>
        </w:trPr>
        <w:tc>
          <w:tcPr>
            <w:tcW w:w="1926" w:type="dxa"/>
            <w:shd w:val="clear" w:color="auto" w:fill="E6E6E6" w:themeFill="background1" w:themeFillShade="E6"/>
          </w:tcPr>
          <w:p w:rsidR="00CA3CE9" w:rsidRPr="00825730" w:rsidRDefault="00CA3CE9" w:rsidP="0032077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Calculation</w:t>
            </w:r>
          </w:p>
        </w:tc>
        <w:tc>
          <w:tcPr>
            <w:tcW w:w="7794" w:type="dxa"/>
            <w:shd w:val="clear" w:color="auto" w:fill="auto"/>
          </w:tcPr>
          <w:p w:rsidR="00CA3CE9" w:rsidRDefault="00CA3CE9" w:rsidP="0032077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The average number of staff hours declared on the FP34C submission form per week is taken and divided by 7 to get the number of hours per day and then multiplied by the number of days in the month. </w:t>
            </w:r>
          </w:p>
          <w:p w:rsidR="00CA3CE9" w:rsidRDefault="00CA3CE9" w:rsidP="0032077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CA3CE9" w:rsidRDefault="00CA3CE9" w:rsidP="0032077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CA3CE9" w:rsidRDefault="00CA3CE9" w:rsidP="0032077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CA3CE9" w:rsidRPr="008073CD" w:rsidRDefault="00CA3CE9" w:rsidP="00DB632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bank holidays and assumes all pharmacies are open 7 days a week, 365 days of the year.</w:t>
            </w:r>
          </w:p>
        </w:tc>
      </w:tr>
    </w:tbl>
    <w:p w:rsidR="00924FED" w:rsidRDefault="00924FED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p w:rsidR="00924FED" w:rsidRPr="00956F80" w:rsidRDefault="00924FED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AB2EBA" w:rsidRPr="008073CD" w:rsidTr="00120E4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481DD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Metric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AB2EBA" w:rsidRPr="00481DD7" w:rsidRDefault="009F43B8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481DD7">
              <w:rPr>
                <w:rFonts w:cs="Arial"/>
                <w:b/>
                <w:lang w:eastAsia="en-GB"/>
              </w:rPr>
              <w:t xml:space="preserve">Staff Hours </w:t>
            </w:r>
          </w:p>
        </w:tc>
      </w:tr>
      <w:tr w:rsidR="00AB2EBA" w:rsidRPr="008073CD" w:rsidTr="00120E4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481DD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Metric </w:t>
            </w:r>
            <w:r w:rsidR="00AB2EBA" w:rsidRPr="008073CD">
              <w:rPr>
                <w:rFonts w:cs="Arial"/>
                <w:b/>
                <w:lang w:eastAsia="en-GB"/>
              </w:rPr>
              <w:t xml:space="preserve"> Description</w:t>
            </w:r>
          </w:p>
        </w:tc>
        <w:tc>
          <w:tcPr>
            <w:tcW w:w="7794" w:type="dxa"/>
            <w:shd w:val="clear" w:color="auto" w:fill="auto"/>
          </w:tcPr>
          <w:p w:rsidR="00AB2EBA" w:rsidRPr="00481DD7" w:rsidRDefault="00A73116" w:rsidP="00A73116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>Total</w:t>
            </w:r>
            <w:r w:rsidR="00481DD7" w:rsidRPr="00481DD7">
              <w:rPr>
                <w:rFonts w:cs="Arial"/>
                <w:lang w:eastAsia="en-GB"/>
              </w:rPr>
              <w:t xml:space="preserve"> of MUR plus NMS </w:t>
            </w:r>
            <w:r>
              <w:rPr>
                <w:rFonts w:cs="Arial"/>
                <w:lang w:eastAsia="en-GB"/>
              </w:rPr>
              <w:t>per 100</w:t>
            </w:r>
            <w:r w:rsidR="00481DD7" w:rsidRPr="00481DD7">
              <w:rPr>
                <w:rFonts w:cs="Arial"/>
                <w:lang w:eastAsia="en-GB"/>
              </w:rPr>
              <w:t xml:space="preserve"> staff hours</w:t>
            </w:r>
          </w:p>
        </w:tc>
      </w:tr>
      <w:tr w:rsidR="00AB2EBA" w:rsidRPr="008073CD" w:rsidTr="009F43B8">
        <w:trPr>
          <w:trHeight w:val="544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B2EBA" w:rsidRPr="008073CD" w:rsidRDefault="00481DD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481DD7">
              <w:rPr>
                <w:rFonts w:cs="Arial"/>
                <w:lang w:eastAsia="en-GB"/>
              </w:rPr>
              <w:t>Total of MURs and NMS</w:t>
            </w:r>
          </w:p>
        </w:tc>
      </w:tr>
      <w:tr w:rsidR="00AB2EBA" w:rsidRPr="008073CD" w:rsidTr="009F43B8">
        <w:trPr>
          <w:trHeight w:val="538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B2EBA" w:rsidRDefault="00481DD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481DD7">
              <w:rPr>
                <w:rFonts w:cs="Arial"/>
                <w:lang w:eastAsia="en-GB"/>
              </w:rPr>
              <w:t>Total number of staff hours</w:t>
            </w:r>
            <w:r w:rsidR="00F459AC">
              <w:rPr>
                <w:rFonts w:cs="Arial"/>
                <w:lang w:eastAsia="en-GB"/>
              </w:rPr>
              <w:t xml:space="preserve"> for the month</w:t>
            </w:r>
            <w:r w:rsidR="00A73116">
              <w:rPr>
                <w:rFonts w:cs="Arial"/>
                <w:lang w:eastAsia="en-GB"/>
              </w:rPr>
              <w:t xml:space="preserve"> divided by 100</w:t>
            </w:r>
            <w:r w:rsidR="00F459AC">
              <w:rPr>
                <w:rFonts w:cs="Arial"/>
                <w:lang w:eastAsia="en-GB"/>
              </w:rPr>
              <w:t>.</w:t>
            </w:r>
          </w:p>
          <w:p w:rsidR="00F459AC" w:rsidRDefault="00F459AC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No. of Staff Hours for the Month: The average number of staff hours declared on the submission form per week is taken and d</w:t>
            </w:r>
            <w:r w:rsidR="00DE2402">
              <w:rPr>
                <w:rFonts w:cs="Arial"/>
                <w:lang w:eastAsia="en-GB"/>
              </w:rPr>
              <w:t>i</w:t>
            </w:r>
            <w:r>
              <w:rPr>
                <w:rFonts w:cs="Arial"/>
                <w:lang w:eastAsia="en-GB"/>
              </w:rPr>
              <w:t xml:space="preserve">vided by 7 to get the number of hours per day and then multiplied by the number of days in the month. </w:t>
            </w: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459AC" w:rsidRPr="00F459AC" w:rsidRDefault="00F459AC" w:rsidP="00B144EE">
            <w:pPr>
              <w:spacing w:after="0"/>
              <w:textboxTightWrap w:val="none"/>
              <w:rPr>
                <w:rFonts w:cs="Arial"/>
                <w:i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bank holidays and assumes all pharamacies are open 7 day</w:t>
            </w:r>
            <w:r>
              <w:rPr>
                <w:rFonts w:cs="Arial"/>
                <w:i/>
                <w:lang w:eastAsia="en-GB"/>
              </w:rPr>
              <w:t>s a week, 365 days of the year.</w:t>
            </w:r>
          </w:p>
        </w:tc>
      </w:tr>
      <w:tr w:rsidR="00AB2EBA" w:rsidRPr="008073CD" w:rsidTr="00120E42"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AB2EBA" w:rsidRPr="008073CD" w:rsidRDefault="00DE2402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The metric will provide insight into the capacity of the pharmacy teams to deliver the services</w:t>
            </w:r>
          </w:p>
        </w:tc>
      </w:tr>
    </w:tbl>
    <w:p w:rsidR="004D4490" w:rsidRDefault="004D4490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481DD7" w:rsidRPr="008073CD" w:rsidTr="001D4989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lastRenderedPageBreak/>
              <w:t>Metric</w:t>
            </w:r>
          </w:p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481DD7" w:rsidRPr="00481DD7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481DD7">
              <w:rPr>
                <w:rFonts w:cs="Arial"/>
                <w:b/>
                <w:lang w:eastAsia="en-GB"/>
              </w:rPr>
              <w:t xml:space="preserve">Staff Hours </w:t>
            </w:r>
          </w:p>
        </w:tc>
      </w:tr>
      <w:tr w:rsidR="00481DD7" w:rsidRPr="008073CD" w:rsidTr="001D4989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Metric </w:t>
            </w:r>
            <w:r w:rsidRPr="008073CD">
              <w:rPr>
                <w:rFonts w:cs="Arial"/>
                <w:b/>
                <w:lang w:eastAsia="en-GB"/>
              </w:rPr>
              <w:t xml:space="preserve"> Description</w:t>
            </w:r>
          </w:p>
        </w:tc>
        <w:tc>
          <w:tcPr>
            <w:tcW w:w="7794" w:type="dxa"/>
            <w:shd w:val="clear" w:color="auto" w:fill="auto"/>
          </w:tcPr>
          <w:p w:rsidR="00481DD7" w:rsidRPr="00481DD7" w:rsidRDefault="00481DD7" w:rsidP="00481DD7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481DD7">
              <w:rPr>
                <w:rFonts w:cs="Arial"/>
                <w:lang w:eastAsia="en-GB"/>
              </w:rPr>
              <w:t xml:space="preserve">Proportion of </w:t>
            </w:r>
            <w:r>
              <w:rPr>
                <w:rFonts w:cs="Arial"/>
                <w:lang w:eastAsia="en-GB"/>
              </w:rPr>
              <w:t>staff hours per 1000 items</w:t>
            </w:r>
          </w:p>
        </w:tc>
      </w:tr>
      <w:tr w:rsidR="00481DD7" w:rsidRPr="008073CD" w:rsidTr="001D4989">
        <w:trPr>
          <w:trHeight w:val="544"/>
        </w:trPr>
        <w:tc>
          <w:tcPr>
            <w:tcW w:w="1926" w:type="dxa"/>
            <w:shd w:val="clear" w:color="auto" w:fill="E6E6E6" w:themeFill="background1" w:themeFillShade="E6"/>
          </w:tcPr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481DD7" w:rsidRPr="008073CD" w:rsidRDefault="00481DD7" w:rsidP="00481DD7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481DD7">
              <w:rPr>
                <w:rFonts w:cs="Arial"/>
                <w:lang w:eastAsia="en-GB"/>
              </w:rPr>
              <w:t xml:space="preserve">Total </w:t>
            </w:r>
            <w:r>
              <w:rPr>
                <w:rFonts w:cs="Arial"/>
                <w:lang w:eastAsia="en-GB"/>
              </w:rPr>
              <w:t>number of staff hours</w:t>
            </w:r>
          </w:p>
        </w:tc>
      </w:tr>
      <w:tr w:rsidR="00481DD7" w:rsidRPr="008073CD" w:rsidTr="001D4989">
        <w:trPr>
          <w:trHeight w:val="538"/>
        </w:trPr>
        <w:tc>
          <w:tcPr>
            <w:tcW w:w="1926" w:type="dxa"/>
            <w:shd w:val="clear" w:color="auto" w:fill="E6E6E6" w:themeFill="background1" w:themeFillShade="E6"/>
          </w:tcPr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481DD7" w:rsidRPr="008073CD" w:rsidRDefault="00481DD7" w:rsidP="00481DD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dispensed divided by 1,000.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p w:rsidR="00481DD7" w:rsidRDefault="00481DD7" w:rsidP="001D4989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No. of Staff Hours for the Month: The average number of staff hours declared on the submission form per week is taken and </w:t>
            </w:r>
            <w:r w:rsidR="00DB6328">
              <w:rPr>
                <w:rFonts w:cs="Arial"/>
                <w:lang w:eastAsia="en-GB"/>
              </w:rPr>
              <w:t>di</w:t>
            </w:r>
            <w:r>
              <w:rPr>
                <w:rFonts w:cs="Arial"/>
                <w:lang w:eastAsia="en-GB"/>
              </w:rPr>
              <w:t xml:space="preserve">vided by 7 to get the number of hours per day and then multiplied by the number of days in the month. </w:t>
            </w: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(Declared staff hours per week / 7) * Number of days in the month.</w:t>
            </w:r>
          </w:p>
          <w:p w:rsidR="00F459AC" w:rsidRDefault="00F459AC" w:rsidP="00F459A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459AC" w:rsidRPr="008073CD" w:rsidRDefault="00F459AC" w:rsidP="00DB632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365805">
              <w:rPr>
                <w:rFonts w:cs="Arial"/>
                <w:i/>
                <w:lang w:eastAsia="en-GB"/>
              </w:rPr>
              <w:t>Note: This does not take into account the number of days the pharmacy is open or bank holidays and assumes all pharmacies are open 7 day</w:t>
            </w:r>
            <w:r>
              <w:rPr>
                <w:rFonts w:cs="Arial"/>
                <w:i/>
                <w:lang w:eastAsia="en-GB"/>
              </w:rPr>
              <w:t>s a week, 365 days of the year.</w:t>
            </w:r>
          </w:p>
        </w:tc>
      </w:tr>
      <w:tr w:rsidR="00481DD7" w:rsidRPr="008073CD" w:rsidTr="001D4989">
        <w:tc>
          <w:tcPr>
            <w:tcW w:w="1926" w:type="dxa"/>
            <w:shd w:val="clear" w:color="auto" w:fill="E6E6E6" w:themeFill="background1" w:themeFillShade="E6"/>
          </w:tcPr>
          <w:p w:rsidR="00481DD7" w:rsidRPr="008073CD" w:rsidRDefault="00481DD7" w:rsidP="001D498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481DD7" w:rsidRPr="008073CD" w:rsidRDefault="00DE2402" w:rsidP="001D4989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The metric will provide insight into the capacity of the pharmacy teams to deliver the services</w:t>
            </w:r>
          </w:p>
        </w:tc>
      </w:tr>
    </w:tbl>
    <w:p w:rsidR="00F6525A" w:rsidRDefault="00F6525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481DD7" w:rsidRDefault="00481DD7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DE2402" w:rsidRDefault="00DE2402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DE2402" w:rsidRDefault="00DE2402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481DD7" w:rsidRPr="006066F2" w:rsidRDefault="009D11C0" w:rsidP="00180643">
      <w:pPr>
        <w:pStyle w:val="Heading1"/>
        <w:rPr>
          <w:lang w:eastAsia="en-GB"/>
        </w:rPr>
      </w:pPr>
      <w:bookmarkStart w:id="10" w:name="_Toc413065598"/>
      <w:r w:rsidRPr="006066F2">
        <w:rPr>
          <w:lang w:eastAsia="en-GB"/>
        </w:rPr>
        <w:t>Glossary</w:t>
      </w:r>
      <w:bookmarkEnd w:id="10"/>
    </w:p>
    <w:p w:rsidR="00481DD7" w:rsidRDefault="00481DD7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6066F2" w:rsidRDefault="006066F2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6066F2" w:rsidRDefault="006066F2" w:rsidP="006066F2">
      <w:pPr>
        <w:spacing w:after="0"/>
        <w:ind w:left="2880" w:hanging="2880"/>
        <w:textboxTightWrap w:val="none"/>
        <w:rPr>
          <w:rFonts w:cs="Arial"/>
          <w:lang w:eastAsia="en-GB"/>
        </w:rPr>
      </w:pPr>
      <w:r w:rsidRPr="00B61B1A">
        <w:rPr>
          <w:rFonts w:cs="Arial"/>
          <w:lang w:eastAsia="en-GB"/>
        </w:rPr>
        <w:t xml:space="preserve">Denominator </w:t>
      </w:r>
      <w:r w:rsidRPr="00B61B1A">
        <w:rPr>
          <w:rFonts w:cs="Arial"/>
          <w:lang w:eastAsia="en-GB"/>
        </w:rPr>
        <w:tab/>
        <w:t xml:space="preserve">The denominator is what the numerator (see below) is being measured </w:t>
      </w:r>
      <w:r w:rsidR="00B61B1A">
        <w:rPr>
          <w:rFonts w:cs="Arial"/>
          <w:lang w:eastAsia="en-GB"/>
        </w:rPr>
        <w:t>or compared against.</w:t>
      </w:r>
    </w:p>
    <w:p w:rsidR="00B61B1A" w:rsidRDefault="00B61B1A" w:rsidP="006066F2">
      <w:pPr>
        <w:spacing w:after="0"/>
        <w:ind w:left="2880" w:hanging="288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ab/>
        <w:t>NB: The mathematical definition is ‘the numberin</w:t>
      </w:r>
      <w:r w:rsidR="00DB6328">
        <w:rPr>
          <w:rFonts w:cs="Arial"/>
          <w:lang w:eastAsia="en-GB"/>
        </w:rPr>
        <w:t>g</w:t>
      </w:r>
      <w:r>
        <w:rPr>
          <w:rFonts w:cs="Arial"/>
          <w:lang w:eastAsia="en-GB"/>
        </w:rPr>
        <w:t xml:space="preserve"> a fraction that lies </w:t>
      </w:r>
      <w:r>
        <w:rPr>
          <w:rFonts w:cs="Arial"/>
          <w:i/>
          <w:lang w:eastAsia="en-GB"/>
        </w:rPr>
        <w:t>below</w:t>
      </w:r>
      <w:r>
        <w:rPr>
          <w:rFonts w:cs="Arial"/>
          <w:lang w:eastAsia="en-GB"/>
        </w:rPr>
        <w:t xml:space="preserve"> the divide line. The number that lies </w:t>
      </w:r>
      <w:r w:rsidRPr="00B61B1A">
        <w:rPr>
          <w:rFonts w:cs="Arial"/>
          <w:i/>
          <w:lang w:eastAsia="en-GB"/>
        </w:rPr>
        <w:t>above</w:t>
      </w:r>
      <w:r>
        <w:rPr>
          <w:rFonts w:cs="Arial"/>
          <w:lang w:eastAsia="en-GB"/>
        </w:rPr>
        <w:t xml:space="preserve"> the divide line is the numerator.</w:t>
      </w:r>
    </w:p>
    <w:p w:rsidR="00B61B1A" w:rsidRDefault="00B61B1A" w:rsidP="006066F2">
      <w:pPr>
        <w:spacing w:after="0"/>
        <w:ind w:left="2880" w:hanging="2880"/>
        <w:textboxTightWrap w:val="none"/>
        <w:rPr>
          <w:rFonts w:cs="Arial"/>
          <w:lang w:eastAsia="en-GB"/>
        </w:rPr>
      </w:pPr>
    </w:p>
    <w:p w:rsidR="00B61B1A" w:rsidRDefault="00B61B1A" w:rsidP="006066F2">
      <w:pPr>
        <w:spacing w:after="0"/>
        <w:ind w:left="2880" w:hanging="288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>Numerator</w:t>
      </w:r>
      <w:r w:rsidR="00A94B17">
        <w:rPr>
          <w:rFonts w:cs="Arial"/>
          <w:lang w:eastAsia="en-GB"/>
        </w:rPr>
        <w:tab/>
        <w:t>The numerator is what is being measured or compared.</w:t>
      </w:r>
    </w:p>
    <w:p w:rsidR="00A94B17" w:rsidRPr="00B61B1A" w:rsidRDefault="00A94B17" w:rsidP="006066F2">
      <w:pPr>
        <w:spacing w:after="0"/>
        <w:ind w:left="2880" w:hanging="288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ab/>
        <w:t xml:space="preserve">NB: the mathematical definition is ‘the number in a fraction that lies </w:t>
      </w:r>
      <w:r w:rsidRPr="00A64302">
        <w:rPr>
          <w:rFonts w:cs="Arial"/>
          <w:i/>
          <w:lang w:eastAsia="en-GB"/>
        </w:rPr>
        <w:t>above</w:t>
      </w:r>
      <w:r>
        <w:rPr>
          <w:rFonts w:cs="Arial"/>
          <w:lang w:eastAsia="en-GB"/>
        </w:rPr>
        <w:t xml:space="preserve"> the divide line. The number that lies </w:t>
      </w:r>
      <w:r w:rsidRPr="00A64302">
        <w:rPr>
          <w:rFonts w:cs="Arial"/>
          <w:i/>
          <w:lang w:eastAsia="en-GB"/>
        </w:rPr>
        <w:t>below</w:t>
      </w:r>
      <w:r>
        <w:rPr>
          <w:rFonts w:cs="Arial"/>
          <w:lang w:eastAsia="en-GB"/>
        </w:rPr>
        <w:t xml:space="preserve"> the divide line</w:t>
      </w:r>
      <w:r w:rsidR="00A64302">
        <w:rPr>
          <w:rFonts w:cs="Arial"/>
          <w:lang w:eastAsia="en-GB"/>
        </w:rPr>
        <w:t xml:space="preserve"> is the denominator</w:t>
      </w:r>
    </w:p>
    <w:p w:rsidR="004D4490" w:rsidRDefault="004D4490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sectPr w:rsidR="004D4490" w:rsidSect="001806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ED" w:rsidRDefault="00924FED" w:rsidP="007C7360">
      <w:pPr>
        <w:spacing w:after="0"/>
      </w:pPr>
      <w:r>
        <w:separator/>
      </w:r>
    </w:p>
  </w:endnote>
  <w:endnote w:type="continuationSeparator" w:id="0">
    <w:p w:rsidR="00924FED" w:rsidRDefault="00924FED" w:rsidP="007C7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68" w:rsidRDefault="00732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6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FED" w:rsidRDefault="00732C68">
        <w:pPr>
          <w:pStyle w:val="Footer"/>
          <w:jc w:val="right"/>
        </w:pPr>
        <w:r>
          <w:t xml:space="preserve">MIS Toolkit Metrics </w:t>
        </w:r>
        <w:r w:rsidR="00924FED">
          <w:fldChar w:fldCharType="begin"/>
        </w:r>
        <w:r w:rsidR="00924FED">
          <w:instrText xml:space="preserve"> PAGE   \* MERGEFORMAT </w:instrText>
        </w:r>
        <w:r w:rsidR="00924FED">
          <w:fldChar w:fldCharType="separate"/>
        </w:r>
        <w:r w:rsidR="0036466F">
          <w:rPr>
            <w:noProof/>
          </w:rPr>
          <w:t>1</w:t>
        </w:r>
        <w:r w:rsidR="00924FED">
          <w:rPr>
            <w:noProof/>
          </w:rPr>
          <w:fldChar w:fldCharType="end"/>
        </w:r>
      </w:p>
    </w:sdtContent>
  </w:sdt>
  <w:p w:rsidR="00924FED" w:rsidRDefault="00924F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68" w:rsidRDefault="0073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ED" w:rsidRDefault="00924FED" w:rsidP="007C7360">
      <w:pPr>
        <w:spacing w:after="0"/>
      </w:pPr>
      <w:r>
        <w:separator/>
      </w:r>
    </w:p>
  </w:footnote>
  <w:footnote w:type="continuationSeparator" w:id="0">
    <w:p w:rsidR="00924FED" w:rsidRDefault="00924FED" w:rsidP="007C7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68" w:rsidRDefault="00732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D" w:rsidRDefault="00924FED">
    <w:pPr>
      <w:pStyle w:val="Header"/>
    </w:pPr>
  </w:p>
  <w:p w:rsidR="0036466F" w:rsidRDefault="0036466F">
    <w:pPr>
      <w:pStyle w:val="Header"/>
    </w:pPr>
    <w:bookmarkStart w:id="11" w:name="_GoBack"/>
    <w:bookmarkEnd w:id="11"/>
  </w:p>
  <w:p w:rsidR="00924FED" w:rsidRDefault="00924F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68" w:rsidRDefault="0073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B0A"/>
    <w:multiLevelType w:val="hybridMultilevel"/>
    <w:tmpl w:val="587C153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6F53DCF"/>
    <w:multiLevelType w:val="hybridMultilevel"/>
    <w:tmpl w:val="90FEC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DB9"/>
    <w:multiLevelType w:val="hybridMultilevel"/>
    <w:tmpl w:val="26B4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85C0E"/>
    <w:multiLevelType w:val="hybridMultilevel"/>
    <w:tmpl w:val="B9E2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627B5"/>
    <w:multiLevelType w:val="hybridMultilevel"/>
    <w:tmpl w:val="1A44F2A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C50D1"/>
    <w:multiLevelType w:val="hybridMultilevel"/>
    <w:tmpl w:val="58D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870BE"/>
    <w:multiLevelType w:val="hybridMultilevel"/>
    <w:tmpl w:val="0072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E40CB"/>
    <w:multiLevelType w:val="hybridMultilevel"/>
    <w:tmpl w:val="F37C69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7C2044"/>
    <w:multiLevelType w:val="hybridMultilevel"/>
    <w:tmpl w:val="7A22F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72565"/>
    <w:multiLevelType w:val="hybridMultilevel"/>
    <w:tmpl w:val="6E0E996C"/>
    <w:lvl w:ilvl="0" w:tplc="3D2E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A2"/>
    <w:rsid w:val="00002FA6"/>
    <w:rsid w:val="00004D3F"/>
    <w:rsid w:val="00024339"/>
    <w:rsid w:val="000365D5"/>
    <w:rsid w:val="00036940"/>
    <w:rsid w:val="00052541"/>
    <w:rsid w:val="00071248"/>
    <w:rsid w:val="00077691"/>
    <w:rsid w:val="00085D91"/>
    <w:rsid w:val="00097596"/>
    <w:rsid w:val="000A043C"/>
    <w:rsid w:val="000A5EC7"/>
    <w:rsid w:val="000C59D8"/>
    <w:rsid w:val="000D572D"/>
    <w:rsid w:val="00102CF7"/>
    <w:rsid w:val="00104057"/>
    <w:rsid w:val="00104789"/>
    <w:rsid w:val="00106FB4"/>
    <w:rsid w:val="0011096C"/>
    <w:rsid w:val="00111918"/>
    <w:rsid w:val="00114919"/>
    <w:rsid w:val="00120E42"/>
    <w:rsid w:val="00122E2B"/>
    <w:rsid w:val="001310F2"/>
    <w:rsid w:val="0013600F"/>
    <w:rsid w:val="001404CA"/>
    <w:rsid w:val="0015170A"/>
    <w:rsid w:val="00151B1C"/>
    <w:rsid w:val="00152BEE"/>
    <w:rsid w:val="00153F70"/>
    <w:rsid w:val="00154268"/>
    <w:rsid w:val="00167261"/>
    <w:rsid w:val="00176604"/>
    <w:rsid w:val="00180643"/>
    <w:rsid w:val="00180D14"/>
    <w:rsid w:val="00183842"/>
    <w:rsid w:val="0018398A"/>
    <w:rsid w:val="00184442"/>
    <w:rsid w:val="001914FC"/>
    <w:rsid w:val="001A2095"/>
    <w:rsid w:val="001A4C31"/>
    <w:rsid w:val="001D31CF"/>
    <w:rsid w:val="001D4989"/>
    <w:rsid w:val="001D4F9B"/>
    <w:rsid w:val="001D5B09"/>
    <w:rsid w:val="001D6C19"/>
    <w:rsid w:val="001E0527"/>
    <w:rsid w:val="001E5A8D"/>
    <w:rsid w:val="001E616B"/>
    <w:rsid w:val="001F238B"/>
    <w:rsid w:val="002023C0"/>
    <w:rsid w:val="002043E4"/>
    <w:rsid w:val="00206CE9"/>
    <w:rsid w:val="002078B0"/>
    <w:rsid w:val="002126B5"/>
    <w:rsid w:val="00212E7A"/>
    <w:rsid w:val="00233A33"/>
    <w:rsid w:val="00234F83"/>
    <w:rsid w:val="00236F6E"/>
    <w:rsid w:val="00241B92"/>
    <w:rsid w:val="00245FF5"/>
    <w:rsid w:val="00247044"/>
    <w:rsid w:val="00250142"/>
    <w:rsid w:val="00260D0D"/>
    <w:rsid w:val="0026615E"/>
    <w:rsid w:val="002731E5"/>
    <w:rsid w:val="00277ADF"/>
    <w:rsid w:val="002812EE"/>
    <w:rsid w:val="00294224"/>
    <w:rsid w:val="002B43AE"/>
    <w:rsid w:val="002D512C"/>
    <w:rsid w:val="002D5564"/>
    <w:rsid w:val="002E0591"/>
    <w:rsid w:val="002E2577"/>
    <w:rsid w:val="002E6DB8"/>
    <w:rsid w:val="002F19BC"/>
    <w:rsid w:val="002F3661"/>
    <w:rsid w:val="00300ED7"/>
    <w:rsid w:val="00305A5E"/>
    <w:rsid w:val="00313EE8"/>
    <w:rsid w:val="0031543B"/>
    <w:rsid w:val="00320CAA"/>
    <w:rsid w:val="00330122"/>
    <w:rsid w:val="0033125E"/>
    <w:rsid w:val="00331524"/>
    <w:rsid w:val="00335889"/>
    <w:rsid w:val="00340330"/>
    <w:rsid w:val="0035489E"/>
    <w:rsid w:val="003645FC"/>
    <w:rsid w:val="0036466F"/>
    <w:rsid w:val="00364D18"/>
    <w:rsid w:val="00365805"/>
    <w:rsid w:val="00382BA8"/>
    <w:rsid w:val="003848D2"/>
    <w:rsid w:val="00387F76"/>
    <w:rsid w:val="003920A3"/>
    <w:rsid w:val="003A27D7"/>
    <w:rsid w:val="003B5425"/>
    <w:rsid w:val="003D024D"/>
    <w:rsid w:val="003D4D7C"/>
    <w:rsid w:val="003D7087"/>
    <w:rsid w:val="003F1729"/>
    <w:rsid w:val="003F6FF4"/>
    <w:rsid w:val="004140D9"/>
    <w:rsid w:val="004251D7"/>
    <w:rsid w:val="00425F50"/>
    <w:rsid w:val="004305C7"/>
    <w:rsid w:val="0043403F"/>
    <w:rsid w:val="00434274"/>
    <w:rsid w:val="00444326"/>
    <w:rsid w:val="0044529D"/>
    <w:rsid w:val="004505B4"/>
    <w:rsid w:val="00451C96"/>
    <w:rsid w:val="004535DB"/>
    <w:rsid w:val="00466E75"/>
    <w:rsid w:val="00471A9B"/>
    <w:rsid w:val="00474C0A"/>
    <w:rsid w:val="00476277"/>
    <w:rsid w:val="00481DD7"/>
    <w:rsid w:val="00486AF3"/>
    <w:rsid w:val="004956A7"/>
    <w:rsid w:val="004A07EE"/>
    <w:rsid w:val="004A0F85"/>
    <w:rsid w:val="004A1210"/>
    <w:rsid w:val="004A19D1"/>
    <w:rsid w:val="004A19EE"/>
    <w:rsid w:val="004A2A35"/>
    <w:rsid w:val="004A4935"/>
    <w:rsid w:val="004B27AD"/>
    <w:rsid w:val="004D4490"/>
    <w:rsid w:val="004E3947"/>
    <w:rsid w:val="004F27B1"/>
    <w:rsid w:val="004F5EDF"/>
    <w:rsid w:val="0050289F"/>
    <w:rsid w:val="00510FE8"/>
    <w:rsid w:val="00512B6D"/>
    <w:rsid w:val="005159D8"/>
    <w:rsid w:val="00522FD2"/>
    <w:rsid w:val="00527831"/>
    <w:rsid w:val="00545244"/>
    <w:rsid w:val="005510E4"/>
    <w:rsid w:val="0055184A"/>
    <w:rsid w:val="00555408"/>
    <w:rsid w:val="00557231"/>
    <w:rsid w:val="005602D2"/>
    <w:rsid w:val="00561466"/>
    <w:rsid w:val="0056361A"/>
    <w:rsid w:val="00575156"/>
    <w:rsid w:val="00583407"/>
    <w:rsid w:val="00584893"/>
    <w:rsid w:val="00586306"/>
    <w:rsid w:val="00592F02"/>
    <w:rsid w:val="005A24A4"/>
    <w:rsid w:val="005A388F"/>
    <w:rsid w:val="005A6867"/>
    <w:rsid w:val="005A7C23"/>
    <w:rsid w:val="005B5301"/>
    <w:rsid w:val="005C0A5D"/>
    <w:rsid w:val="005C3A22"/>
    <w:rsid w:val="005C5C0A"/>
    <w:rsid w:val="005E5087"/>
    <w:rsid w:val="005E6D2E"/>
    <w:rsid w:val="00601494"/>
    <w:rsid w:val="006019CC"/>
    <w:rsid w:val="00601CD1"/>
    <w:rsid w:val="00602944"/>
    <w:rsid w:val="006066F2"/>
    <w:rsid w:val="006107D0"/>
    <w:rsid w:val="00611036"/>
    <w:rsid w:val="00613880"/>
    <w:rsid w:val="006225BA"/>
    <w:rsid w:val="006243F1"/>
    <w:rsid w:val="00635F4F"/>
    <w:rsid w:val="00642570"/>
    <w:rsid w:val="00661DCA"/>
    <w:rsid w:val="00672834"/>
    <w:rsid w:val="00673113"/>
    <w:rsid w:val="006A235C"/>
    <w:rsid w:val="006B1DE0"/>
    <w:rsid w:val="006B65CD"/>
    <w:rsid w:val="006C1C7F"/>
    <w:rsid w:val="006C430E"/>
    <w:rsid w:val="006C4C3C"/>
    <w:rsid w:val="006D71FA"/>
    <w:rsid w:val="006E3063"/>
    <w:rsid w:val="006F09A9"/>
    <w:rsid w:val="007061D2"/>
    <w:rsid w:val="00706357"/>
    <w:rsid w:val="007305BB"/>
    <w:rsid w:val="00732C68"/>
    <w:rsid w:val="00733BEC"/>
    <w:rsid w:val="0073752D"/>
    <w:rsid w:val="00755508"/>
    <w:rsid w:val="00761BDC"/>
    <w:rsid w:val="00767DAA"/>
    <w:rsid w:val="0077367D"/>
    <w:rsid w:val="007768C3"/>
    <w:rsid w:val="0078554E"/>
    <w:rsid w:val="007A65E8"/>
    <w:rsid w:val="007B1402"/>
    <w:rsid w:val="007B2650"/>
    <w:rsid w:val="007B76CD"/>
    <w:rsid w:val="007B79DF"/>
    <w:rsid w:val="007B7DBA"/>
    <w:rsid w:val="007C7360"/>
    <w:rsid w:val="007D709E"/>
    <w:rsid w:val="007E3239"/>
    <w:rsid w:val="007E41A6"/>
    <w:rsid w:val="007E7F83"/>
    <w:rsid w:val="007F330F"/>
    <w:rsid w:val="007F4A25"/>
    <w:rsid w:val="007F6D28"/>
    <w:rsid w:val="007F76DE"/>
    <w:rsid w:val="00801EC0"/>
    <w:rsid w:val="00802499"/>
    <w:rsid w:val="008032A7"/>
    <w:rsid w:val="008037A9"/>
    <w:rsid w:val="00804664"/>
    <w:rsid w:val="00804D4B"/>
    <w:rsid w:val="00813692"/>
    <w:rsid w:val="008163EE"/>
    <w:rsid w:val="00821010"/>
    <w:rsid w:val="00822E8B"/>
    <w:rsid w:val="00825730"/>
    <w:rsid w:val="00830C87"/>
    <w:rsid w:val="00832403"/>
    <w:rsid w:val="008328F5"/>
    <w:rsid w:val="00841145"/>
    <w:rsid w:val="008459B2"/>
    <w:rsid w:val="0086146B"/>
    <w:rsid w:val="00863352"/>
    <w:rsid w:val="0087735E"/>
    <w:rsid w:val="008811F9"/>
    <w:rsid w:val="00893423"/>
    <w:rsid w:val="00896BF4"/>
    <w:rsid w:val="00896C3A"/>
    <w:rsid w:val="008971F5"/>
    <w:rsid w:val="008A613B"/>
    <w:rsid w:val="008B66E2"/>
    <w:rsid w:val="008C6B0A"/>
    <w:rsid w:val="008D7C3F"/>
    <w:rsid w:val="008E084C"/>
    <w:rsid w:val="008E54C6"/>
    <w:rsid w:val="008E5D50"/>
    <w:rsid w:val="00903227"/>
    <w:rsid w:val="009053FE"/>
    <w:rsid w:val="009128B4"/>
    <w:rsid w:val="00913D05"/>
    <w:rsid w:val="00924FED"/>
    <w:rsid w:val="00925F47"/>
    <w:rsid w:val="0093351A"/>
    <w:rsid w:val="00934501"/>
    <w:rsid w:val="00941B42"/>
    <w:rsid w:val="00944C92"/>
    <w:rsid w:val="009450F4"/>
    <w:rsid w:val="00953312"/>
    <w:rsid w:val="00962A97"/>
    <w:rsid w:val="00965E05"/>
    <w:rsid w:val="00967398"/>
    <w:rsid w:val="009A47F4"/>
    <w:rsid w:val="009B2712"/>
    <w:rsid w:val="009B5E8A"/>
    <w:rsid w:val="009D11C0"/>
    <w:rsid w:val="009D1A44"/>
    <w:rsid w:val="009D7B60"/>
    <w:rsid w:val="009E4014"/>
    <w:rsid w:val="009E4748"/>
    <w:rsid w:val="009E4F47"/>
    <w:rsid w:val="009F28D4"/>
    <w:rsid w:val="009F2EA6"/>
    <w:rsid w:val="009F43B8"/>
    <w:rsid w:val="009F5BD3"/>
    <w:rsid w:val="009F742A"/>
    <w:rsid w:val="009F7C0A"/>
    <w:rsid w:val="00A1324E"/>
    <w:rsid w:val="00A13E7D"/>
    <w:rsid w:val="00A150CC"/>
    <w:rsid w:val="00A244E1"/>
    <w:rsid w:val="00A43559"/>
    <w:rsid w:val="00A47AC8"/>
    <w:rsid w:val="00A546E6"/>
    <w:rsid w:val="00A57351"/>
    <w:rsid w:val="00A64302"/>
    <w:rsid w:val="00A64F7F"/>
    <w:rsid w:val="00A67CE5"/>
    <w:rsid w:val="00A73116"/>
    <w:rsid w:val="00A744A2"/>
    <w:rsid w:val="00A86AA9"/>
    <w:rsid w:val="00A87248"/>
    <w:rsid w:val="00A94B17"/>
    <w:rsid w:val="00AA1654"/>
    <w:rsid w:val="00AA3074"/>
    <w:rsid w:val="00AB024D"/>
    <w:rsid w:val="00AB1E2C"/>
    <w:rsid w:val="00AB2EBA"/>
    <w:rsid w:val="00AC1B32"/>
    <w:rsid w:val="00AE70CC"/>
    <w:rsid w:val="00B0211E"/>
    <w:rsid w:val="00B03758"/>
    <w:rsid w:val="00B03C03"/>
    <w:rsid w:val="00B117DC"/>
    <w:rsid w:val="00B144EE"/>
    <w:rsid w:val="00B2132D"/>
    <w:rsid w:val="00B31451"/>
    <w:rsid w:val="00B317DE"/>
    <w:rsid w:val="00B3564C"/>
    <w:rsid w:val="00B36D25"/>
    <w:rsid w:val="00B4000C"/>
    <w:rsid w:val="00B4085D"/>
    <w:rsid w:val="00B458E3"/>
    <w:rsid w:val="00B549B0"/>
    <w:rsid w:val="00B613A3"/>
    <w:rsid w:val="00B61B1A"/>
    <w:rsid w:val="00B632DE"/>
    <w:rsid w:val="00B72D2D"/>
    <w:rsid w:val="00B72E11"/>
    <w:rsid w:val="00B82939"/>
    <w:rsid w:val="00B83CA2"/>
    <w:rsid w:val="00B8772D"/>
    <w:rsid w:val="00B905C2"/>
    <w:rsid w:val="00B91377"/>
    <w:rsid w:val="00B91FE4"/>
    <w:rsid w:val="00BB28E0"/>
    <w:rsid w:val="00BC60CA"/>
    <w:rsid w:val="00BD1352"/>
    <w:rsid w:val="00C10F5C"/>
    <w:rsid w:val="00C118C0"/>
    <w:rsid w:val="00C14B5D"/>
    <w:rsid w:val="00C203E1"/>
    <w:rsid w:val="00C60C9F"/>
    <w:rsid w:val="00C62D9E"/>
    <w:rsid w:val="00C908FD"/>
    <w:rsid w:val="00C90B76"/>
    <w:rsid w:val="00C91137"/>
    <w:rsid w:val="00C9187A"/>
    <w:rsid w:val="00C91C5B"/>
    <w:rsid w:val="00C97AD1"/>
    <w:rsid w:val="00CA0511"/>
    <w:rsid w:val="00CA3CE9"/>
    <w:rsid w:val="00CA765D"/>
    <w:rsid w:val="00CC2092"/>
    <w:rsid w:val="00CC6F74"/>
    <w:rsid w:val="00CD18CE"/>
    <w:rsid w:val="00CE33C4"/>
    <w:rsid w:val="00CE37CB"/>
    <w:rsid w:val="00CE3A40"/>
    <w:rsid w:val="00CE66E5"/>
    <w:rsid w:val="00CF14C2"/>
    <w:rsid w:val="00D00320"/>
    <w:rsid w:val="00D00659"/>
    <w:rsid w:val="00D0069D"/>
    <w:rsid w:val="00D02EF9"/>
    <w:rsid w:val="00D06A05"/>
    <w:rsid w:val="00D1369A"/>
    <w:rsid w:val="00D24AB9"/>
    <w:rsid w:val="00D27682"/>
    <w:rsid w:val="00D406AF"/>
    <w:rsid w:val="00D4093D"/>
    <w:rsid w:val="00D47999"/>
    <w:rsid w:val="00D53086"/>
    <w:rsid w:val="00D54A98"/>
    <w:rsid w:val="00D624B1"/>
    <w:rsid w:val="00D62EA5"/>
    <w:rsid w:val="00D65D7C"/>
    <w:rsid w:val="00D66318"/>
    <w:rsid w:val="00D71E9B"/>
    <w:rsid w:val="00D73493"/>
    <w:rsid w:val="00D80568"/>
    <w:rsid w:val="00D92452"/>
    <w:rsid w:val="00D930BA"/>
    <w:rsid w:val="00DA00CD"/>
    <w:rsid w:val="00DB6328"/>
    <w:rsid w:val="00DB6D7E"/>
    <w:rsid w:val="00DC50CF"/>
    <w:rsid w:val="00DD45DF"/>
    <w:rsid w:val="00DE2402"/>
    <w:rsid w:val="00DE2A7B"/>
    <w:rsid w:val="00DF26D8"/>
    <w:rsid w:val="00E01FF9"/>
    <w:rsid w:val="00E140BE"/>
    <w:rsid w:val="00E21DE6"/>
    <w:rsid w:val="00E22D2C"/>
    <w:rsid w:val="00E401E0"/>
    <w:rsid w:val="00E458D5"/>
    <w:rsid w:val="00E5141B"/>
    <w:rsid w:val="00E51FBF"/>
    <w:rsid w:val="00E53C3A"/>
    <w:rsid w:val="00E66FE1"/>
    <w:rsid w:val="00E72D11"/>
    <w:rsid w:val="00E831D3"/>
    <w:rsid w:val="00E84936"/>
    <w:rsid w:val="00E85021"/>
    <w:rsid w:val="00E91D50"/>
    <w:rsid w:val="00EA0662"/>
    <w:rsid w:val="00EA6E29"/>
    <w:rsid w:val="00EB68AD"/>
    <w:rsid w:val="00ED3178"/>
    <w:rsid w:val="00ED587B"/>
    <w:rsid w:val="00ED7523"/>
    <w:rsid w:val="00F01EAE"/>
    <w:rsid w:val="00F10CD3"/>
    <w:rsid w:val="00F13EFD"/>
    <w:rsid w:val="00F13F1C"/>
    <w:rsid w:val="00F2079F"/>
    <w:rsid w:val="00F23211"/>
    <w:rsid w:val="00F273AE"/>
    <w:rsid w:val="00F34A3B"/>
    <w:rsid w:val="00F3617D"/>
    <w:rsid w:val="00F459AC"/>
    <w:rsid w:val="00F4739D"/>
    <w:rsid w:val="00F646C7"/>
    <w:rsid w:val="00F6511E"/>
    <w:rsid w:val="00F6525A"/>
    <w:rsid w:val="00F670A9"/>
    <w:rsid w:val="00F85BC9"/>
    <w:rsid w:val="00F92235"/>
    <w:rsid w:val="00FB423B"/>
    <w:rsid w:val="00FD081B"/>
    <w:rsid w:val="00FD3DD9"/>
    <w:rsid w:val="00FD5436"/>
    <w:rsid w:val="00FE3BAE"/>
    <w:rsid w:val="00FE5729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A2"/>
    <w:pPr>
      <w:spacing w:after="140" w:line="240" w:lineRule="auto"/>
      <w:textboxTightWrap w:val="lastLineOnly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4989"/>
    <w:pPr>
      <w:keepNext/>
      <w:spacing w:after="0" w:line="276" w:lineRule="auto"/>
      <w:textboxTightWrap w:val="none"/>
      <w:outlineLvl w:val="0"/>
    </w:pPr>
    <w:rPr>
      <w:rFonts w:eastAsia="Calibri" w:cs="Arial"/>
      <w:b/>
      <w:bCs/>
      <w:color w:val="0072C6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3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3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58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6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2783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527831"/>
    <w:rPr>
      <w:vertAlign w:val="superscript"/>
    </w:rPr>
  </w:style>
  <w:style w:type="paragraph" w:styleId="NoSpacing">
    <w:name w:val="No Spacing"/>
    <w:uiPriority w:val="1"/>
    <w:qFormat/>
    <w:rsid w:val="00B632D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65E8"/>
    <w:rPr>
      <w:color w:val="808080"/>
    </w:rPr>
  </w:style>
  <w:style w:type="table" w:styleId="LightShading-Accent1">
    <w:name w:val="Light Shading Accent 1"/>
    <w:basedOn w:val="TableNormal"/>
    <w:uiPriority w:val="60"/>
    <w:rsid w:val="003D70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1D4989"/>
    <w:rPr>
      <w:rFonts w:ascii="Arial" w:eastAsia="Calibri" w:hAnsi="Arial" w:cs="Arial"/>
      <w:b/>
      <w:bCs/>
      <w:color w:val="0072C6"/>
      <w:sz w:val="32"/>
    </w:rPr>
  </w:style>
  <w:style w:type="character" w:styleId="Hyperlink">
    <w:name w:val="Hyperlink"/>
    <w:uiPriority w:val="99"/>
    <w:unhideWhenUsed/>
    <w:rsid w:val="001D498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80643"/>
    <w:pPr>
      <w:tabs>
        <w:tab w:val="left" w:pos="426"/>
        <w:tab w:val="right" w:leader="dot" w:pos="9639"/>
      </w:tabs>
      <w:spacing w:after="200" w:line="276" w:lineRule="auto"/>
      <w:ind w:right="261" w:hanging="142"/>
      <w:textboxTightWrap w:val="none"/>
    </w:pPr>
    <w:rPr>
      <w:rFonts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4989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80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80643"/>
    <w:pPr>
      <w:tabs>
        <w:tab w:val="right" w:leader="dot" w:pos="9639"/>
      </w:tabs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A2"/>
    <w:pPr>
      <w:spacing w:after="140" w:line="240" w:lineRule="auto"/>
      <w:textboxTightWrap w:val="lastLineOnly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4989"/>
    <w:pPr>
      <w:keepNext/>
      <w:spacing w:after="0" w:line="276" w:lineRule="auto"/>
      <w:textboxTightWrap w:val="none"/>
      <w:outlineLvl w:val="0"/>
    </w:pPr>
    <w:rPr>
      <w:rFonts w:eastAsia="Calibri" w:cs="Arial"/>
      <w:b/>
      <w:bCs/>
      <w:color w:val="0072C6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3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3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58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6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2783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527831"/>
    <w:rPr>
      <w:vertAlign w:val="superscript"/>
    </w:rPr>
  </w:style>
  <w:style w:type="paragraph" w:styleId="NoSpacing">
    <w:name w:val="No Spacing"/>
    <w:uiPriority w:val="1"/>
    <w:qFormat/>
    <w:rsid w:val="00B632D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65E8"/>
    <w:rPr>
      <w:color w:val="808080"/>
    </w:rPr>
  </w:style>
  <w:style w:type="table" w:styleId="LightShading-Accent1">
    <w:name w:val="Light Shading Accent 1"/>
    <w:basedOn w:val="TableNormal"/>
    <w:uiPriority w:val="60"/>
    <w:rsid w:val="003D70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1D4989"/>
    <w:rPr>
      <w:rFonts w:ascii="Arial" w:eastAsia="Calibri" w:hAnsi="Arial" w:cs="Arial"/>
      <w:b/>
      <w:bCs/>
      <w:color w:val="0072C6"/>
      <w:sz w:val="32"/>
    </w:rPr>
  </w:style>
  <w:style w:type="character" w:styleId="Hyperlink">
    <w:name w:val="Hyperlink"/>
    <w:uiPriority w:val="99"/>
    <w:unhideWhenUsed/>
    <w:rsid w:val="001D498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80643"/>
    <w:pPr>
      <w:tabs>
        <w:tab w:val="left" w:pos="426"/>
        <w:tab w:val="right" w:leader="dot" w:pos="9639"/>
      </w:tabs>
      <w:spacing w:after="200" w:line="276" w:lineRule="auto"/>
      <w:ind w:right="261" w:hanging="142"/>
      <w:textboxTightWrap w:val="none"/>
    </w:pPr>
    <w:rPr>
      <w:rFonts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4989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80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80643"/>
    <w:pPr>
      <w:tabs>
        <w:tab w:val="right" w:leader="dot" w:pos="9639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0D23E-D1C0-4EBF-A613-4B24F09C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Bowes</dc:creator>
  <cp:lastModifiedBy>Margaret Dockey</cp:lastModifiedBy>
  <cp:revision>22</cp:revision>
  <cp:lastPrinted>2015-03-02T14:42:00Z</cp:lastPrinted>
  <dcterms:created xsi:type="dcterms:W3CDTF">2014-12-15T14:44:00Z</dcterms:created>
  <dcterms:modified xsi:type="dcterms:W3CDTF">2015-03-03T16:04:00Z</dcterms:modified>
</cp:coreProperties>
</file>