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82" w:rsidRPr="00552369" w:rsidRDefault="00D144EE" w:rsidP="00665382">
      <w:pPr>
        <w:jc w:val="center"/>
        <w:rPr>
          <w:rFonts w:ascii="Arial" w:hAnsi="Arial" w:cs="Arial"/>
          <w:b/>
          <w:sz w:val="24"/>
          <w:u w:val="single"/>
        </w:rPr>
      </w:pPr>
      <w:r w:rsidRPr="00552369">
        <w:rPr>
          <w:rFonts w:ascii="Arial" w:hAnsi="Arial" w:cs="Arial"/>
          <w:b/>
          <w:sz w:val="24"/>
          <w:u w:val="single"/>
        </w:rPr>
        <w:t xml:space="preserve">MIS Toolbox </w:t>
      </w:r>
      <w:r w:rsidR="00665382" w:rsidRPr="00552369">
        <w:rPr>
          <w:rFonts w:ascii="Arial" w:hAnsi="Arial" w:cs="Arial"/>
          <w:b/>
          <w:sz w:val="24"/>
          <w:u w:val="single"/>
        </w:rPr>
        <w:t>Categorisation Explained in Detail</w:t>
      </w:r>
    </w:p>
    <w:p w:rsidR="00665382" w:rsidRPr="00552369" w:rsidRDefault="00665382" w:rsidP="00665382">
      <w:pPr>
        <w:spacing w:line="240" w:lineRule="auto"/>
        <w:rPr>
          <w:rFonts w:ascii="Arial" w:hAnsi="Arial" w:cs="Arial"/>
          <w:sz w:val="24"/>
        </w:rPr>
      </w:pPr>
      <w:r w:rsidRPr="00552369">
        <w:rPr>
          <w:rFonts w:ascii="Arial" w:hAnsi="Arial" w:cs="Arial"/>
          <w:sz w:val="24"/>
        </w:rPr>
        <w:t xml:space="preserve">Quartiles: The quartiles of a ranked set of data values, are the three points that divide the data set into four equal groups, each group comprising a quarter of the data. </w:t>
      </w:r>
    </w:p>
    <w:p w:rsidR="00665382" w:rsidRPr="00552369" w:rsidRDefault="00665382" w:rsidP="00665382">
      <w:pPr>
        <w:spacing w:line="240" w:lineRule="auto"/>
        <w:jc w:val="center"/>
        <w:rPr>
          <w:rFonts w:ascii="Arial" w:hAnsi="Arial" w:cs="Arial"/>
          <w:sz w:val="24"/>
        </w:rPr>
      </w:pPr>
      <w:r w:rsidRPr="00552369">
        <w:rPr>
          <w:rFonts w:ascii="Arial" w:hAnsi="Arial" w:cs="Arial"/>
          <w:noProof/>
          <w:sz w:val="24"/>
          <w:lang w:eastAsia="en-GB"/>
        </w:rPr>
        <w:drawing>
          <wp:inline distT="0" distB="0" distL="0" distR="0" wp14:anchorId="23316DAC" wp14:editId="3A492219">
            <wp:extent cx="5199797" cy="1401993"/>
            <wp:effectExtent l="0" t="0" r="127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99532" cy="1401922"/>
                    </a:xfrm>
                    <a:prstGeom prst="rect">
                      <a:avLst/>
                    </a:prstGeom>
                  </pic:spPr>
                </pic:pic>
              </a:graphicData>
            </a:graphic>
          </wp:inline>
        </w:drawing>
      </w:r>
    </w:p>
    <w:p w:rsidR="00665382" w:rsidRPr="00552369" w:rsidRDefault="00665382" w:rsidP="00665382">
      <w:pPr>
        <w:spacing w:line="240" w:lineRule="auto"/>
        <w:rPr>
          <w:rFonts w:ascii="Arial" w:hAnsi="Arial" w:cs="Arial"/>
          <w:sz w:val="24"/>
        </w:rPr>
      </w:pPr>
      <w:r w:rsidRPr="00552369">
        <w:rPr>
          <w:rFonts w:ascii="Arial" w:hAnsi="Arial" w:cs="Arial"/>
          <w:sz w:val="24"/>
        </w:rPr>
        <w:t>Inter Quartile Range (IQR): The difference between the 1</w:t>
      </w:r>
      <w:r w:rsidRPr="00552369">
        <w:rPr>
          <w:rFonts w:ascii="Arial" w:hAnsi="Arial" w:cs="Arial"/>
          <w:sz w:val="24"/>
          <w:vertAlign w:val="superscript"/>
        </w:rPr>
        <w:t>st</w:t>
      </w:r>
      <w:r w:rsidRPr="00552369">
        <w:rPr>
          <w:rFonts w:ascii="Arial" w:hAnsi="Arial" w:cs="Arial"/>
          <w:sz w:val="24"/>
        </w:rPr>
        <w:t xml:space="preserve"> and 3</w:t>
      </w:r>
      <w:r w:rsidRPr="00552369">
        <w:rPr>
          <w:rFonts w:ascii="Arial" w:hAnsi="Arial" w:cs="Arial"/>
          <w:sz w:val="24"/>
          <w:vertAlign w:val="superscript"/>
        </w:rPr>
        <w:t>rd</w:t>
      </w:r>
      <w:r w:rsidRPr="00552369">
        <w:rPr>
          <w:rFonts w:ascii="Arial" w:hAnsi="Arial" w:cs="Arial"/>
          <w:sz w:val="24"/>
        </w:rPr>
        <w:t xml:space="preserve"> Quartile of the data.</w:t>
      </w:r>
    </w:p>
    <w:p w:rsidR="00665382" w:rsidRPr="00552369" w:rsidRDefault="00665382" w:rsidP="00665382">
      <w:pPr>
        <w:spacing w:line="240" w:lineRule="auto"/>
        <w:rPr>
          <w:rFonts w:ascii="Arial" w:hAnsi="Arial" w:cs="Arial"/>
          <w:sz w:val="24"/>
          <w:u w:val="single"/>
        </w:rPr>
      </w:pPr>
      <w:r w:rsidRPr="00552369">
        <w:rPr>
          <w:rFonts w:ascii="Arial" w:hAnsi="Arial" w:cs="Arial"/>
          <w:sz w:val="24"/>
          <w:u w:val="single"/>
        </w:rPr>
        <w:t xml:space="preserve">John </w:t>
      </w:r>
      <w:proofErr w:type="spellStart"/>
      <w:r w:rsidR="00275EBD" w:rsidRPr="00552369">
        <w:rPr>
          <w:rFonts w:ascii="Arial" w:hAnsi="Arial" w:cs="Arial"/>
          <w:sz w:val="24"/>
          <w:u w:val="single"/>
        </w:rPr>
        <w:t>Tu</w:t>
      </w:r>
      <w:r w:rsidRPr="00552369">
        <w:rPr>
          <w:rFonts w:ascii="Arial" w:hAnsi="Arial" w:cs="Arial"/>
          <w:sz w:val="24"/>
          <w:u w:val="single"/>
        </w:rPr>
        <w:t>key’s</w:t>
      </w:r>
      <w:proofErr w:type="spellEnd"/>
      <w:r w:rsidRPr="00552369">
        <w:rPr>
          <w:rFonts w:ascii="Arial" w:hAnsi="Arial" w:cs="Arial"/>
          <w:sz w:val="24"/>
          <w:u w:val="single"/>
        </w:rPr>
        <w:t xml:space="preserve"> Method of outlier activity</w:t>
      </w:r>
    </w:p>
    <w:p w:rsidR="00665382" w:rsidRPr="00552369" w:rsidRDefault="00665382" w:rsidP="00665382">
      <w:pPr>
        <w:spacing w:line="240" w:lineRule="auto"/>
        <w:rPr>
          <w:rFonts w:ascii="Arial" w:hAnsi="Arial" w:cs="Arial"/>
          <w:sz w:val="24"/>
        </w:rPr>
      </w:pPr>
      <w:r w:rsidRPr="00552369">
        <w:rPr>
          <w:rFonts w:ascii="Arial" w:hAnsi="Arial" w:cs="Arial"/>
          <w:sz w:val="24"/>
        </w:rPr>
        <w:t>The positive of using this approach is that the method is not dependant on distributional assumptions. The method takes the IQR and calculates above the 3</w:t>
      </w:r>
      <w:r w:rsidRPr="00552369">
        <w:rPr>
          <w:rFonts w:ascii="Arial" w:hAnsi="Arial" w:cs="Arial"/>
          <w:sz w:val="24"/>
          <w:vertAlign w:val="superscript"/>
        </w:rPr>
        <w:t>rd</w:t>
      </w:r>
      <w:r w:rsidRPr="00552369">
        <w:rPr>
          <w:rFonts w:ascii="Arial" w:hAnsi="Arial" w:cs="Arial"/>
          <w:sz w:val="24"/>
        </w:rPr>
        <w:t xml:space="preserve"> quartile and below the 1</w:t>
      </w:r>
      <w:r w:rsidRPr="00552369">
        <w:rPr>
          <w:rFonts w:ascii="Arial" w:hAnsi="Arial" w:cs="Arial"/>
          <w:sz w:val="24"/>
          <w:vertAlign w:val="superscript"/>
        </w:rPr>
        <w:t>st</w:t>
      </w:r>
      <w:r w:rsidRPr="00552369">
        <w:rPr>
          <w:rFonts w:ascii="Arial" w:hAnsi="Arial" w:cs="Arial"/>
          <w:sz w:val="24"/>
        </w:rPr>
        <w:t xml:space="preserve"> quartile.</w:t>
      </w:r>
    </w:p>
    <w:p w:rsidR="00665382" w:rsidRPr="00552369" w:rsidRDefault="00665382" w:rsidP="00665382">
      <w:pPr>
        <w:spacing w:line="240" w:lineRule="auto"/>
        <w:jc w:val="center"/>
        <w:rPr>
          <w:rFonts w:ascii="Arial" w:hAnsi="Arial" w:cs="Arial"/>
          <w:sz w:val="24"/>
        </w:rPr>
      </w:pPr>
      <w:r w:rsidRPr="00552369">
        <w:rPr>
          <w:rFonts w:ascii="Arial" w:hAnsi="Arial" w:cs="Arial"/>
          <w:sz w:val="24"/>
        </w:rPr>
        <w:t>Lower Outlier = (Quartile 1) – (1.5 x IQR)</w:t>
      </w:r>
    </w:p>
    <w:p w:rsidR="00665382" w:rsidRPr="00552369" w:rsidRDefault="00665382" w:rsidP="00665382">
      <w:pPr>
        <w:spacing w:line="240" w:lineRule="auto"/>
        <w:jc w:val="center"/>
        <w:rPr>
          <w:rFonts w:ascii="Arial" w:hAnsi="Arial" w:cs="Arial"/>
          <w:sz w:val="24"/>
        </w:rPr>
      </w:pPr>
      <w:r w:rsidRPr="00552369">
        <w:rPr>
          <w:rFonts w:ascii="Arial" w:hAnsi="Arial" w:cs="Arial"/>
          <w:sz w:val="24"/>
        </w:rPr>
        <w:t>Upper Outlier = (Quartile 3) + (1.5 x IQR)</w:t>
      </w:r>
    </w:p>
    <w:p w:rsidR="00552369" w:rsidRDefault="00552369" w:rsidP="00665382">
      <w:pPr>
        <w:spacing w:line="240" w:lineRule="auto"/>
        <w:rPr>
          <w:rFonts w:ascii="Arial" w:hAnsi="Arial" w:cs="Arial"/>
          <w:b/>
          <w:sz w:val="24"/>
          <w:u w:val="single"/>
        </w:rPr>
      </w:pPr>
    </w:p>
    <w:p w:rsidR="00552369" w:rsidRDefault="0080716D" w:rsidP="00665382">
      <w:pPr>
        <w:spacing w:line="240" w:lineRule="auto"/>
        <w:rPr>
          <w:rFonts w:ascii="Arial" w:hAnsi="Arial" w:cs="Arial"/>
          <w:b/>
          <w:sz w:val="24"/>
          <w:u w:val="single"/>
        </w:rPr>
      </w:pPr>
      <w:r>
        <w:rPr>
          <w:rFonts w:ascii="Arial" w:hAnsi="Arial" w:cs="Arial"/>
          <w:b/>
          <w:noProof/>
          <w:sz w:val="24"/>
          <w:u w:val="single"/>
          <w:lang w:eastAsia="en-GB"/>
        </w:rPr>
        <w:drawing>
          <wp:inline distT="0" distB="0" distL="0" distR="0">
            <wp:extent cx="5664835" cy="25292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835" cy="2529205"/>
                    </a:xfrm>
                    <a:prstGeom prst="rect">
                      <a:avLst/>
                    </a:prstGeom>
                    <a:noFill/>
                    <a:ln>
                      <a:noFill/>
                    </a:ln>
                  </pic:spPr>
                </pic:pic>
              </a:graphicData>
            </a:graphic>
          </wp:inline>
        </w:drawing>
      </w:r>
    </w:p>
    <w:p w:rsidR="0080716D" w:rsidRDefault="0080716D" w:rsidP="00665382">
      <w:pPr>
        <w:spacing w:line="240" w:lineRule="auto"/>
        <w:rPr>
          <w:rFonts w:ascii="Arial" w:hAnsi="Arial" w:cs="Arial"/>
          <w:b/>
          <w:sz w:val="24"/>
          <w:u w:val="single"/>
        </w:rPr>
      </w:pPr>
    </w:p>
    <w:p w:rsidR="00552369" w:rsidRDefault="00552369" w:rsidP="00665382">
      <w:pPr>
        <w:spacing w:line="240" w:lineRule="auto"/>
        <w:rPr>
          <w:rFonts w:ascii="Arial" w:hAnsi="Arial" w:cs="Arial"/>
          <w:b/>
          <w:sz w:val="24"/>
          <w:u w:val="single"/>
        </w:rPr>
      </w:pPr>
    </w:p>
    <w:p w:rsidR="00552369" w:rsidRDefault="00552369" w:rsidP="00665382">
      <w:pPr>
        <w:spacing w:line="240" w:lineRule="auto"/>
        <w:rPr>
          <w:rFonts w:ascii="Arial" w:hAnsi="Arial" w:cs="Arial"/>
          <w:b/>
          <w:sz w:val="24"/>
          <w:u w:val="single"/>
        </w:rPr>
      </w:pPr>
    </w:p>
    <w:p w:rsidR="00552369" w:rsidRDefault="00552369" w:rsidP="00665382">
      <w:pPr>
        <w:spacing w:line="240" w:lineRule="auto"/>
        <w:rPr>
          <w:rFonts w:ascii="Arial" w:hAnsi="Arial" w:cs="Arial"/>
          <w:b/>
          <w:sz w:val="24"/>
          <w:u w:val="single"/>
        </w:rPr>
      </w:pPr>
      <w:bookmarkStart w:id="0" w:name="_GoBack"/>
      <w:bookmarkEnd w:id="0"/>
    </w:p>
    <w:p w:rsidR="00FC11EE" w:rsidRPr="00552369" w:rsidRDefault="00552369" w:rsidP="00665382">
      <w:pPr>
        <w:spacing w:line="240" w:lineRule="auto"/>
        <w:rPr>
          <w:rFonts w:ascii="Arial" w:hAnsi="Arial" w:cs="Arial"/>
          <w:b/>
          <w:sz w:val="24"/>
          <w:u w:val="single"/>
        </w:rPr>
      </w:pPr>
      <w:r w:rsidRPr="00552369">
        <w:rPr>
          <w:rFonts w:ascii="Arial" w:hAnsi="Arial" w:cs="Arial"/>
          <w:noProof/>
          <w:sz w:val="24"/>
          <w:lang w:eastAsia="en-GB"/>
        </w:rPr>
        <w:lastRenderedPageBreak/>
        <w:drawing>
          <wp:anchor distT="0" distB="0" distL="114300" distR="114300" simplePos="0" relativeHeight="251658240" behindDoc="1" locked="0" layoutInCell="1" allowOverlap="1" wp14:anchorId="0CCB0A00" wp14:editId="644B4FA1">
            <wp:simplePos x="0" y="0"/>
            <wp:positionH relativeFrom="column">
              <wp:posOffset>-34925</wp:posOffset>
            </wp:positionH>
            <wp:positionV relativeFrom="page">
              <wp:posOffset>1301750</wp:posOffset>
            </wp:positionV>
            <wp:extent cx="2026920" cy="3631565"/>
            <wp:effectExtent l="0" t="0" r="0" b="6985"/>
            <wp:wrapTight wrapText="bothSides">
              <wp:wrapPolygon edited="0">
                <wp:start x="0" y="0"/>
                <wp:lineTo x="0" y="21528"/>
                <wp:lineTo x="21316" y="21528"/>
                <wp:lineTo x="21316" y="0"/>
                <wp:lineTo x="0" y="0"/>
              </wp:wrapPolygon>
            </wp:wrapTight>
            <wp:docPr id="1" name="Picture 1" descr="C:\Users\abhai\Desktop\Initiative 1\Pharmacy MIS\Comms\Box Plot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ai\Desktop\Initiative 1\Pharmacy MIS\Comms\Box Plots 2.png"/>
                    <pic:cNvPicPr>
                      <a:picLocks noChangeAspect="1" noChangeArrowheads="1"/>
                    </pic:cNvPicPr>
                  </pic:nvPicPr>
                  <pic:blipFill rotWithShape="1">
                    <a:blip r:embed="rId9">
                      <a:extLst>
                        <a:ext uri="{28A0092B-C50C-407E-A947-70E740481C1C}">
                          <a14:useLocalDpi xmlns:a14="http://schemas.microsoft.com/office/drawing/2010/main" val="0"/>
                        </a:ext>
                      </a:extLst>
                    </a:blip>
                    <a:srcRect t="8828" r="52261" b="5623"/>
                    <a:stretch/>
                  </pic:blipFill>
                  <pic:spPr bwMode="auto">
                    <a:xfrm>
                      <a:off x="0" y="0"/>
                      <a:ext cx="2026920" cy="3631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5382" w:rsidRPr="00552369">
        <w:rPr>
          <w:rFonts w:ascii="Arial" w:hAnsi="Arial" w:cs="Arial"/>
          <w:b/>
          <w:sz w:val="24"/>
          <w:u w:val="single"/>
        </w:rPr>
        <w:t>Monthly MIS Explanation</w:t>
      </w:r>
      <w:r w:rsidR="00665382" w:rsidRPr="00552369">
        <w:rPr>
          <w:rFonts w:ascii="Arial" w:hAnsi="Arial" w:cs="Arial"/>
          <w:b/>
          <w:sz w:val="24"/>
          <w:u w:val="single"/>
        </w:rPr>
        <w:br w:type="textWrapping" w:clear="all"/>
      </w:r>
    </w:p>
    <w:p w:rsidR="00665382" w:rsidRPr="00552369" w:rsidRDefault="00665382" w:rsidP="00665382">
      <w:pPr>
        <w:spacing w:line="240" w:lineRule="auto"/>
        <w:rPr>
          <w:rFonts w:ascii="Arial" w:hAnsi="Arial" w:cs="Arial"/>
          <w:sz w:val="24"/>
        </w:rPr>
      </w:pPr>
      <w:r w:rsidRPr="00552369">
        <w:rPr>
          <w:rFonts w:ascii="Arial" w:hAnsi="Arial" w:cs="Arial"/>
          <w:b/>
          <w:sz w:val="24"/>
        </w:rPr>
        <w:t xml:space="preserve">Upper Outlier: </w:t>
      </w:r>
      <w:r w:rsidRPr="00552369">
        <w:rPr>
          <w:rFonts w:ascii="Arial" w:hAnsi="Arial" w:cs="Arial"/>
          <w:sz w:val="24"/>
        </w:rPr>
        <w:t xml:space="preserve">Any contractors </w:t>
      </w:r>
      <w:r w:rsidR="00275EBD" w:rsidRPr="00552369">
        <w:rPr>
          <w:rFonts w:ascii="Arial" w:hAnsi="Arial" w:cs="Arial"/>
          <w:sz w:val="24"/>
        </w:rPr>
        <w:t>where there</w:t>
      </w:r>
      <w:r w:rsidRPr="00552369">
        <w:rPr>
          <w:rFonts w:ascii="Arial" w:hAnsi="Arial" w:cs="Arial"/>
          <w:sz w:val="24"/>
        </w:rPr>
        <w:t xml:space="preserve"> values are above</w:t>
      </w:r>
      <w:r w:rsidR="00356E0C" w:rsidRPr="00552369">
        <w:rPr>
          <w:rFonts w:ascii="Arial" w:hAnsi="Arial" w:cs="Arial"/>
          <w:sz w:val="24"/>
        </w:rPr>
        <w:t xml:space="preserve"> </w:t>
      </w:r>
      <w:r w:rsidRPr="00552369">
        <w:rPr>
          <w:rFonts w:ascii="Arial" w:hAnsi="Arial" w:cs="Arial"/>
          <w:sz w:val="24"/>
        </w:rPr>
        <w:t>the calculate</w:t>
      </w:r>
      <w:r w:rsidR="00275EBD" w:rsidRPr="00552369">
        <w:rPr>
          <w:rFonts w:ascii="Arial" w:hAnsi="Arial" w:cs="Arial"/>
          <w:sz w:val="24"/>
        </w:rPr>
        <w:t xml:space="preserve">d </w:t>
      </w:r>
      <w:proofErr w:type="spellStart"/>
      <w:r w:rsidR="00275EBD" w:rsidRPr="00552369">
        <w:rPr>
          <w:rFonts w:ascii="Arial" w:hAnsi="Arial" w:cs="Arial"/>
          <w:sz w:val="24"/>
        </w:rPr>
        <w:t>Tukey</w:t>
      </w:r>
      <w:proofErr w:type="spellEnd"/>
      <w:r w:rsidR="00275EBD" w:rsidRPr="00552369">
        <w:rPr>
          <w:rFonts w:ascii="Arial" w:hAnsi="Arial" w:cs="Arial"/>
          <w:sz w:val="24"/>
        </w:rPr>
        <w:t xml:space="preserve"> Upper Outlier</w:t>
      </w:r>
      <w:r w:rsidRPr="00552369">
        <w:rPr>
          <w:rFonts w:ascii="Arial" w:hAnsi="Arial" w:cs="Arial"/>
          <w:sz w:val="24"/>
        </w:rPr>
        <w:t>.</w:t>
      </w:r>
    </w:p>
    <w:p w:rsidR="00356E0C" w:rsidRPr="00552369" w:rsidRDefault="00665382" w:rsidP="00665382">
      <w:pPr>
        <w:spacing w:line="240" w:lineRule="auto"/>
        <w:rPr>
          <w:rFonts w:ascii="Arial" w:hAnsi="Arial" w:cs="Arial"/>
          <w:sz w:val="24"/>
        </w:rPr>
      </w:pPr>
      <w:r w:rsidRPr="00552369">
        <w:rPr>
          <w:rFonts w:ascii="Arial" w:hAnsi="Arial" w:cs="Arial"/>
          <w:b/>
          <w:sz w:val="24"/>
        </w:rPr>
        <w:t>Above Average:</w:t>
      </w:r>
      <w:r w:rsidRPr="00552369">
        <w:rPr>
          <w:rFonts w:ascii="Arial" w:hAnsi="Arial" w:cs="Arial"/>
          <w:sz w:val="24"/>
        </w:rPr>
        <w:t xml:space="preserve"> </w:t>
      </w:r>
      <w:r w:rsidR="00356E0C" w:rsidRPr="00552369">
        <w:rPr>
          <w:rFonts w:ascii="Arial" w:hAnsi="Arial" w:cs="Arial"/>
          <w:sz w:val="24"/>
        </w:rPr>
        <w:t xml:space="preserve">Any contractors where there value is less than or equal to the </w:t>
      </w:r>
      <w:proofErr w:type="spellStart"/>
      <w:r w:rsidR="00356E0C" w:rsidRPr="00552369">
        <w:rPr>
          <w:rFonts w:ascii="Arial" w:hAnsi="Arial" w:cs="Arial"/>
          <w:sz w:val="24"/>
        </w:rPr>
        <w:t>Tukey</w:t>
      </w:r>
      <w:proofErr w:type="spellEnd"/>
      <w:r w:rsidR="00356E0C" w:rsidRPr="00552369">
        <w:rPr>
          <w:rFonts w:ascii="Arial" w:hAnsi="Arial" w:cs="Arial"/>
          <w:sz w:val="24"/>
        </w:rPr>
        <w:t xml:space="preserve"> Upper Outlier value and above the 3</w:t>
      </w:r>
      <w:r w:rsidR="00356E0C" w:rsidRPr="00552369">
        <w:rPr>
          <w:rFonts w:ascii="Arial" w:hAnsi="Arial" w:cs="Arial"/>
          <w:sz w:val="24"/>
          <w:vertAlign w:val="superscript"/>
        </w:rPr>
        <w:t>rd</w:t>
      </w:r>
      <w:r w:rsidR="00356E0C" w:rsidRPr="00552369">
        <w:rPr>
          <w:rFonts w:ascii="Arial" w:hAnsi="Arial" w:cs="Arial"/>
          <w:sz w:val="24"/>
        </w:rPr>
        <w:t xml:space="preserve"> quartile.</w:t>
      </w:r>
    </w:p>
    <w:p w:rsidR="00356E0C" w:rsidRPr="00552369" w:rsidRDefault="00275EBD" w:rsidP="00275EBD">
      <w:pPr>
        <w:spacing w:line="240" w:lineRule="auto"/>
        <w:rPr>
          <w:rFonts w:ascii="Arial" w:hAnsi="Arial" w:cs="Arial"/>
          <w:sz w:val="24"/>
        </w:rPr>
      </w:pPr>
      <w:r w:rsidRPr="00552369">
        <w:rPr>
          <w:rFonts w:ascii="Arial" w:hAnsi="Arial" w:cs="Arial"/>
          <w:b/>
          <w:sz w:val="24"/>
        </w:rPr>
        <w:t>Upper Quartile:</w:t>
      </w:r>
      <w:r w:rsidRPr="00552369">
        <w:rPr>
          <w:rFonts w:ascii="Arial" w:hAnsi="Arial" w:cs="Arial"/>
          <w:sz w:val="24"/>
        </w:rPr>
        <w:t xml:space="preserve"> </w:t>
      </w:r>
      <w:r w:rsidR="00356E0C" w:rsidRPr="00552369">
        <w:rPr>
          <w:rFonts w:ascii="Arial" w:hAnsi="Arial" w:cs="Arial"/>
          <w:sz w:val="24"/>
        </w:rPr>
        <w:t>Any contractors where there value is less than or equal to the 3</w:t>
      </w:r>
      <w:r w:rsidR="00356E0C" w:rsidRPr="00552369">
        <w:rPr>
          <w:rFonts w:ascii="Arial" w:hAnsi="Arial" w:cs="Arial"/>
          <w:sz w:val="24"/>
          <w:vertAlign w:val="superscript"/>
        </w:rPr>
        <w:t>rd</w:t>
      </w:r>
      <w:r w:rsidR="00356E0C" w:rsidRPr="00552369">
        <w:rPr>
          <w:rFonts w:ascii="Arial" w:hAnsi="Arial" w:cs="Arial"/>
          <w:sz w:val="24"/>
        </w:rPr>
        <w:t xml:space="preserve"> Quartile and above the median.</w:t>
      </w:r>
    </w:p>
    <w:p w:rsidR="00356E0C" w:rsidRPr="00552369" w:rsidRDefault="00275EBD" w:rsidP="00275EBD">
      <w:pPr>
        <w:spacing w:line="240" w:lineRule="auto"/>
        <w:rPr>
          <w:rFonts w:ascii="Arial" w:hAnsi="Arial" w:cs="Arial"/>
          <w:sz w:val="24"/>
        </w:rPr>
      </w:pPr>
      <w:r w:rsidRPr="00552369">
        <w:rPr>
          <w:rFonts w:ascii="Arial" w:hAnsi="Arial" w:cs="Arial"/>
          <w:b/>
          <w:sz w:val="24"/>
        </w:rPr>
        <w:t>Lower Quartile:</w:t>
      </w:r>
      <w:r w:rsidRPr="00552369">
        <w:rPr>
          <w:rFonts w:ascii="Arial" w:hAnsi="Arial" w:cs="Arial"/>
          <w:sz w:val="24"/>
        </w:rPr>
        <w:t xml:space="preserve"> </w:t>
      </w:r>
      <w:r w:rsidR="00356E0C" w:rsidRPr="00552369">
        <w:rPr>
          <w:rFonts w:ascii="Arial" w:hAnsi="Arial" w:cs="Arial"/>
          <w:sz w:val="24"/>
        </w:rPr>
        <w:t>Any contractors where there value is less than or equal to the Median and above the 1</w:t>
      </w:r>
      <w:r w:rsidR="00356E0C" w:rsidRPr="00552369">
        <w:rPr>
          <w:rFonts w:ascii="Arial" w:hAnsi="Arial" w:cs="Arial"/>
          <w:sz w:val="24"/>
          <w:vertAlign w:val="superscript"/>
        </w:rPr>
        <w:t>st</w:t>
      </w:r>
      <w:r w:rsidR="00356E0C" w:rsidRPr="00552369">
        <w:rPr>
          <w:rFonts w:ascii="Arial" w:hAnsi="Arial" w:cs="Arial"/>
          <w:sz w:val="24"/>
        </w:rPr>
        <w:t xml:space="preserve"> Quartile.</w:t>
      </w:r>
    </w:p>
    <w:p w:rsidR="00275EBD" w:rsidRPr="00552369" w:rsidRDefault="00275EBD" w:rsidP="00275EBD">
      <w:pPr>
        <w:spacing w:line="240" w:lineRule="auto"/>
        <w:rPr>
          <w:rFonts w:ascii="Arial" w:hAnsi="Arial" w:cs="Arial"/>
          <w:sz w:val="24"/>
        </w:rPr>
      </w:pPr>
      <w:r w:rsidRPr="00552369">
        <w:rPr>
          <w:rFonts w:ascii="Arial" w:hAnsi="Arial" w:cs="Arial"/>
          <w:b/>
          <w:sz w:val="24"/>
        </w:rPr>
        <w:t>Below Average:</w:t>
      </w:r>
      <w:r w:rsidRPr="00552369">
        <w:rPr>
          <w:rFonts w:ascii="Arial" w:hAnsi="Arial" w:cs="Arial"/>
          <w:sz w:val="24"/>
        </w:rPr>
        <w:t xml:space="preserve"> Any contractors where there value is </w:t>
      </w:r>
      <w:r w:rsidR="00356E0C" w:rsidRPr="00552369">
        <w:rPr>
          <w:rFonts w:ascii="Arial" w:hAnsi="Arial" w:cs="Arial"/>
          <w:sz w:val="24"/>
        </w:rPr>
        <w:t>less than or equal to the 1</w:t>
      </w:r>
      <w:r w:rsidR="00356E0C" w:rsidRPr="00552369">
        <w:rPr>
          <w:rFonts w:ascii="Arial" w:hAnsi="Arial" w:cs="Arial"/>
          <w:sz w:val="24"/>
          <w:vertAlign w:val="superscript"/>
        </w:rPr>
        <w:t>st</w:t>
      </w:r>
      <w:r w:rsidR="00356E0C" w:rsidRPr="00552369">
        <w:rPr>
          <w:rFonts w:ascii="Arial" w:hAnsi="Arial" w:cs="Arial"/>
          <w:sz w:val="24"/>
        </w:rPr>
        <w:t xml:space="preserve"> quartile and </w:t>
      </w:r>
      <w:r w:rsidRPr="00552369">
        <w:rPr>
          <w:rFonts w:ascii="Arial" w:hAnsi="Arial" w:cs="Arial"/>
          <w:sz w:val="24"/>
        </w:rPr>
        <w:t>above</w:t>
      </w:r>
      <w:r w:rsidR="00356E0C" w:rsidRPr="00552369">
        <w:rPr>
          <w:rFonts w:ascii="Arial" w:hAnsi="Arial" w:cs="Arial"/>
          <w:sz w:val="24"/>
        </w:rPr>
        <w:t xml:space="preserve"> the</w:t>
      </w:r>
      <w:r w:rsidR="00A4404B" w:rsidRPr="00552369">
        <w:rPr>
          <w:rFonts w:ascii="Arial" w:hAnsi="Arial" w:cs="Arial"/>
          <w:sz w:val="24"/>
        </w:rPr>
        <w:t xml:space="preserve"> </w:t>
      </w:r>
      <w:proofErr w:type="spellStart"/>
      <w:r w:rsidRPr="00552369">
        <w:rPr>
          <w:rFonts w:ascii="Arial" w:hAnsi="Arial" w:cs="Arial"/>
          <w:sz w:val="24"/>
        </w:rPr>
        <w:t>Tukey</w:t>
      </w:r>
      <w:proofErr w:type="spellEnd"/>
      <w:r w:rsidRPr="00552369">
        <w:rPr>
          <w:rFonts w:ascii="Arial" w:hAnsi="Arial" w:cs="Arial"/>
          <w:sz w:val="24"/>
        </w:rPr>
        <w:t xml:space="preserve"> Lower Outlier.</w:t>
      </w:r>
    </w:p>
    <w:p w:rsidR="00275EBD" w:rsidRPr="00552369" w:rsidRDefault="00275EBD" w:rsidP="00275EBD">
      <w:pPr>
        <w:spacing w:line="240" w:lineRule="auto"/>
        <w:rPr>
          <w:rFonts w:ascii="Arial" w:hAnsi="Arial" w:cs="Arial"/>
          <w:sz w:val="24"/>
        </w:rPr>
      </w:pPr>
      <w:r w:rsidRPr="00552369">
        <w:rPr>
          <w:rFonts w:ascii="Arial" w:hAnsi="Arial" w:cs="Arial"/>
          <w:b/>
          <w:sz w:val="24"/>
        </w:rPr>
        <w:t>Lower Outlier:</w:t>
      </w:r>
      <w:r w:rsidRPr="00552369">
        <w:rPr>
          <w:rFonts w:ascii="Arial" w:hAnsi="Arial" w:cs="Arial"/>
          <w:sz w:val="24"/>
        </w:rPr>
        <w:t xml:space="preserve"> Any contractors where there values are below </w:t>
      </w:r>
      <w:r w:rsidR="00356E0C" w:rsidRPr="00552369">
        <w:rPr>
          <w:rFonts w:ascii="Arial" w:hAnsi="Arial" w:cs="Arial"/>
          <w:sz w:val="24"/>
        </w:rPr>
        <w:t xml:space="preserve">or equal to </w:t>
      </w:r>
      <w:r w:rsidRPr="00552369">
        <w:rPr>
          <w:rFonts w:ascii="Arial" w:hAnsi="Arial" w:cs="Arial"/>
          <w:sz w:val="24"/>
        </w:rPr>
        <w:t xml:space="preserve">the calculated </w:t>
      </w:r>
      <w:proofErr w:type="spellStart"/>
      <w:r w:rsidRPr="00552369">
        <w:rPr>
          <w:rFonts w:ascii="Arial" w:hAnsi="Arial" w:cs="Arial"/>
          <w:sz w:val="24"/>
        </w:rPr>
        <w:t>Tukey</w:t>
      </w:r>
      <w:proofErr w:type="spellEnd"/>
      <w:r w:rsidRPr="00552369">
        <w:rPr>
          <w:rFonts w:ascii="Arial" w:hAnsi="Arial" w:cs="Arial"/>
          <w:sz w:val="24"/>
        </w:rPr>
        <w:t xml:space="preserve"> Lower Outlier.</w:t>
      </w:r>
    </w:p>
    <w:p w:rsidR="00275EBD" w:rsidRDefault="00275EBD" w:rsidP="00665382">
      <w:pPr>
        <w:spacing w:line="240" w:lineRule="auto"/>
        <w:rPr>
          <w:rFonts w:ascii="Arial" w:hAnsi="Arial" w:cs="Arial"/>
          <w:sz w:val="24"/>
        </w:rPr>
      </w:pPr>
    </w:p>
    <w:p w:rsidR="000F0B78" w:rsidRPr="00552369" w:rsidRDefault="000F0B78" w:rsidP="00665382">
      <w:pPr>
        <w:spacing w:line="240" w:lineRule="auto"/>
        <w:rPr>
          <w:rFonts w:ascii="Arial" w:hAnsi="Arial" w:cs="Arial"/>
          <w:sz w:val="24"/>
        </w:rPr>
      </w:pPr>
      <w:r>
        <w:rPr>
          <w:rFonts w:ascii="Arial" w:hAnsi="Arial" w:cs="Arial"/>
          <w:sz w:val="24"/>
        </w:rPr>
        <w:t>The contractors are then assigned a category based on the average across that area team.</w:t>
      </w:r>
    </w:p>
    <w:p w:rsidR="00275EBD" w:rsidRDefault="00552369" w:rsidP="00665382">
      <w:pPr>
        <w:spacing w:line="240" w:lineRule="auto"/>
        <w:rPr>
          <w:rFonts w:ascii="Arial" w:hAnsi="Arial" w:cs="Arial"/>
          <w:b/>
          <w:sz w:val="24"/>
          <w:u w:val="single"/>
        </w:rPr>
      </w:pPr>
      <w:r w:rsidRPr="00552369">
        <w:rPr>
          <w:rFonts w:ascii="Arial" w:hAnsi="Arial" w:cs="Arial"/>
          <w:b/>
          <w:sz w:val="24"/>
          <w:u w:val="single"/>
        </w:rPr>
        <w:t>Cumulative MIS Explanation</w:t>
      </w:r>
    </w:p>
    <w:p w:rsidR="000F0B78" w:rsidRDefault="000F0B78" w:rsidP="00665382">
      <w:pPr>
        <w:spacing w:line="240" w:lineRule="auto"/>
        <w:rPr>
          <w:rFonts w:ascii="Arial" w:hAnsi="Arial" w:cs="Arial"/>
          <w:sz w:val="24"/>
        </w:rPr>
      </w:pPr>
      <w:r>
        <w:rPr>
          <w:rFonts w:ascii="Arial" w:hAnsi="Arial" w:cs="Arial"/>
          <w:sz w:val="24"/>
        </w:rPr>
        <w:t xml:space="preserve">The </w:t>
      </w:r>
      <w:proofErr w:type="gramStart"/>
      <w:r>
        <w:rPr>
          <w:rFonts w:ascii="Arial" w:hAnsi="Arial" w:cs="Arial"/>
          <w:sz w:val="24"/>
        </w:rPr>
        <w:t>categories for the outlier activity is</w:t>
      </w:r>
      <w:proofErr w:type="gramEnd"/>
      <w:r>
        <w:rPr>
          <w:rFonts w:ascii="Arial" w:hAnsi="Arial" w:cs="Arial"/>
          <w:sz w:val="24"/>
        </w:rPr>
        <w:t xml:space="preserve"> calculated per month across the area team, including the abated data. The average of the months loaded is calculated and the category for the cumulative assigned to the contractors, except in upper outlier which is shown below.</w:t>
      </w:r>
    </w:p>
    <w:p w:rsidR="000F0B78" w:rsidRDefault="000F0B78" w:rsidP="00665382">
      <w:pPr>
        <w:spacing w:line="240" w:lineRule="auto"/>
        <w:rPr>
          <w:rFonts w:ascii="Arial" w:hAnsi="Arial" w:cs="Arial"/>
          <w:sz w:val="24"/>
        </w:rPr>
      </w:pPr>
      <w:r w:rsidRPr="000F0B78">
        <w:rPr>
          <w:rFonts w:ascii="Arial" w:hAnsi="Arial" w:cs="Arial"/>
          <w:b/>
          <w:sz w:val="24"/>
        </w:rPr>
        <w:t>Example 1:</w:t>
      </w:r>
      <w:r>
        <w:rPr>
          <w:rFonts w:ascii="Arial" w:hAnsi="Arial" w:cs="Arial"/>
          <w:sz w:val="24"/>
        </w:rPr>
        <w:t xml:space="preserve"> Contractor is cumulatively classed as Upper Outlier</w:t>
      </w:r>
    </w:p>
    <w:p w:rsidR="000F0B78" w:rsidRDefault="000F0B78" w:rsidP="00665382">
      <w:pPr>
        <w:spacing w:line="240" w:lineRule="auto"/>
        <w:rPr>
          <w:rFonts w:ascii="Arial" w:hAnsi="Arial" w:cs="Arial"/>
          <w:sz w:val="24"/>
        </w:rPr>
      </w:pPr>
      <w:r>
        <w:rPr>
          <w:rFonts w:ascii="Arial" w:hAnsi="Arial" w:cs="Arial"/>
          <w:sz w:val="24"/>
        </w:rPr>
        <w:t>In this example the contractor is continually conducting a high number of MUR’s and thus is always in the Upper Outlier category. Thus there final category is Upper Outlier.</w:t>
      </w:r>
    </w:p>
    <w:tbl>
      <w:tblPr>
        <w:tblStyle w:val="LightShading-Accent1"/>
        <w:tblpPr w:leftFromText="180" w:rightFromText="180" w:vertAnchor="text" w:horzAnchor="margin" w:tblpXSpec="center" w:tblpY="231"/>
        <w:tblW w:w="10924" w:type="dxa"/>
        <w:tblLook w:val="04A0" w:firstRow="1" w:lastRow="0" w:firstColumn="1" w:lastColumn="0" w:noHBand="0" w:noVBand="1"/>
      </w:tblPr>
      <w:tblGrid>
        <w:gridCol w:w="1960"/>
        <w:gridCol w:w="747"/>
        <w:gridCol w:w="747"/>
        <w:gridCol w:w="747"/>
        <w:gridCol w:w="747"/>
        <w:gridCol w:w="747"/>
        <w:gridCol w:w="747"/>
        <w:gridCol w:w="747"/>
        <w:gridCol w:w="747"/>
        <w:gridCol w:w="747"/>
        <w:gridCol w:w="747"/>
        <w:gridCol w:w="747"/>
        <w:gridCol w:w="747"/>
      </w:tblGrid>
      <w:tr w:rsidR="000F0B78" w:rsidRPr="000F0B78" w:rsidTr="00DE313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noWrap/>
            <w:hideMark/>
          </w:tcPr>
          <w:p w:rsidR="000F0B78" w:rsidRPr="000F0B78" w:rsidRDefault="000F0B78" w:rsidP="00DE313F">
            <w:pPr>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Monthly</w:t>
            </w:r>
          </w:p>
        </w:tc>
        <w:tc>
          <w:tcPr>
            <w:tcW w:w="747" w:type="dxa"/>
            <w:noWrap/>
            <w:hideMark/>
          </w:tcPr>
          <w:p w:rsidR="000F0B78" w:rsidRPr="000F0B78" w:rsidRDefault="000F0B78" w:rsidP="00DE313F">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1</w:t>
            </w:r>
          </w:p>
        </w:tc>
        <w:tc>
          <w:tcPr>
            <w:tcW w:w="747" w:type="dxa"/>
            <w:noWrap/>
            <w:hideMark/>
          </w:tcPr>
          <w:p w:rsidR="000F0B78" w:rsidRPr="000F0B78" w:rsidRDefault="000F0B78" w:rsidP="00DE313F">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2</w:t>
            </w:r>
          </w:p>
        </w:tc>
        <w:tc>
          <w:tcPr>
            <w:tcW w:w="747" w:type="dxa"/>
            <w:noWrap/>
            <w:hideMark/>
          </w:tcPr>
          <w:p w:rsidR="000F0B78" w:rsidRPr="000F0B78" w:rsidRDefault="000F0B78" w:rsidP="00DE313F">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3</w:t>
            </w:r>
          </w:p>
        </w:tc>
        <w:tc>
          <w:tcPr>
            <w:tcW w:w="747" w:type="dxa"/>
            <w:noWrap/>
            <w:hideMark/>
          </w:tcPr>
          <w:p w:rsidR="000F0B78" w:rsidRPr="000F0B78" w:rsidRDefault="000F0B78" w:rsidP="00DE313F">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4</w:t>
            </w:r>
          </w:p>
        </w:tc>
        <w:tc>
          <w:tcPr>
            <w:tcW w:w="747" w:type="dxa"/>
            <w:noWrap/>
            <w:hideMark/>
          </w:tcPr>
          <w:p w:rsidR="000F0B78" w:rsidRPr="000F0B78" w:rsidRDefault="000F0B78" w:rsidP="00DE313F">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5</w:t>
            </w:r>
          </w:p>
        </w:tc>
        <w:tc>
          <w:tcPr>
            <w:tcW w:w="747" w:type="dxa"/>
            <w:noWrap/>
            <w:hideMark/>
          </w:tcPr>
          <w:p w:rsidR="000F0B78" w:rsidRPr="000F0B78" w:rsidRDefault="000F0B78" w:rsidP="00DE313F">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6</w:t>
            </w:r>
          </w:p>
        </w:tc>
        <w:tc>
          <w:tcPr>
            <w:tcW w:w="747" w:type="dxa"/>
            <w:noWrap/>
            <w:hideMark/>
          </w:tcPr>
          <w:p w:rsidR="000F0B78" w:rsidRPr="000F0B78" w:rsidRDefault="000F0B78" w:rsidP="00DE313F">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7</w:t>
            </w:r>
          </w:p>
        </w:tc>
        <w:tc>
          <w:tcPr>
            <w:tcW w:w="747" w:type="dxa"/>
            <w:noWrap/>
            <w:hideMark/>
          </w:tcPr>
          <w:p w:rsidR="000F0B78" w:rsidRPr="000F0B78" w:rsidRDefault="000F0B78" w:rsidP="00DE313F">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8</w:t>
            </w:r>
          </w:p>
        </w:tc>
        <w:tc>
          <w:tcPr>
            <w:tcW w:w="747" w:type="dxa"/>
            <w:noWrap/>
            <w:hideMark/>
          </w:tcPr>
          <w:p w:rsidR="000F0B78" w:rsidRPr="000F0B78" w:rsidRDefault="000F0B78" w:rsidP="00DE313F">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9</w:t>
            </w:r>
          </w:p>
        </w:tc>
        <w:tc>
          <w:tcPr>
            <w:tcW w:w="747" w:type="dxa"/>
            <w:noWrap/>
            <w:hideMark/>
          </w:tcPr>
          <w:p w:rsidR="000F0B78" w:rsidRPr="000F0B78" w:rsidRDefault="000F0B78" w:rsidP="00DE313F">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10</w:t>
            </w:r>
          </w:p>
        </w:tc>
        <w:tc>
          <w:tcPr>
            <w:tcW w:w="747" w:type="dxa"/>
            <w:noWrap/>
            <w:hideMark/>
          </w:tcPr>
          <w:p w:rsidR="000F0B78" w:rsidRPr="000F0B78" w:rsidRDefault="000F0B78" w:rsidP="00DE313F">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11</w:t>
            </w:r>
          </w:p>
        </w:tc>
        <w:tc>
          <w:tcPr>
            <w:tcW w:w="747" w:type="dxa"/>
            <w:noWrap/>
            <w:hideMark/>
          </w:tcPr>
          <w:p w:rsidR="000F0B78" w:rsidRPr="000F0B78" w:rsidRDefault="000F0B78" w:rsidP="00DE313F">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12</w:t>
            </w:r>
          </w:p>
        </w:tc>
      </w:tr>
      <w:tr w:rsidR="000F0B78" w:rsidRPr="000F0B78" w:rsidTr="00DE3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noWrap/>
            <w:hideMark/>
          </w:tcPr>
          <w:p w:rsidR="000F0B78" w:rsidRPr="000F0B78" w:rsidRDefault="000F0B78" w:rsidP="00DE313F">
            <w:pPr>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No. MUR's Conducted</w:t>
            </w:r>
          </w:p>
        </w:tc>
        <w:tc>
          <w:tcPr>
            <w:tcW w:w="747" w:type="dxa"/>
            <w:noWrap/>
            <w:hideMark/>
          </w:tcPr>
          <w:p w:rsidR="000F0B78" w:rsidRPr="000F0B78" w:rsidRDefault="000F0B78" w:rsidP="00DE313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100</w:t>
            </w:r>
          </w:p>
        </w:tc>
        <w:tc>
          <w:tcPr>
            <w:tcW w:w="747" w:type="dxa"/>
            <w:noWrap/>
            <w:hideMark/>
          </w:tcPr>
          <w:p w:rsidR="000F0B78" w:rsidRPr="000F0B78" w:rsidRDefault="000F0B78" w:rsidP="00DE313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100</w:t>
            </w:r>
          </w:p>
        </w:tc>
        <w:tc>
          <w:tcPr>
            <w:tcW w:w="747" w:type="dxa"/>
            <w:noWrap/>
            <w:hideMark/>
          </w:tcPr>
          <w:p w:rsidR="000F0B78" w:rsidRPr="000F0B78" w:rsidRDefault="000F0B78" w:rsidP="00DE313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100</w:t>
            </w:r>
          </w:p>
        </w:tc>
        <w:tc>
          <w:tcPr>
            <w:tcW w:w="747" w:type="dxa"/>
            <w:noWrap/>
            <w:hideMark/>
          </w:tcPr>
          <w:p w:rsidR="000F0B78" w:rsidRPr="000F0B78" w:rsidRDefault="000F0B78" w:rsidP="00DE313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100</w:t>
            </w:r>
          </w:p>
        </w:tc>
        <w:tc>
          <w:tcPr>
            <w:tcW w:w="747" w:type="dxa"/>
            <w:noWrap/>
            <w:hideMark/>
          </w:tcPr>
          <w:p w:rsidR="000F0B78" w:rsidRPr="000F0B78" w:rsidRDefault="000F0B78" w:rsidP="00DE313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100</w:t>
            </w:r>
          </w:p>
        </w:tc>
        <w:tc>
          <w:tcPr>
            <w:tcW w:w="747" w:type="dxa"/>
            <w:noWrap/>
            <w:hideMark/>
          </w:tcPr>
          <w:p w:rsidR="000F0B78" w:rsidRPr="000F0B78" w:rsidRDefault="000F0B78" w:rsidP="00DE313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100</w:t>
            </w:r>
          </w:p>
        </w:tc>
        <w:tc>
          <w:tcPr>
            <w:tcW w:w="747" w:type="dxa"/>
            <w:noWrap/>
            <w:hideMark/>
          </w:tcPr>
          <w:p w:rsidR="000F0B78" w:rsidRPr="000F0B78" w:rsidRDefault="000F0B78" w:rsidP="00DE313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100</w:t>
            </w:r>
          </w:p>
        </w:tc>
        <w:tc>
          <w:tcPr>
            <w:tcW w:w="747" w:type="dxa"/>
            <w:noWrap/>
            <w:hideMark/>
          </w:tcPr>
          <w:p w:rsidR="000F0B78" w:rsidRPr="000F0B78" w:rsidRDefault="000F0B78" w:rsidP="000F0B7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100</w:t>
            </w:r>
          </w:p>
        </w:tc>
        <w:tc>
          <w:tcPr>
            <w:tcW w:w="747" w:type="dxa"/>
            <w:noWrap/>
            <w:hideMark/>
          </w:tcPr>
          <w:p w:rsidR="000F0B78" w:rsidRPr="000F0B78" w:rsidRDefault="000F0B78" w:rsidP="00DE313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100</w:t>
            </w:r>
          </w:p>
        </w:tc>
        <w:tc>
          <w:tcPr>
            <w:tcW w:w="747" w:type="dxa"/>
            <w:noWrap/>
            <w:hideMark/>
          </w:tcPr>
          <w:p w:rsidR="000F0B78" w:rsidRPr="000F0B78" w:rsidRDefault="000F0B78" w:rsidP="00DE313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100</w:t>
            </w:r>
          </w:p>
        </w:tc>
        <w:tc>
          <w:tcPr>
            <w:tcW w:w="747" w:type="dxa"/>
            <w:noWrap/>
            <w:hideMark/>
          </w:tcPr>
          <w:p w:rsidR="000F0B78" w:rsidRPr="000F0B78" w:rsidRDefault="000F0B78" w:rsidP="00DE313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100</w:t>
            </w:r>
          </w:p>
        </w:tc>
        <w:tc>
          <w:tcPr>
            <w:tcW w:w="747" w:type="dxa"/>
            <w:noWrap/>
            <w:hideMark/>
          </w:tcPr>
          <w:p w:rsidR="000F0B78" w:rsidRPr="000F0B78" w:rsidRDefault="000F0B78" w:rsidP="00DE313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100</w:t>
            </w:r>
          </w:p>
        </w:tc>
      </w:tr>
      <w:tr w:rsidR="000F0B78" w:rsidRPr="000F0B78" w:rsidTr="00DE313F">
        <w:trPr>
          <w:trHeight w:val="480"/>
        </w:trPr>
        <w:tc>
          <w:tcPr>
            <w:cnfStyle w:val="001000000000" w:firstRow="0" w:lastRow="0" w:firstColumn="1" w:lastColumn="0" w:oddVBand="0" w:evenVBand="0" w:oddHBand="0" w:evenHBand="0" w:firstRowFirstColumn="0" w:firstRowLastColumn="0" w:lastRowFirstColumn="0" w:lastRowLastColumn="0"/>
            <w:tcW w:w="1960" w:type="dxa"/>
            <w:noWrap/>
            <w:hideMark/>
          </w:tcPr>
          <w:p w:rsidR="000F0B78" w:rsidRPr="000F0B78" w:rsidRDefault="000F0B78" w:rsidP="00DE313F">
            <w:pPr>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Category</w:t>
            </w:r>
          </w:p>
        </w:tc>
        <w:tc>
          <w:tcPr>
            <w:tcW w:w="747" w:type="dxa"/>
            <w:hideMark/>
          </w:tcPr>
          <w:p w:rsidR="000F0B78" w:rsidRPr="000F0B78" w:rsidRDefault="000F0B78" w:rsidP="00DE313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Upper Outlier</w:t>
            </w:r>
          </w:p>
        </w:tc>
        <w:tc>
          <w:tcPr>
            <w:tcW w:w="747" w:type="dxa"/>
            <w:hideMark/>
          </w:tcPr>
          <w:p w:rsidR="000F0B78" w:rsidRPr="000F0B78" w:rsidRDefault="000F0B78" w:rsidP="00DE313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Upper Outlier</w:t>
            </w:r>
          </w:p>
        </w:tc>
        <w:tc>
          <w:tcPr>
            <w:tcW w:w="747" w:type="dxa"/>
            <w:hideMark/>
          </w:tcPr>
          <w:p w:rsidR="000F0B78" w:rsidRPr="000F0B78" w:rsidRDefault="000F0B78" w:rsidP="00DE313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Upper Outlier</w:t>
            </w:r>
          </w:p>
        </w:tc>
        <w:tc>
          <w:tcPr>
            <w:tcW w:w="747" w:type="dxa"/>
            <w:hideMark/>
          </w:tcPr>
          <w:p w:rsidR="000F0B78" w:rsidRPr="000F0B78" w:rsidRDefault="000F0B78" w:rsidP="00DE313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Upper Outlier</w:t>
            </w:r>
          </w:p>
        </w:tc>
        <w:tc>
          <w:tcPr>
            <w:tcW w:w="747" w:type="dxa"/>
            <w:hideMark/>
          </w:tcPr>
          <w:p w:rsidR="000F0B78" w:rsidRPr="000F0B78" w:rsidRDefault="000F0B78" w:rsidP="00DE313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Upper Outlier</w:t>
            </w:r>
          </w:p>
        </w:tc>
        <w:tc>
          <w:tcPr>
            <w:tcW w:w="747" w:type="dxa"/>
            <w:hideMark/>
          </w:tcPr>
          <w:p w:rsidR="000F0B78" w:rsidRPr="000F0B78" w:rsidRDefault="000F0B78" w:rsidP="00DE313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Upper Outlier</w:t>
            </w:r>
          </w:p>
        </w:tc>
        <w:tc>
          <w:tcPr>
            <w:tcW w:w="747" w:type="dxa"/>
            <w:hideMark/>
          </w:tcPr>
          <w:p w:rsidR="000F0B78" w:rsidRPr="000F0B78" w:rsidRDefault="000F0B78" w:rsidP="00DE313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Upper Outlier</w:t>
            </w:r>
          </w:p>
        </w:tc>
        <w:tc>
          <w:tcPr>
            <w:tcW w:w="747" w:type="dxa"/>
            <w:hideMark/>
          </w:tcPr>
          <w:p w:rsidR="000F0B78" w:rsidRPr="000F0B78" w:rsidRDefault="000F0B78" w:rsidP="00DE313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Upper Outlier</w:t>
            </w:r>
          </w:p>
        </w:tc>
        <w:tc>
          <w:tcPr>
            <w:tcW w:w="747" w:type="dxa"/>
            <w:hideMark/>
          </w:tcPr>
          <w:p w:rsidR="000F0B78" w:rsidRPr="000F0B78" w:rsidRDefault="000F0B78" w:rsidP="00DE313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Upper Outlier</w:t>
            </w:r>
          </w:p>
        </w:tc>
        <w:tc>
          <w:tcPr>
            <w:tcW w:w="747" w:type="dxa"/>
            <w:hideMark/>
          </w:tcPr>
          <w:p w:rsidR="000F0B78" w:rsidRPr="000F0B78" w:rsidRDefault="000F0B78" w:rsidP="00DE313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Upper Outlier</w:t>
            </w:r>
          </w:p>
        </w:tc>
        <w:tc>
          <w:tcPr>
            <w:tcW w:w="747" w:type="dxa"/>
            <w:hideMark/>
          </w:tcPr>
          <w:p w:rsidR="000F0B78" w:rsidRPr="000F0B78" w:rsidRDefault="000F0B78" w:rsidP="00DE313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Upper Outlier</w:t>
            </w:r>
          </w:p>
        </w:tc>
        <w:tc>
          <w:tcPr>
            <w:tcW w:w="747" w:type="dxa"/>
            <w:hideMark/>
          </w:tcPr>
          <w:p w:rsidR="000F0B78" w:rsidRPr="000F0B78" w:rsidRDefault="000F0B78" w:rsidP="00DE313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Upper Outlier</w:t>
            </w:r>
          </w:p>
        </w:tc>
      </w:tr>
    </w:tbl>
    <w:p w:rsidR="000F0B78" w:rsidRDefault="000F0B78" w:rsidP="00665382">
      <w:pPr>
        <w:spacing w:line="240" w:lineRule="auto"/>
        <w:rPr>
          <w:rFonts w:ascii="Arial" w:hAnsi="Arial" w:cs="Arial"/>
          <w:sz w:val="24"/>
        </w:rPr>
      </w:pPr>
    </w:p>
    <w:p w:rsidR="000F0B78" w:rsidRDefault="000F0B78" w:rsidP="00665382">
      <w:pPr>
        <w:spacing w:line="240" w:lineRule="auto"/>
        <w:rPr>
          <w:rFonts w:ascii="Arial" w:hAnsi="Arial" w:cs="Arial"/>
          <w:sz w:val="24"/>
        </w:rPr>
      </w:pPr>
    </w:p>
    <w:p w:rsidR="000F0B78" w:rsidRDefault="000F0B78" w:rsidP="00665382">
      <w:pPr>
        <w:spacing w:line="240" w:lineRule="auto"/>
        <w:rPr>
          <w:rFonts w:ascii="Arial" w:hAnsi="Arial" w:cs="Arial"/>
          <w:sz w:val="24"/>
        </w:rPr>
      </w:pPr>
    </w:p>
    <w:p w:rsidR="000F0B78" w:rsidRDefault="000F0B78" w:rsidP="000F0B78">
      <w:pPr>
        <w:spacing w:line="240" w:lineRule="auto"/>
        <w:rPr>
          <w:rFonts w:ascii="Arial" w:hAnsi="Arial" w:cs="Arial"/>
          <w:sz w:val="24"/>
        </w:rPr>
      </w:pPr>
      <w:r w:rsidRPr="000F0B78">
        <w:rPr>
          <w:rFonts w:ascii="Arial" w:hAnsi="Arial" w:cs="Arial"/>
          <w:b/>
          <w:sz w:val="24"/>
        </w:rPr>
        <w:lastRenderedPageBreak/>
        <w:t>Example 2:</w:t>
      </w:r>
      <w:r w:rsidRPr="000F0B78">
        <w:rPr>
          <w:rFonts w:ascii="Arial" w:hAnsi="Arial" w:cs="Arial"/>
          <w:sz w:val="24"/>
        </w:rPr>
        <w:t xml:space="preserve"> </w:t>
      </w:r>
      <w:r>
        <w:rPr>
          <w:rFonts w:ascii="Arial" w:hAnsi="Arial" w:cs="Arial"/>
          <w:sz w:val="24"/>
        </w:rPr>
        <w:t>Contractor is cumulatively classed as Upper Outlier</w:t>
      </w:r>
    </w:p>
    <w:p w:rsidR="000F0B78" w:rsidRDefault="000F0B78" w:rsidP="00665382">
      <w:pPr>
        <w:spacing w:line="240" w:lineRule="auto"/>
        <w:rPr>
          <w:rFonts w:ascii="Arial" w:hAnsi="Arial" w:cs="Arial"/>
          <w:sz w:val="24"/>
        </w:rPr>
      </w:pPr>
      <w:r>
        <w:rPr>
          <w:rFonts w:ascii="Arial" w:hAnsi="Arial" w:cs="Arial"/>
          <w:sz w:val="24"/>
        </w:rPr>
        <w:t xml:space="preserve">In this example the contractor has conducted the total 400 MURs in the first 2 months of the financial year. For the other 10 months they have conducted no MUR’s. The average of category would have been Lower </w:t>
      </w:r>
      <w:r w:rsidR="00AB2B6D">
        <w:rPr>
          <w:rFonts w:ascii="Arial" w:hAnsi="Arial" w:cs="Arial"/>
          <w:sz w:val="24"/>
        </w:rPr>
        <w:t>Outlier;</w:t>
      </w:r>
      <w:r>
        <w:rPr>
          <w:rFonts w:ascii="Arial" w:hAnsi="Arial" w:cs="Arial"/>
          <w:sz w:val="24"/>
        </w:rPr>
        <w:t xml:space="preserve"> however that would mask the fact that they have </w:t>
      </w:r>
      <w:r w:rsidR="00EA4D19">
        <w:rPr>
          <w:rFonts w:ascii="Arial" w:hAnsi="Arial" w:cs="Arial"/>
          <w:sz w:val="24"/>
        </w:rPr>
        <w:t xml:space="preserve">conducted unusually high behaviour in the first 2 months. Thus in this case they are assigned to the Upper Outlier category. </w:t>
      </w:r>
    </w:p>
    <w:p w:rsidR="00EA4D19" w:rsidRPr="000F0B78" w:rsidRDefault="00EA4D19" w:rsidP="00665382">
      <w:pPr>
        <w:spacing w:line="240" w:lineRule="auto"/>
        <w:rPr>
          <w:rFonts w:ascii="Arial" w:hAnsi="Arial" w:cs="Arial"/>
          <w:sz w:val="24"/>
        </w:rPr>
      </w:pPr>
      <w:r>
        <w:rPr>
          <w:rFonts w:ascii="Arial" w:hAnsi="Arial" w:cs="Arial"/>
          <w:sz w:val="24"/>
        </w:rPr>
        <w:t xml:space="preserve">In summary if a contractor is assigned to the ‘Upper Outlier’ group in any month that has been loaded into the cumulative toolbox, there cumulative group will be ‘Upper Outlier’ irrespective of the other groups. This is to ensure abnormal frequencies are not missed. </w:t>
      </w:r>
    </w:p>
    <w:tbl>
      <w:tblPr>
        <w:tblStyle w:val="LightShading-Accent1"/>
        <w:tblpPr w:leftFromText="180" w:rightFromText="180" w:vertAnchor="text" w:horzAnchor="margin" w:tblpXSpec="center" w:tblpY="231"/>
        <w:tblW w:w="10924" w:type="dxa"/>
        <w:tblLook w:val="04A0" w:firstRow="1" w:lastRow="0" w:firstColumn="1" w:lastColumn="0" w:noHBand="0" w:noVBand="1"/>
      </w:tblPr>
      <w:tblGrid>
        <w:gridCol w:w="1960"/>
        <w:gridCol w:w="747"/>
        <w:gridCol w:w="747"/>
        <w:gridCol w:w="747"/>
        <w:gridCol w:w="747"/>
        <w:gridCol w:w="747"/>
        <w:gridCol w:w="747"/>
        <w:gridCol w:w="747"/>
        <w:gridCol w:w="747"/>
        <w:gridCol w:w="747"/>
        <w:gridCol w:w="747"/>
        <w:gridCol w:w="747"/>
        <w:gridCol w:w="747"/>
      </w:tblGrid>
      <w:tr w:rsidR="000F0B78" w:rsidRPr="000F0B78" w:rsidTr="000F0B7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noWrap/>
            <w:hideMark/>
          </w:tcPr>
          <w:p w:rsidR="000F0B78" w:rsidRPr="000F0B78" w:rsidRDefault="000F0B78" w:rsidP="000F0B78">
            <w:pPr>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Monthly</w:t>
            </w:r>
          </w:p>
        </w:tc>
        <w:tc>
          <w:tcPr>
            <w:tcW w:w="747" w:type="dxa"/>
            <w:noWrap/>
            <w:hideMark/>
          </w:tcPr>
          <w:p w:rsidR="000F0B78" w:rsidRPr="000F0B78" w:rsidRDefault="000F0B78" w:rsidP="000F0B7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1</w:t>
            </w:r>
          </w:p>
        </w:tc>
        <w:tc>
          <w:tcPr>
            <w:tcW w:w="747" w:type="dxa"/>
            <w:noWrap/>
            <w:hideMark/>
          </w:tcPr>
          <w:p w:rsidR="000F0B78" w:rsidRPr="000F0B78" w:rsidRDefault="000F0B78" w:rsidP="000F0B7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2</w:t>
            </w:r>
          </w:p>
        </w:tc>
        <w:tc>
          <w:tcPr>
            <w:tcW w:w="747" w:type="dxa"/>
            <w:noWrap/>
            <w:hideMark/>
          </w:tcPr>
          <w:p w:rsidR="000F0B78" w:rsidRPr="000F0B78" w:rsidRDefault="000F0B78" w:rsidP="000F0B7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3</w:t>
            </w:r>
          </w:p>
        </w:tc>
        <w:tc>
          <w:tcPr>
            <w:tcW w:w="747" w:type="dxa"/>
            <w:noWrap/>
            <w:hideMark/>
          </w:tcPr>
          <w:p w:rsidR="000F0B78" w:rsidRPr="000F0B78" w:rsidRDefault="000F0B78" w:rsidP="000F0B7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4</w:t>
            </w:r>
          </w:p>
        </w:tc>
        <w:tc>
          <w:tcPr>
            <w:tcW w:w="747" w:type="dxa"/>
            <w:noWrap/>
            <w:hideMark/>
          </w:tcPr>
          <w:p w:rsidR="000F0B78" w:rsidRPr="000F0B78" w:rsidRDefault="000F0B78" w:rsidP="000F0B7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5</w:t>
            </w:r>
          </w:p>
        </w:tc>
        <w:tc>
          <w:tcPr>
            <w:tcW w:w="747" w:type="dxa"/>
            <w:noWrap/>
            <w:hideMark/>
          </w:tcPr>
          <w:p w:rsidR="000F0B78" w:rsidRPr="000F0B78" w:rsidRDefault="000F0B78" w:rsidP="000F0B7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6</w:t>
            </w:r>
          </w:p>
        </w:tc>
        <w:tc>
          <w:tcPr>
            <w:tcW w:w="747" w:type="dxa"/>
            <w:noWrap/>
            <w:hideMark/>
          </w:tcPr>
          <w:p w:rsidR="000F0B78" w:rsidRPr="000F0B78" w:rsidRDefault="000F0B78" w:rsidP="000F0B7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7</w:t>
            </w:r>
          </w:p>
        </w:tc>
        <w:tc>
          <w:tcPr>
            <w:tcW w:w="747" w:type="dxa"/>
            <w:noWrap/>
            <w:hideMark/>
          </w:tcPr>
          <w:p w:rsidR="000F0B78" w:rsidRPr="000F0B78" w:rsidRDefault="000F0B78" w:rsidP="000F0B7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8</w:t>
            </w:r>
          </w:p>
        </w:tc>
        <w:tc>
          <w:tcPr>
            <w:tcW w:w="747" w:type="dxa"/>
            <w:noWrap/>
            <w:hideMark/>
          </w:tcPr>
          <w:p w:rsidR="000F0B78" w:rsidRPr="000F0B78" w:rsidRDefault="000F0B78" w:rsidP="000F0B7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9</w:t>
            </w:r>
          </w:p>
        </w:tc>
        <w:tc>
          <w:tcPr>
            <w:tcW w:w="747" w:type="dxa"/>
            <w:noWrap/>
            <w:hideMark/>
          </w:tcPr>
          <w:p w:rsidR="000F0B78" w:rsidRPr="000F0B78" w:rsidRDefault="000F0B78" w:rsidP="000F0B7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10</w:t>
            </w:r>
          </w:p>
        </w:tc>
        <w:tc>
          <w:tcPr>
            <w:tcW w:w="747" w:type="dxa"/>
            <w:noWrap/>
            <w:hideMark/>
          </w:tcPr>
          <w:p w:rsidR="000F0B78" w:rsidRPr="000F0B78" w:rsidRDefault="000F0B78" w:rsidP="000F0B7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11</w:t>
            </w:r>
          </w:p>
        </w:tc>
        <w:tc>
          <w:tcPr>
            <w:tcW w:w="747" w:type="dxa"/>
            <w:noWrap/>
            <w:hideMark/>
          </w:tcPr>
          <w:p w:rsidR="000F0B78" w:rsidRPr="000F0B78" w:rsidRDefault="000F0B78" w:rsidP="000F0B7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12</w:t>
            </w:r>
          </w:p>
        </w:tc>
      </w:tr>
      <w:tr w:rsidR="000F0B78" w:rsidRPr="000F0B78" w:rsidTr="000F0B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noWrap/>
            <w:hideMark/>
          </w:tcPr>
          <w:p w:rsidR="000F0B78" w:rsidRPr="000F0B78" w:rsidRDefault="000F0B78" w:rsidP="000F0B78">
            <w:pPr>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No. MUR's Conducted</w:t>
            </w:r>
          </w:p>
        </w:tc>
        <w:tc>
          <w:tcPr>
            <w:tcW w:w="747" w:type="dxa"/>
            <w:noWrap/>
            <w:hideMark/>
          </w:tcPr>
          <w:p w:rsidR="000F0B78" w:rsidRPr="000F0B78" w:rsidRDefault="000F0B78" w:rsidP="000F0B7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200</w:t>
            </w:r>
          </w:p>
        </w:tc>
        <w:tc>
          <w:tcPr>
            <w:tcW w:w="747" w:type="dxa"/>
            <w:noWrap/>
            <w:hideMark/>
          </w:tcPr>
          <w:p w:rsidR="000F0B78" w:rsidRPr="000F0B78" w:rsidRDefault="000F0B78" w:rsidP="000F0B7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200</w:t>
            </w:r>
          </w:p>
        </w:tc>
        <w:tc>
          <w:tcPr>
            <w:tcW w:w="747" w:type="dxa"/>
            <w:noWrap/>
            <w:hideMark/>
          </w:tcPr>
          <w:p w:rsidR="000F0B78" w:rsidRPr="000F0B78" w:rsidRDefault="000F0B78" w:rsidP="000F0B7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0</w:t>
            </w:r>
          </w:p>
        </w:tc>
        <w:tc>
          <w:tcPr>
            <w:tcW w:w="747" w:type="dxa"/>
            <w:noWrap/>
            <w:hideMark/>
          </w:tcPr>
          <w:p w:rsidR="000F0B78" w:rsidRPr="000F0B78" w:rsidRDefault="000F0B78" w:rsidP="000F0B7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0</w:t>
            </w:r>
          </w:p>
        </w:tc>
        <w:tc>
          <w:tcPr>
            <w:tcW w:w="747" w:type="dxa"/>
            <w:noWrap/>
            <w:hideMark/>
          </w:tcPr>
          <w:p w:rsidR="000F0B78" w:rsidRPr="000F0B78" w:rsidRDefault="000F0B78" w:rsidP="000F0B7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0</w:t>
            </w:r>
          </w:p>
        </w:tc>
        <w:tc>
          <w:tcPr>
            <w:tcW w:w="747" w:type="dxa"/>
            <w:noWrap/>
            <w:hideMark/>
          </w:tcPr>
          <w:p w:rsidR="000F0B78" w:rsidRPr="000F0B78" w:rsidRDefault="000F0B78" w:rsidP="000F0B7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0</w:t>
            </w:r>
          </w:p>
        </w:tc>
        <w:tc>
          <w:tcPr>
            <w:tcW w:w="747" w:type="dxa"/>
            <w:noWrap/>
            <w:hideMark/>
          </w:tcPr>
          <w:p w:rsidR="000F0B78" w:rsidRPr="000F0B78" w:rsidRDefault="000F0B78" w:rsidP="000F0B7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0</w:t>
            </w:r>
          </w:p>
        </w:tc>
        <w:tc>
          <w:tcPr>
            <w:tcW w:w="747" w:type="dxa"/>
            <w:noWrap/>
            <w:hideMark/>
          </w:tcPr>
          <w:p w:rsidR="000F0B78" w:rsidRPr="000F0B78" w:rsidRDefault="000F0B78" w:rsidP="000F0B7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0</w:t>
            </w:r>
          </w:p>
        </w:tc>
        <w:tc>
          <w:tcPr>
            <w:tcW w:w="747" w:type="dxa"/>
            <w:noWrap/>
            <w:hideMark/>
          </w:tcPr>
          <w:p w:rsidR="000F0B78" w:rsidRPr="000F0B78" w:rsidRDefault="000F0B78" w:rsidP="000F0B7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0</w:t>
            </w:r>
          </w:p>
        </w:tc>
        <w:tc>
          <w:tcPr>
            <w:tcW w:w="747" w:type="dxa"/>
            <w:noWrap/>
            <w:hideMark/>
          </w:tcPr>
          <w:p w:rsidR="000F0B78" w:rsidRPr="000F0B78" w:rsidRDefault="000F0B78" w:rsidP="000F0B7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0</w:t>
            </w:r>
          </w:p>
        </w:tc>
        <w:tc>
          <w:tcPr>
            <w:tcW w:w="747" w:type="dxa"/>
            <w:noWrap/>
            <w:hideMark/>
          </w:tcPr>
          <w:p w:rsidR="000F0B78" w:rsidRPr="000F0B78" w:rsidRDefault="000F0B78" w:rsidP="000F0B7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0</w:t>
            </w:r>
          </w:p>
        </w:tc>
        <w:tc>
          <w:tcPr>
            <w:tcW w:w="747" w:type="dxa"/>
            <w:noWrap/>
            <w:hideMark/>
          </w:tcPr>
          <w:p w:rsidR="000F0B78" w:rsidRPr="000F0B78" w:rsidRDefault="000F0B78" w:rsidP="000F0B7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0</w:t>
            </w:r>
          </w:p>
        </w:tc>
      </w:tr>
      <w:tr w:rsidR="000F0B78" w:rsidRPr="000F0B78" w:rsidTr="000F0B78">
        <w:trPr>
          <w:trHeight w:val="480"/>
        </w:trPr>
        <w:tc>
          <w:tcPr>
            <w:cnfStyle w:val="001000000000" w:firstRow="0" w:lastRow="0" w:firstColumn="1" w:lastColumn="0" w:oddVBand="0" w:evenVBand="0" w:oddHBand="0" w:evenHBand="0" w:firstRowFirstColumn="0" w:firstRowLastColumn="0" w:lastRowFirstColumn="0" w:lastRowLastColumn="0"/>
            <w:tcW w:w="1960" w:type="dxa"/>
            <w:noWrap/>
            <w:hideMark/>
          </w:tcPr>
          <w:p w:rsidR="000F0B78" w:rsidRPr="000F0B78" w:rsidRDefault="000F0B78" w:rsidP="000F0B78">
            <w:pPr>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Category</w:t>
            </w:r>
          </w:p>
        </w:tc>
        <w:tc>
          <w:tcPr>
            <w:tcW w:w="747" w:type="dxa"/>
            <w:hideMark/>
          </w:tcPr>
          <w:p w:rsidR="000F0B78" w:rsidRPr="000F0B78" w:rsidRDefault="000F0B78" w:rsidP="000F0B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Upper Outlier</w:t>
            </w:r>
          </w:p>
        </w:tc>
        <w:tc>
          <w:tcPr>
            <w:tcW w:w="747" w:type="dxa"/>
            <w:hideMark/>
          </w:tcPr>
          <w:p w:rsidR="000F0B78" w:rsidRPr="000F0B78" w:rsidRDefault="000F0B78" w:rsidP="000F0B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Upper Outlier</w:t>
            </w:r>
          </w:p>
        </w:tc>
        <w:tc>
          <w:tcPr>
            <w:tcW w:w="747" w:type="dxa"/>
            <w:hideMark/>
          </w:tcPr>
          <w:p w:rsidR="000F0B78" w:rsidRPr="000F0B78" w:rsidRDefault="000F0B78" w:rsidP="000F0B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Lower Outlier</w:t>
            </w:r>
          </w:p>
        </w:tc>
        <w:tc>
          <w:tcPr>
            <w:tcW w:w="747" w:type="dxa"/>
            <w:hideMark/>
          </w:tcPr>
          <w:p w:rsidR="000F0B78" w:rsidRPr="000F0B78" w:rsidRDefault="000F0B78" w:rsidP="000F0B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Lower Outlier</w:t>
            </w:r>
          </w:p>
        </w:tc>
        <w:tc>
          <w:tcPr>
            <w:tcW w:w="747" w:type="dxa"/>
            <w:hideMark/>
          </w:tcPr>
          <w:p w:rsidR="000F0B78" w:rsidRPr="000F0B78" w:rsidRDefault="000F0B78" w:rsidP="000F0B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Lower Outlier</w:t>
            </w:r>
          </w:p>
        </w:tc>
        <w:tc>
          <w:tcPr>
            <w:tcW w:w="747" w:type="dxa"/>
            <w:hideMark/>
          </w:tcPr>
          <w:p w:rsidR="000F0B78" w:rsidRPr="000F0B78" w:rsidRDefault="000F0B78" w:rsidP="000F0B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Lower Outlier</w:t>
            </w:r>
          </w:p>
        </w:tc>
        <w:tc>
          <w:tcPr>
            <w:tcW w:w="747" w:type="dxa"/>
            <w:hideMark/>
          </w:tcPr>
          <w:p w:rsidR="000F0B78" w:rsidRPr="000F0B78" w:rsidRDefault="000F0B78" w:rsidP="000F0B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Lower Outlier</w:t>
            </w:r>
          </w:p>
        </w:tc>
        <w:tc>
          <w:tcPr>
            <w:tcW w:w="747" w:type="dxa"/>
            <w:hideMark/>
          </w:tcPr>
          <w:p w:rsidR="000F0B78" w:rsidRPr="000F0B78" w:rsidRDefault="000F0B78" w:rsidP="000F0B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Lower Outlier</w:t>
            </w:r>
          </w:p>
        </w:tc>
        <w:tc>
          <w:tcPr>
            <w:tcW w:w="747" w:type="dxa"/>
            <w:hideMark/>
          </w:tcPr>
          <w:p w:rsidR="000F0B78" w:rsidRPr="000F0B78" w:rsidRDefault="000F0B78" w:rsidP="000F0B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Lower Outlier</w:t>
            </w:r>
          </w:p>
        </w:tc>
        <w:tc>
          <w:tcPr>
            <w:tcW w:w="747" w:type="dxa"/>
            <w:hideMark/>
          </w:tcPr>
          <w:p w:rsidR="000F0B78" w:rsidRPr="000F0B78" w:rsidRDefault="000F0B78" w:rsidP="000F0B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Lower Outlier</w:t>
            </w:r>
          </w:p>
        </w:tc>
        <w:tc>
          <w:tcPr>
            <w:tcW w:w="747" w:type="dxa"/>
            <w:hideMark/>
          </w:tcPr>
          <w:p w:rsidR="000F0B78" w:rsidRPr="000F0B78" w:rsidRDefault="000F0B78" w:rsidP="000F0B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Lower Outlier</w:t>
            </w:r>
          </w:p>
        </w:tc>
        <w:tc>
          <w:tcPr>
            <w:tcW w:w="747" w:type="dxa"/>
            <w:hideMark/>
          </w:tcPr>
          <w:p w:rsidR="000F0B78" w:rsidRPr="000F0B78" w:rsidRDefault="000F0B78" w:rsidP="000F0B7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0F0B78">
              <w:rPr>
                <w:rFonts w:ascii="Arial" w:eastAsia="Times New Roman" w:hAnsi="Arial" w:cs="Arial"/>
                <w:color w:val="000000"/>
                <w:sz w:val="18"/>
                <w:szCs w:val="18"/>
                <w:lang w:eastAsia="en-GB"/>
              </w:rPr>
              <w:t>Lower Outlier</w:t>
            </w:r>
          </w:p>
        </w:tc>
      </w:tr>
    </w:tbl>
    <w:p w:rsidR="00761FB0" w:rsidRDefault="00761FB0" w:rsidP="00665382">
      <w:pPr>
        <w:spacing w:line="240" w:lineRule="auto"/>
        <w:rPr>
          <w:rFonts w:ascii="Arial" w:hAnsi="Arial" w:cs="Arial"/>
          <w:b/>
          <w:sz w:val="24"/>
          <w:u w:val="single"/>
        </w:rPr>
      </w:pPr>
    </w:p>
    <w:p w:rsidR="00761FB0" w:rsidRPr="00761FB0" w:rsidRDefault="00761FB0" w:rsidP="00665382">
      <w:pPr>
        <w:spacing w:line="240" w:lineRule="auto"/>
        <w:rPr>
          <w:rFonts w:ascii="Arial" w:hAnsi="Arial" w:cs="Arial"/>
          <w:sz w:val="24"/>
        </w:rPr>
      </w:pPr>
    </w:p>
    <w:sectPr w:rsidR="00761FB0" w:rsidRPr="00761F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8F2" w:rsidRDefault="000458F2" w:rsidP="00665382">
      <w:pPr>
        <w:spacing w:after="0" w:line="240" w:lineRule="auto"/>
      </w:pPr>
      <w:r>
        <w:separator/>
      </w:r>
    </w:p>
  </w:endnote>
  <w:endnote w:type="continuationSeparator" w:id="0">
    <w:p w:rsidR="000458F2" w:rsidRDefault="000458F2" w:rsidP="0066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8F2" w:rsidRDefault="000458F2" w:rsidP="00665382">
      <w:pPr>
        <w:spacing w:after="0" w:line="240" w:lineRule="auto"/>
      </w:pPr>
      <w:r>
        <w:separator/>
      </w:r>
    </w:p>
  </w:footnote>
  <w:footnote w:type="continuationSeparator" w:id="0">
    <w:p w:rsidR="000458F2" w:rsidRDefault="000458F2" w:rsidP="006653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82"/>
    <w:rsid w:val="000458F2"/>
    <w:rsid w:val="000F0B78"/>
    <w:rsid w:val="00130C49"/>
    <w:rsid w:val="00275EBD"/>
    <w:rsid w:val="00356E0C"/>
    <w:rsid w:val="00552369"/>
    <w:rsid w:val="00665382"/>
    <w:rsid w:val="00761FB0"/>
    <w:rsid w:val="00791ED2"/>
    <w:rsid w:val="0080716D"/>
    <w:rsid w:val="009A2DD9"/>
    <w:rsid w:val="00A4404B"/>
    <w:rsid w:val="00AB2B6D"/>
    <w:rsid w:val="00AE3474"/>
    <w:rsid w:val="00CF220A"/>
    <w:rsid w:val="00D144EE"/>
    <w:rsid w:val="00DD2ACA"/>
    <w:rsid w:val="00EA4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382"/>
    <w:rPr>
      <w:rFonts w:ascii="Tahoma" w:hAnsi="Tahoma" w:cs="Tahoma"/>
      <w:sz w:val="16"/>
      <w:szCs w:val="16"/>
    </w:rPr>
  </w:style>
  <w:style w:type="paragraph" w:styleId="Header">
    <w:name w:val="header"/>
    <w:basedOn w:val="Normal"/>
    <w:link w:val="HeaderChar"/>
    <w:uiPriority w:val="99"/>
    <w:unhideWhenUsed/>
    <w:rsid w:val="00665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382"/>
  </w:style>
  <w:style w:type="paragraph" w:styleId="Footer">
    <w:name w:val="footer"/>
    <w:basedOn w:val="Normal"/>
    <w:link w:val="FooterChar"/>
    <w:uiPriority w:val="99"/>
    <w:unhideWhenUsed/>
    <w:rsid w:val="00665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382"/>
  </w:style>
  <w:style w:type="table" w:styleId="LightShading-Accent1">
    <w:name w:val="Light Shading Accent 1"/>
    <w:basedOn w:val="TableNormal"/>
    <w:uiPriority w:val="60"/>
    <w:rsid w:val="000F0B7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382"/>
    <w:rPr>
      <w:rFonts w:ascii="Tahoma" w:hAnsi="Tahoma" w:cs="Tahoma"/>
      <w:sz w:val="16"/>
      <w:szCs w:val="16"/>
    </w:rPr>
  </w:style>
  <w:style w:type="paragraph" w:styleId="Header">
    <w:name w:val="header"/>
    <w:basedOn w:val="Normal"/>
    <w:link w:val="HeaderChar"/>
    <w:uiPriority w:val="99"/>
    <w:unhideWhenUsed/>
    <w:rsid w:val="00665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382"/>
  </w:style>
  <w:style w:type="paragraph" w:styleId="Footer">
    <w:name w:val="footer"/>
    <w:basedOn w:val="Normal"/>
    <w:link w:val="FooterChar"/>
    <w:uiPriority w:val="99"/>
    <w:unhideWhenUsed/>
    <w:rsid w:val="00665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382"/>
  </w:style>
  <w:style w:type="table" w:styleId="LightShading-Accent1">
    <w:name w:val="Light Shading Accent 1"/>
    <w:basedOn w:val="TableNormal"/>
    <w:uiPriority w:val="60"/>
    <w:rsid w:val="000F0B7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83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Haigh</dc:creator>
  <cp:lastModifiedBy>Abigail Haigh</cp:lastModifiedBy>
  <cp:revision>10</cp:revision>
  <dcterms:created xsi:type="dcterms:W3CDTF">2015-04-29T09:32:00Z</dcterms:created>
  <dcterms:modified xsi:type="dcterms:W3CDTF">2015-04-29T10:54:00Z</dcterms:modified>
</cp:coreProperties>
</file>