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F6905B" wp14:editId="510CA33D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7559675" cy="1736090"/>
            <wp:effectExtent l="0" t="0" r="3175" b="0"/>
            <wp:wrapSquare wrapText="bothSides"/>
            <wp:docPr id="1" name="Picture 1" descr="Description: P:\07 Communications\Publications - Nicky\Identity and Branding\01.New artwork - 08.2016\01.Swish artwork - July 2016\Swish artwork - Jpgs\Corporate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:\07 Communications\Publications - Nicky\Identity and Branding\01.New artwork - 08.2016\01.Swish artwork - July 2016\Swish artwork - Jpgs\Corporate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5D1587" w:rsidRDefault="005D4CFC" w:rsidP="005D1587">
      <w:pPr>
        <w:jc w:val="center"/>
        <w:rPr>
          <w:rFonts w:ascii="Arial" w:hAnsi="Arial" w:cs="Arial"/>
          <w:b/>
          <w:color w:val="005EB8"/>
          <w:sz w:val="28"/>
        </w:rPr>
      </w:pPr>
      <w:proofErr w:type="gramStart"/>
      <w:r>
        <w:rPr>
          <w:rFonts w:ascii="Arial" w:hAnsi="Arial" w:cs="Arial"/>
          <w:b/>
          <w:color w:val="005EB8"/>
          <w:sz w:val="28"/>
        </w:rPr>
        <w:t>held</w:t>
      </w:r>
      <w:proofErr w:type="gramEnd"/>
      <w:r>
        <w:rPr>
          <w:rFonts w:ascii="Arial" w:hAnsi="Arial" w:cs="Arial"/>
          <w:b/>
          <w:color w:val="005EB8"/>
          <w:sz w:val="28"/>
        </w:rPr>
        <w:t xml:space="preserve"> at 1.0</w:t>
      </w:r>
      <w:r w:rsidR="007461A3">
        <w:rPr>
          <w:rFonts w:ascii="Arial" w:hAnsi="Arial" w:cs="Arial"/>
          <w:b/>
          <w:color w:val="005EB8"/>
          <w:sz w:val="28"/>
        </w:rPr>
        <w:t>0p</w:t>
      </w:r>
      <w:r w:rsidR="005D1587">
        <w:rPr>
          <w:rFonts w:ascii="Arial" w:hAnsi="Arial" w:cs="Arial"/>
          <w:b/>
          <w:color w:val="005EB8"/>
          <w:sz w:val="28"/>
        </w:rPr>
        <w:t xml:space="preserve">m on </w:t>
      </w:r>
      <w:r>
        <w:rPr>
          <w:rFonts w:ascii="Arial" w:hAnsi="Arial" w:cs="Arial"/>
          <w:b/>
          <w:color w:val="005EB8"/>
          <w:sz w:val="28"/>
        </w:rPr>
        <w:t>9 August</w:t>
      </w:r>
      <w:r w:rsidR="005D1587">
        <w:rPr>
          <w:rFonts w:ascii="Arial" w:hAnsi="Arial" w:cs="Arial"/>
          <w:b/>
          <w:color w:val="005EB8"/>
          <w:sz w:val="28"/>
        </w:rPr>
        <w:t xml:space="preserve"> 2017</w:t>
      </w:r>
      <w:r>
        <w:rPr>
          <w:rFonts w:ascii="Arial" w:hAnsi="Arial" w:cs="Arial"/>
          <w:b/>
          <w:color w:val="005EB8"/>
          <w:sz w:val="28"/>
        </w:rPr>
        <w:t xml:space="preserve"> </w:t>
      </w:r>
    </w:p>
    <w:p w:rsidR="00834483" w:rsidRPr="00BA0C4F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5D4CFC" w:rsidRPr="00BA0C4F" w:rsidRDefault="005D4CFC" w:rsidP="005D4CFC">
      <w:pPr>
        <w:pStyle w:val="Body"/>
        <w:jc w:val="both"/>
        <w:rPr>
          <w:lang w:val="en-GB"/>
        </w:rPr>
      </w:pPr>
      <w:proofErr w:type="spellStart"/>
      <w:r w:rsidRPr="00BA0C4F">
        <w:rPr>
          <w:lang w:val="en-GB"/>
        </w:rPr>
        <w:t>Silla</w:t>
      </w:r>
      <w:proofErr w:type="spellEnd"/>
      <w:r w:rsidRPr="00BA0C4F">
        <w:rPr>
          <w:lang w:val="en-GB"/>
        </w:rPr>
        <w:t xml:space="preserve"> </w:t>
      </w:r>
      <w:proofErr w:type="spellStart"/>
      <w:r w:rsidRPr="00BA0C4F">
        <w:rPr>
          <w:lang w:val="en-GB"/>
        </w:rPr>
        <w:t>Maizey</w:t>
      </w:r>
      <w:proofErr w:type="spellEnd"/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Chair</w:t>
      </w:r>
      <w:r>
        <w:rPr>
          <w:lang w:val="en-GB"/>
        </w:rPr>
        <w:t xml:space="preserve"> </w:t>
      </w:r>
    </w:p>
    <w:p w:rsidR="005D4CFC" w:rsidRPr="00BA0C4F" w:rsidRDefault="005D4CFC" w:rsidP="005D4CFC">
      <w:pPr>
        <w:pStyle w:val="Body"/>
        <w:jc w:val="both"/>
        <w:rPr>
          <w:lang w:val="en-GB"/>
        </w:rPr>
      </w:pPr>
      <w:r w:rsidRPr="00BA0C4F">
        <w:rPr>
          <w:lang w:val="en-GB"/>
        </w:rPr>
        <w:t xml:space="preserve">Alistair McDonald </w:t>
      </w:r>
      <w:r w:rsidRPr="00BA0C4F">
        <w:rPr>
          <w:lang w:val="en-GB"/>
        </w:rPr>
        <w:tab/>
      </w:r>
      <w:r w:rsidRPr="00BA0C4F">
        <w:rPr>
          <w:lang w:val="en-GB"/>
        </w:rPr>
        <w:tab/>
        <w:t xml:space="preserve">Chief Executive </w:t>
      </w:r>
    </w:p>
    <w:p w:rsidR="005D4CFC" w:rsidRPr="00BA0C4F" w:rsidRDefault="005D4CFC" w:rsidP="005D4CFC">
      <w:pPr>
        <w:pStyle w:val="Body"/>
        <w:jc w:val="both"/>
        <w:rPr>
          <w:lang w:val="en-GB"/>
        </w:rPr>
      </w:pPr>
      <w:r w:rsidRPr="00BA0C4F">
        <w:rPr>
          <w:lang w:val="en-GB"/>
        </w:rPr>
        <w:t>Debra Bailey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Non-Executive Director</w:t>
      </w:r>
    </w:p>
    <w:p w:rsidR="005D4CFC" w:rsidRPr="00BA0C4F" w:rsidRDefault="005D4CFC" w:rsidP="005D4CFC">
      <w:pPr>
        <w:pStyle w:val="Body"/>
        <w:jc w:val="both"/>
        <w:rPr>
          <w:lang w:val="en-GB"/>
        </w:rPr>
      </w:pPr>
      <w:r w:rsidRPr="00BA0C4F">
        <w:rPr>
          <w:lang w:val="en-GB"/>
        </w:rPr>
        <w:t xml:space="preserve">Patrick </w:t>
      </w:r>
      <w:proofErr w:type="spellStart"/>
      <w:r w:rsidRPr="00BA0C4F">
        <w:rPr>
          <w:lang w:val="en-GB"/>
        </w:rPr>
        <w:t>McGahon</w:t>
      </w:r>
      <w:proofErr w:type="spellEnd"/>
      <w:r w:rsidRPr="00BA0C4F">
        <w:rPr>
          <w:lang w:val="en-GB"/>
        </w:rPr>
        <w:tab/>
      </w:r>
      <w:r w:rsidRPr="00BA0C4F">
        <w:rPr>
          <w:lang w:val="en-GB"/>
        </w:rPr>
        <w:tab/>
        <w:t>Director of Finance and Corporate Services</w:t>
      </w:r>
    </w:p>
    <w:p w:rsidR="005D4CFC" w:rsidRPr="00BA0C4F" w:rsidRDefault="005D4CFC" w:rsidP="005D4CFC">
      <w:pPr>
        <w:pStyle w:val="Body"/>
        <w:jc w:val="both"/>
        <w:rPr>
          <w:lang w:val="en-GB"/>
        </w:rPr>
      </w:pPr>
      <w:r w:rsidRPr="00BA0C4F">
        <w:rPr>
          <w:lang w:val="en-GB"/>
        </w:rPr>
        <w:t>Steven Pink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Director of Change &amp; Commercial Delivery</w:t>
      </w:r>
    </w:p>
    <w:p w:rsidR="00834483" w:rsidRPr="00BA0C4F" w:rsidRDefault="00834483">
      <w:pPr>
        <w:pStyle w:val="Body"/>
        <w:ind w:firstLine="720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Default="00834483">
      <w:pPr>
        <w:pStyle w:val="Body"/>
        <w:jc w:val="both"/>
        <w:rPr>
          <w:lang w:val="en-GB"/>
        </w:rPr>
      </w:pPr>
    </w:p>
    <w:p w:rsidR="005D4CFC" w:rsidRPr="00BA0C4F" w:rsidRDefault="005D4CFC" w:rsidP="005D4CFC">
      <w:pPr>
        <w:pStyle w:val="Body"/>
        <w:jc w:val="both"/>
        <w:rPr>
          <w:lang w:val="en-GB"/>
        </w:rPr>
      </w:pPr>
      <w:r w:rsidRPr="00BA0C4F">
        <w:rPr>
          <w:lang w:val="en-GB"/>
        </w:rPr>
        <w:t>Mark Dibble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Corporate Secretary</w:t>
      </w:r>
    </w:p>
    <w:p w:rsidR="005D4CFC" w:rsidRDefault="005D4CFC" w:rsidP="005D4CFC">
      <w:pPr>
        <w:pStyle w:val="Body"/>
        <w:jc w:val="both"/>
        <w:rPr>
          <w:lang w:val="en-GB"/>
        </w:rPr>
      </w:pPr>
      <w:r>
        <w:rPr>
          <w:lang w:val="en-GB"/>
        </w:rPr>
        <w:t xml:space="preserve">Nigel </w:t>
      </w:r>
      <w:proofErr w:type="spellStart"/>
      <w:r>
        <w:rPr>
          <w:lang w:val="en-GB"/>
        </w:rPr>
        <w:t>Zaman</w:t>
      </w:r>
      <w:proofErr w:type="spellEnd"/>
      <w:r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Department of Health</w:t>
      </w:r>
      <w:r w:rsidRPr="00BA0C4F">
        <w:rPr>
          <w:lang w:val="en-GB"/>
        </w:rPr>
        <w:tab/>
      </w:r>
    </w:p>
    <w:p w:rsidR="005D4CFC" w:rsidRDefault="005D4CFC" w:rsidP="005D4CFC">
      <w:pPr>
        <w:pStyle w:val="Body"/>
        <w:jc w:val="both"/>
        <w:rPr>
          <w:lang w:val="en-GB"/>
        </w:rPr>
      </w:pPr>
      <w:proofErr w:type="spellStart"/>
      <w:r>
        <w:rPr>
          <w:lang w:val="en-GB"/>
        </w:rPr>
        <w:t>Jhun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Almadin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Ernst and Young (item </w:t>
      </w:r>
      <w:r w:rsidR="00EF1FE0">
        <w:rPr>
          <w:lang w:val="en-GB"/>
        </w:rPr>
        <w:t>1</w:t>
      </w:r>
      <w:r>
        <w:rPr>
          <w:lang w:val="en-GB"/>
        </w:rPr>
        <w:t xml:space="preserve"> only)</w:t>
      </w:r>
    </w:p>
    <w:p w:rsidR="005D4CFC" w:rsidRDefault="005D4CFC" w:rsidP="005D4CFC">
      <w:pPr>
        <w:pStyle w:val="Body"/>
        <w:jc w:val="both"/>
        <w:rPr>
          <w:lang w:val="en-GB"/>
        </w:rPr>
      </w:pPr>
      <w:proofErr w:type="spellStart"/>
      <w:r>
        <w:rPr>
          <w:lang w:val="en-GB"/>
        </w:rPr>
        <w:t>Lugman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Balogun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Ernst and Young (item </w:t>
      </w:r>
      <w:r w:rsidR="00EF1FE0">
        <w:rPr>
          <w:lang w:val="en-GB"/>
        </w:rPr>
        <w:t>1</w:t>
      </w:r>
      <w:r>
        <w:rPr>
          <w:lang w:val="en-GB"/>
        </w:rPr>
        <w:t xml:space="preserve"> only)</w:t>
      </w:r>
    </w:p>
    <w:p w:rsidR="005D4CFC" w:rsidRDefault="005D4CFC" w:rsidP="005D4CFC">
      <w:pPr>
        <w:pStyle w:val="Body"/>
        <w:ind w:left="2880" w:hanging="2880"/>
        <w:rPr>
          <w:lang w:val="en-GB"/>
        </w:rPr>
      </w:pPr>
      <w:r>
        <w:rPr>
          <w:lang w:val="en-GB"/>
        </w:rPr>
        <w:t>Jim Craig</w:t>
      </w:r>
      <w:r>
        <w:rPr>
          <w:lang w:val="en-GB"/>
        </w:rPr>
        <w:tab/>
        <w:t xml:space="preserve">Procurement Transformation Programme (item </w:t>
      </w:r>
      <w:r w:rsidR="00EF1FE0">
        <w:rPr>
          <w:lang w:val="en-GB"/>
        </w:rPr>
        <w:t>2</w:t>
      </w:r>
      <w:r>
        <w:rPr>
          <w:lang w:val="en-GB"/>
        </w:rPr>
        <w:t xml:space="preserve"> only)</w:t>
      </w:r>
    </w:p>
    <w:p w:rsidR="005D4CFC" w:rsidRDefault="005D4CFC" w:rsidP="005D4CFC">
      <w:pPr>
        <w:pStyle w:val="Body"/>
        <w:ind w:left="2880" w:hanging="2880"/>
        <w:rPr>
          <w:lang w:val="en-GB"/>
        </w:rPr>
      </w:pPr>
      <w:proofErr w:type="spellStart"/>
      <w:r>
        <w:rPr>
          <w:lang w:val="en-GB"/>
        </w:rPr>
        <w:t>Nayan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Rughani</w:t>
      </w:r>
      <w:proofErr w:type="spellEnd"/>
      <w:r>
        <w:rPr>
          <w:lang w:val="en-GB"/>
        </w:rPr>
        <w:tab/>
        <w:t xml:space="preserve">Procurement Transformation Programme (item </w:t>
      </w:r>
      <w:r w:rsidR="00EF1FE0">
        <w:rPr>
          <w:lang w:val="en-GB"/>
        </w:rPr>
        <w:t>2</w:t>
      </w:r>
      <w:bookmarkStart w:id="0" w:name="_GoBack"/>
      <w:bookmarkEnd w:id="0"/>
      <w:r>
        <w:rPr>
          <w:lang w:val="en-GB"/>
        </w:rPr>
        <w:t xml:space="preserve"> only)</w:t>
      </w:r>
      <w:r>
        <w:rPr>
          <w:lang w:val="en-GB"/>
        </w:rPr>
        <w:tab/>
      </w:r>
    </w:p>
    <w:p w:rsidR="00220F2F" w:rsidRPr="00BA0C4F" w:rsidRDefault="00220F2F">
      <w:pPr>
        <w:pStyle w:val="Body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</w:t>
      </w:r>
      <w:r w:rsidR="005D1587" w:rsidRPr="005D1587">
        <w:rPr>
          <w:b/>
          <w:bCs/>
          <w:color w:val="0070C0"/>
          <w:lang w:val="en-GB"/>
        </w:rPr>
        <w:t>:</w:t>
      </w:r>
    </w:p>
    <w:p w:rsidR="0065470B" w:rsidRDefault="0065470B">
      <w:pPr>
        <w:pStyle w:val="Body"/>
        <w:jc w:val="both"/>
        <w:rPr>
          <w:lang w:val="en-GB"/>
        </w:rPr>
      </w:pPr>
    </w:p>
    <w:p w:rsidR="008927BB" w:rsidRDefault="008927BB">
      <w:pPr>
        <w:pStyle w:val="Body"/>
        <w:jc w:val="both"/>
        <w:rPr>
          <w:lang w:val="en-GB"/>
        </w:rPr>
      </w:pPr>
      <w:r>
        <w:rPr>
          <w:lang w:val="en-GB"/>
        </w:rPr>
        <w:t xml:space="preserve">Mark </w:t>
      </w:r>
      <w:proofErr w:type="spellStart"/>
      <w:r>
        <w:rPr>
          <w:lang w:val="en-GB"/>
        </w:rPr>
        <w:t>Ellerby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</w:p>
    <w:p w:rsidR="008927BB" w:rsidRDefault="008927BB">
      <w:pPr>
        <w:pStyle w:val="Body"/>
        <w:jc w:val="both"/>
        <w:rPr>
          <w:lang w:val="en-GB"/>
        </w:rPr>
      </w:pPr>
      <w:r>
        <w:rPr>
          <w:lang w:val="en-GB"/>
        </w:rPr>
        <w:t>Andrew Flanagan</w:t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</w:p>
    <w:p w:rsidR="00834483" w:rsidRDefault="008927BB">
      <w:pPr>
        <w:pStyle w:val="Body"/>
        <w:jc w:val="both"/>
        <w:rPr>
          <w:lang w:val="en-GB"/>
        </w:rPr>
      </w:pPr>
      <w:r>
        <w:rPr>
          <w:lang w:val="en-GB"/>
        </w:rPr>
        <w:t>Tim Nolan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  <w:r>
        <w:rPr>
          <w:lang w:val="en-GB"/>
        </w:rPr>
        <w:tab/>
      </w:r>
    </w:p>
    <w:p w:rsidR="008927BB" w:rsidRPr="001657B4" w:rsidRDefault="008927BB">
      <w:pPr>
        <w:pStyle w:val="Body"/>
        <w:jc w:val="both"/>
        <w:rPr>
          <w:lang w:val="en-GB"/>
        </w:rPr>
      </w:pPr>
      <w:r>
        <w:rPr>
          <w:lang w:val="en-GB"/>
        </w:rPr>
        <w:t>Ben Masterson</w:t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Department of Health</w:t>
      </w:r>
    </w:p>
    <w:p w:rsidR="00834483" w:rsidRDefault="00834483">
      <w:pPr>
        <w:pStyle w:val="Body"/>
        <w:jc w:val="both"/>
        <w:rPr>
          <w:lang w:val="en-GB"/>
        </w:rPr>
      </w:pPr>
    </w:p>
    <w:p w:rsidR="00834483" w:rsidRPr="0065470B" w:rsidRDefault="002864A9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t xml:space="preserve">NHS </w:t>
      </w:r>
      <w:r w:rsidR="00CE48A3">
        <w:rPr>
          <w:b/>
          <w:bCs/>
          <w:color w:val="0070C0"/>
          <w:lang w:val="en-GB"/>
        </w:rPr>
        <w:t>Supply Chain Continuity Plan</w:t>
      </w:r>
    </w:p>
    <w:p w:rsidR="00834483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CE48A3" w:rsidRDefault="00CE48A3" w:rsidP="00CE48A3">
      <w:pPr>
        <w:pStyle w:val="Body1"/>
        <w:jc w:val="both"/>
        <w:rPr>
          <w:lang w:val="en-GB"/>
        </w:rPr>
      </w:pPr>
      <w:r>
        <w:rPr>
          <w:lang w:val="en-GB"/>
        </w:rPr>
        <w:t>Mr Pink introduced the background to the Continuity Plan.</w:t>
      </w:r>
      <w:r w:rsidRPr="00CE48A3">
        <w:rPr>
          <w:lang w:val="en-GB"/>
        </w:rPr>
        <w:t xml:space="preserve"> </w:t>
      </w:r>
      <w:r>
        <w:rPr>
          <w:lang w:val="en-GB"/>
        </w:rPr>
        <w:t xml:space="preserve">The plan had been developed by Ernst and Young on behalf of the NHSBSA. </w:t>
      </w:r>
    </w:p>
    <w:p w:rsidR="00CE48A3" w:rsidRDefault="00CE48A3" w:rsidP="00CE48A3">
      <w:pPr>
        <w:pStyle w:val="Body1"/>
        <w:jc w:val="both"/>
        <w:rPr>
          <w:lang w:val="en-GB"/>
        </w:rPr>
      </w:pPr>
    </w:p>
    <w:p w:rsidR="00CE48A3" w:rsidRDefault="00CE48A3" w:rsidP="00CE48A3">
      <w:pPr>
        <w:pStyle w:val="Body1"/>
        <w:jc w:val="both"/>
        <w:rPr>
          <w:lang w:val="en-GB"/>
        </w:rPr>
      </w:pPr>
      <w:proofErr w:type="spellStart"/>
      <w:r>
        <w:rPr>
          <w:lang w:val="en-GB"/>
        </w:rPr>
        <w:t>Jhun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Almadin</w:t>
      </w:r>
      <w:proofErr w:type="spellEnd"/>
      <w:r w:rsidRPr="00287CBE">
        <w:rPr>
          <w:lang w:val="en-GB"/>
        </w:rPr>
        <w:t xml:space="preserve"> </w:t>
      </w:r>
      <w:r>
        <w:rPr>
          <w:lang w:val="en-GB"/>
        </w:rPr>
        <w:t xml:space="preserve">and </w:t>
      </w:r>
      <w:proofErr w:type="spellStart"/>
      <w:r>
        <w:rPr>
          <w:lang w:val="en-GB"/>
        </w:rPr>
        <w:t>Lugman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Balogun</w:t>
      </w:r>
      <w:proofErr w:type="spellEnd"/>
      <w:r>
        <w:rPr>
          <w:lang w:val="en-GB"/>
        </w:rPr>
        <w:t xml:space="preserve"> from Ernst and Young joined the meeting and shared the very latest version of the contingency plan. Mr </w:t>
      </w:r>
      <w:proofErr w:type="spellStart"/>
      <w:r>
        <w:rPr>
          <w:lang w:val="en-GB"/>
        </w:rPr>
        <w:t>Almadin</w:t>
      </w:r>
      <w:proofErr w:type="spellEnd"/>
      <w:r>
        <w:rPr>
          <w:lang w:val="en-GB"/>
        </w:rPr>
        <w:t xml:space="preserve"> outlined the remaining work to finalise the continuity plan.</w:t>
      </w:r>
    </w:p>
    <w:p w:rsidR="00CE48A3" w:rsidRDefault="00CE48A3" w:rsidP="00CE48A3">
      <w:pPr>
        <w:pStyle w:val="Body1"/>
        <w:jc w:val="both"/>
        <w:rPr>
          <w:lang w:val="en-GB"/>
        </w:rPr>
      </w:pPr>
    </w:p>
    <w:p w:rsidR="00CE48A3" w:rsidRDefault="00CE48A3" w:rsidP="00CE48A3">
      <w:pPr>
        <w:pStyle w:val="Body1"/>
        <w:jc w:val="both"/>
        <w:rPr>
          <w:lang w:val="en-GB"/>
        </w:rPr>
      </w:pPr>
      <w:r>
        <w:rPr>
          <w:lang w:val="en-GB"/>
        </w:rPr>
        <w:t xml:space="preserve">The Board discussed the Continuity Plan. </w:t>
      </w:r>
    </w:p>
    <w:p w:rsidR="00834483" w:rsidRPr="00BA0C4F" w:rsidRDefault="00834483" w:rsidP="00637EED">
      <w:pPr>
        <w:pStyle w:val="Body"/>
        <w:jc w:val="both"/>
        <w:rPr>
          <w:lang w:val="en-GB"/>
        </w:rPr>
      </w:pPr>
    </w:p>
    <w:p w:rsidR="002D22EE" w:rsidRDefault="002D22EE" w:rsidP="002D22EE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</w:t>
      </w:r>
      <w:r w:rsidRPr="00CE48A3">
        <w:rPr>
          <w:rFonts w:cs="Arial"/>
        </w:rPr>
        <w:t xml:space="preserve">The Board </w:t>
      </w:r>
      <w:r w:rsidR="00CE48A3" w:rsidRPr="00CE48A3">
        <w:rPr>
          <w:rFonts w:cs="Arial"/>
          <w:b/>
        </w:rPr>
        <w:t>NOTED</w:t>
      </w:r>
      <w:r w:rsidR="00CE48A3" w:rsidRPr="00CE48A3">
        <w:rPr>
          <w:rFonts w:cs="Arial"/>
        </w:rPr>
        <w:t xml:space="preserve"> progress on the NHS Supply Chain Continuity Plan.</w:t>
      </w:r>
    </w:p>
    <w:p w:rsidR="003B5FD0" w:rsidRDefault="003B5FD0" w:rsidP="002D22EE">
      <w:pPr>
        <w:pStyle w:val="ListParagraph"/>
        <w:ind w:left="0"/>
        <w:rPr>
          <w:rFonts w:cs="Arial"/>
        </w:rPr>
      </w:pPr>
    </w:p>
    <w:p w:rsidR="00834483" w:rsidRDefault="00CE48A3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NHS Supply Chain Category Tower Contracts</w:t>
      </w:r>
    </w:p>
    <w:p w:rsidR="00C26EC0" w:rsidRDefault="00C26EC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2864A9" w:rsidRDefault="00CE48A3" w:rsidP="00C26EC0">
      <w:pPr>
        <w:pStyle w:val="Body1"/>
        <w:jc w:val="both"/>
        <w:rPr>
          <w:lang w:val="en-GB"/>
        </w:rPr>
      </w:pPr>
      <w:r>
        <w:rPr>
          <w:lang w:val="en-GB"/>
        </w:rPr>
        <w:t xml:space="preserve">Jim Craig </w:t>
      </w:r>
      <w:r w:rsidR="00D95ACB">
        <w:rPr>
          <w:lang w:val="en-GB"/>
        </w:rPr>
        <w:t xml:space="preserve">from </w:t>
      </w:r>
      <w:r w:rsidR="00E73FD5">
        <w:rPr>
          <w:lang w:val="en-GB"/>
        </w:rPr>
        <w:t>DH’s Procurement Transformation Programme</w:t>
      </w:r>
      <w:r w:rsidR="00E73FD5">
        <w:rPr>
          <w:lang w:val="en-GB"/>
        </w:rPr>
        <w:t xml:space="preserve"> </w:t>
      </w:r>
      <w:r w:rsidR="00E73FD5">
        <w:rPr>
          <w:lang w:val="en-GB"/>
        </w:rPr>
        <w:t xml:space="preserve">introduced the report, the category towers and provided context around the wider delivery timescales.  </w:t>
      </w:r>
    </w:p>
    <w:p w:rsidR="00CE48A3" w:rsidRDefault="00CE48A3" w:rsidP="00C26EC0">
      <w:pPr>
        <w:pStyle w:val="Body1"/>
        <w:jc w:val="both"/>
        <w:rPr>
          <w:lang w:val="en-GB"/>
        </w:rPr>
      </w:pPr>
    </w:p>
    <w:p w:rsidR="00E73FD5" w:rsidRDefault="002864A9" w:rsidP="00E73FD5">
      <w:pPr>
        <w:pStyle w:val="Body1"/>
        <w:jc w:val="both"/>
        <w:rPr>
          <w:bCs/>
          <w:lang w:val="en-GB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</w:t>
      </w:r>
      <w:r w:rsidR="00E73FD5">
        <w:rPr>
          <w:bCs/>
          <w:lang w:val="en-GB"/>
        </w:rPr>
        <w:t xml:space="preserve">The Board </w:t>
      </w:r>
      <w:r w:rsidR="00E73FD5" w:rsidRPr="009F68FC">
        <w:rPr>
          <w:b/>
          <w:bCs/>
          <w:lang w:val="en-GB"/>
        </w:rPr>
        <w:t>APPROVED</w:t>
      </w:r>
      <w:r w:rsidR="00E73FD5">
        <w:rPr>
          <w:bCs/>
          <w:lang w:val="en-GB"/>
        </w:rPr>
        <w:t xml:space="preserve"> the award of the category towe</w:t>
      </w:r>
      <w:r w:rsidR="00E73FD5">
        <w:rPr>
          <w:bCs/>
          <w:lang w:val="en-GB"/>
        </w:rPr>
        <w:t>rs</w:t>
      </w:r>
      <w:r w:rsidR="00E73FD5">
        <w:rPr>
          <w:bCs/>
          <w:lang w:val="en-GB"/>
        </w:rPr>
        <w:t>.</w:t>
      </w:r>
    </w:p>
    <w:p w:rsidR="002864A9" w:rsidRDefault="002864A9" w:rsidP="00C26EC0">
      <w:pPr>
        <w:pStyle w:val="Body1"/>
        <w:jc w:val="both"/>
        <w:rPr>
          <w:lang w:val="en-GB"/>
        </w:rPr>
      </w:pPr>
    </w:p>
    <w:p w:rsidR="00BC3F22" w:rsidRDefault="00BC3F22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Any Other Business</w:t>
      </w:r>
    </w:p>
    <w:p w:rsidR="00834483" w:rsidRDefault="00834483" w:rsidP="00E0035E">
      <w:pPr>
        <w:pStyle w:val="Body"/>
        <w:jc w:val="both"/>
        <w:rPr>
          <w:lang w:val="en-GB"/>
        </w:rPr>
      </w:pPr>
    </w:p>
    <w:p w:rsidR="00E73FD5" w:rsidRDefault="00E73FD5" w:rsidP="00E73FD5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 xml:space="preserve">Mr McDonald highlighted his plans to re-organise the NHSBSA’s senior management structure.  A formal consultation was due to commence on 14 August 2017 for two weeks.   Ms </w:t>
      </w:r>
      <w:proofErr w:type="spellStart"/>
      <w:r>
        <w:rPr>
          <w:bCs/>
          <w:lang w:val="en-GB"/>
        </w:rPr>
        <w:t>Maizey</w:t>
      </w:r>
      <w:proofErr w:type="spellEnd"/>
      <w:r>
        <w:rPr>
          <w:bCs/>
          <w:lang w:val="en-GB"/>
        </w:rPr>
        <w:t xml:space="preserve"> confirmed the proposals had been discussed and agreed by the Remuneration and Nominations Committee.</w:t>
      </w:r>
    </w:p>
    <w:p w:rsidR="009B22A9" w:rsidRDefault="009B22A9" w:rsidP="00E0035E">
      <w:pPr>
        <w:pStyle w:val="Body"/>
        <w:jc w:val="both"/>
        <w:rPr>
          <w:lang w:val="en-GB"/>
        </w:rPr>
      </w:pPr>
    </w:p>
    <w:p w:rsidR="00686168" w:rsidRDefault="00686168" w:rsidP="00686168">
      <w:pPr>
        <w:jc w:val="both"/>
        <w:rPr>
          <w:rFonts w:ascii="Arial" w:hAnsi="Arial" w:cs="Arial"/>
        </w:rPr>
      </w:pPr>
    </w:p>
    <w:p w:rsidR="00BC3F22" w:rsidRDefault="00BC3F22" w:rsidP="00BC3F22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BC3F22" w:rsidRDefault="00BC3F22" w:rsidP="00BC3F22">
      <w:pPr>
        <w:pStyle w:val="Body1"/>
        <w:rPr>
          <w:b/>
          <w:bCs/>
          <w:color w:val="0070C0"/>
          <w:lang w:val="en-GB"/>
        </w:rPr>
      </w:pPr>
    </w:p>
    <w:p w:rsidR="00834483" w:rsidRPr="002021AE" w:rsidRDefault="00BA0C4F" w:rsidP="00134BCB">
      <w:pPr>
        <w:pStyle w:val="Body"/>
        <w:tabs>
          <w:tab w:val="left" w:pos="851"/>
        </w:tabs>
        <w:jc w:val="both"/>
        <w:rPr>
          <w:lang w:val="en-GB"/>
        </w:rPr>
      </w:pPr>
      <w:r w:rsidRPr="004B06CB">
        <w:rPr>
          <w:lang w:val="en-GB"/>
        </w:rPr>
        <w:t>The next meeting was p</w:t>
      </w:r>
      <w:r w:rsidR="004B06CB" w:rsidRPr="004B06CB">
        <w:rPr>
          <w:lang w:val="en-GB"/>
        </w:rPr>
        <w:t xml:space="preserve">lanned for </w:t>
      </w:r>
      <w:r w:rsidR="00E73FD5">
        <w:rPr>
          <w:lang w:val="en-GB"/>
        </w:rPr>
        <w:t>14</w:t>
      </w:r>
      <w:r w:rsidR="008B5955" w:rsidRPr="008B5955">
        <w:rPr>
          <w:vertAlign w:val="superscript"/>
          <w:lang w:val="en-GB"/>
        </w:rPr>
        <w:t>th</w:t>
      </w:r>
      <w:r w:rsidR="008B5955">
        <w:rPr>
          <w:lang w:val="en-GB"/>
        </w:rPr>
        <w:t xml:space="preserve"> </w:t>
      </w:r>
      <w:r w:rsidR="00E73FD5">
        <w:rPr>
          <w:lang w:val="en-GB"/>
        </w:rPr>
        <w:t>September</w:t>
      </w:r>
      <w:r w:rsidR="006E618C" w:rsidRPr="002021AE">
        <w:rPr>
          <w:b/>
          <w:lang w:val="en-GB"/>
        </w:rPr>
        <w:t xml:space="preserve"> </w:t>
      </w:r>
      <w:r w:rsidR="00C811F7">
        <w:rPr>
          <w:lang w:val="en-GB"/>
        </w:rPr>
        <w:t>2017 at Stella House in Newcastle.</w:t>
      </w:r>
    </w:p>
    <w:p w:rsidR="00B12F98" w:rsidRPr="00BA0C4F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B12F98" w:rsidRPr="00BA0C4F" w:rsidSect="005D1587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CB" w:rsidRDefault="00D95ACB">
      <w:r>
        <w:separator/>
      </w:r>
    </w:p>
  </w:endnote>
  <w:endnote w:type="continuationSeparator" w:id="0">
    <w:p w:rsidR="00D95ACB" w:rsidRDefault="00D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ACB" w:rsidRDefault="00D95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ACB" w:rsidRDefault="00D95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CB" w:rsidRDefault="00D95ACB">
      <w:r>
        <w:separator/>
      </w:r>
    </w:p>
  </w:footnote>
  <w:footnote w:type="continuationSeparator" w:id="0">
    <w:p w:rsidR="00D95ACB" w:rsidRDefault="00D9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CB" w:rsidRPr="005D1587" w:rsidRDefault="00D95ACB" w:rsidP="005D1587">
    <w:pPr>
      <w:pStyle w:val="Header"/>
      <w:tabs>
        <w:tab w:val="clear" w:pos="8306"/>
      </w:tabs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256"/>
    <w:multiLevelType w:val="hybridMultilevel"/>
    <w:tmpl w:val="2E5E3B9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6D00906"/>
    <w:multiLevelType w:val="hybridMultilevel"/>
    <w:tmpl w:val="A002009E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8E7"/>
    <w:multiLevelType w:val="hybridMultilevel"/>
    <w:tmpl w:val="3874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2D4F"/>
    <w:multiLevelType w:val="hybridMultilevel"/>
    <w:tmpl w:val="E1F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45E"/>
    <w:multiLevelType w:val="hybridMultilevel"/>
    <w:tmpl w:val="32C07916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7A3D"/>
    <w:multiLevelType w:val="hybridMultilevel"/>
    <w:tmpl w:val="9E6A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B00"/>
    <w:multiLevelType w:val="hybridMultilevel"/>
    <w:tmpl w:val="3F26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EBF"/>
    <w:multiLevelType w:val="hybridMultilevel"/>
    <w:tmpl w:val="3D0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1221"/>
    <w:multiLevelType w:val="hybridMultilevel"/>
    <w:tmpl w:val="42CC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248A9"/>
    <w:multiLevelType w:val="hybridMultilevel"/>
    <w:tmpl w:val="A29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7C04"/>
    <w:multiLevelType w:val="hybridMultilevel"/>
    <w:tmpl w:val="F500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A66AA"/>
    <w:multiLevelType w:val="hybridMultilevel"/>
    <w:tmpl w:val="A69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67E1"/>
    <w:multiLevelType w:val="hybridMultilevel"/>
    <w:tmpl w:val="E19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023FA"/>
    <w:multiLevelType w:val="hybridMultilevel"/>
    <w:tmpl w:val="0A12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4668"/>
    <w:multiLevelType w:val="hybridMultilevel"/>
    <w:tmpl w:val="813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261C7"/>
    <w:multiLevelType w:val="hybridMultilevel"/>
    <w:tmpl w:val="CEDE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5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22AEB"/>
    <w:rsid w:val="00022D32"/>
    <w:rsid w:val="00086EFF"/>
    <w:rsid w:val="000B103F"/>
    <w:rsid w:val="000C5DFE"/>
    <w:rsid w:val="000C6383"/>
    <w:rsid w:val="000E0945"/>
    <w:rsid w:val="000F5624"/>
    <w:rsid w:val="000F7CC4"/>
    <w:rsid w:val="001064E5"/>
    <w:rsid w:val="00112A40"/>
    <w:rsid w:val="00134BCB"/>
    <w:rsid w:val="00136BCE"/>
    <w:rsid w:val="00147FBA"/>
    <w:rsid w:val="0015452B"/>
    <w:rsid w:val="001657B4"/>
    <w:rsid w:val="001728F1"/>
    <w:rsid w:val="001733B3"/>
    <w:rsid w:val="001A6E7A"/>
    <w:rsid w:val="001B732B"/>
    <w:rsid w:val="001D1102"/>
    <w:rsid w:val="001F0378"/>
    <w:rsid w:val="001F5EB7"/>
    <w:rsid w:val="002021AE"/>
    <w:rsid w:val="0021687F"/>
    <w:rsid w:val="00220F2F"/>
    <w:rsid w:val="00222C11"/>
    <w:rsid w:val="002360A9"/>
    <w:rsid w:val="002403C9"/>
    <w:rsid w:val="0024316E"/>
    <w:rsid w:val="00246D05"/>
    <w:rsid w:val="00260190"/>
    <w:rsid w:val="00265973"/>
    <w:rsid w:val="002864A9"/>
    <w:rsid w:val="002A789B"/>
    <w:rsid w:val="002B4914"/>
    <w:rsid w:val="002D22EE"/>
    <w:rsid w:val="002D320A"/>
    <w:rsid w:val="003050CB"/>
    <w:rsid w:val="003152D2"/>
    <w:rsid w:val="003528C7"/>
    <w:rsid w:val="00357CD3"/>
    <w:rsid w:val="0038112B"/>
    <w:rsid w:val="00382C73"/>
    <w:rsid w:val="0038689E"/>
    <w:rsid w:val="00395A23"/>
    <w:rsid w:val="003A05CC"/>
    <w:rsid w:val="003A5467"/>
    <w:rsid w:val="003B5FD0"/>
    <w:rsid w:val="003F1701"/>
    <w:rsid w:val="00443FB6"/>
    <w:rsid w:val="00454D1C"/>
    <w:rsid w:val="0048480F"/>
    <w:rsid w:val="0049638C"/>
    <w:rsid w:val="004B06CB"/>
    <w:rsid w:val="004E749D"/>
    <w:rsid w:val="00524D37"/>
    <w:rsid w:val="0052700F"/>
    <w:rsid w:val="0054528F"/>
    <w:rsid w:val="00572A9D"/>
    <w:rsid w:val="005D1587"/>
    <w:rsid w:val="005D4CFC"/>
    <w:rsid w:val="00617ABF"/>
    <w:rsid w:val="00637EED"/>
    <w:rsid w:val="006451BA"/>
    <w:rsid w:val="0065470B"/>
    <w:rsid w:val="0067231D"/>
    <w:rsid w:val="00676E0F"/>
    <w:rsid w:val="00686168"/>
    <w:rsid w:val="006E0890"/>
    <w:rsid w:val="006E618C"/>
    <w:rsid w:val="007179EE"/>
    <w:rsid w:val="0072775F"/>
    <w:rsid w:val="00736994"/>
    <w:rsid w:val="0074327A"/>
    <w:rsid w:val="007461A3"/>
    <w:rsid w:val="00746261"/>
    <w:rsid w:val="007674E5"/>
    <w:rsid w:val="00781300"/>
    <w:rsid w:val="0079431B"/>
    <w:rsid w:val="00797F0C"/>
    <w:rsid w:val="007B7D82"/>
    <w:rsid w:val="007D29E9"/>
    <w:rsid w:val="008007E5"/>
    <w:rsid w:val="008042BD"/>
    <w:rsid w:val="00834483"/>
    <w:rsid w:val="00834A73"/>
    <w:rsid w:val="008512E2"/>
    <w:rsid w:val="00854401"/>
    <w:rsid w:val="00862215"/>
    <w:rsid w:val="00867B35"/>
    <w:rsid w:val="008801EC"/>
    <w:rsid w:val="00891F33"/>
    <w:rsid w:val="008927BB"/>
    <w:rsid w:val="00894AE1"/>
    <w:rsid w:val="008B5955"/>
    <w:rsid w:val="009003B6"/>
    <w:rsid w:val="0090192F"/>
    <w:rsid w:val="00915FDA"/>
    <w:rsid w:val="009303A5"/>
    <w:rsid w:val="00931259"/>
    <w:rsid w:val="00933ECA"/>
    <w:rsid w:val="00943D0D"/>
    <w:rsid w:val="0094765F"/>
    <w:rsid w:val="00961355"/>
    <w:rsid w:val="00970D51"/>
    <w:rsid w:val="00980940"/>
    <w:rsid w:val="00990E6A"/>
    <w:rsid w:val="00991B72"/>
    <w:rsid w:val="009A3395"/>
    <w:rsid w:val="009A7A1B"/>
    <w:rsid w:val="009B22A9"/>
    <w:rsid w:val="009C15BD"/>
    <w:rsid w:val="009C2EFF"/>
    <w:rsid w:val="009E1C50"/>
    <w:rsid w:val="009F1A97"/>
    <w:rsid w:val="00A03F8F"/>
    <w:rsid w:val="00A3784D"/>
    <w:rsid w:val="00A5285C"/>
    <w:rsid w:val="00A55D21"/>
    <w:rsid w:val="00A630AB"/>
    <w:rsid w:val="00A65A97"/>
    <w:rsid w:val="00A85E99"/>
    <w:rsid w:val="00AE24C1"/>
    <w:rsid w:val="00AE6336"/>
    <w:rsid w:val="00AF1268"/>
    <w:rsid w:val="00AF49F4"/>
    <w:rsid w:val="00B001C1"/>
    <w:rsid w:val="00B10409"/>
    <w:rsid w:val="00B104F8"/>
    <w:rsid w:val="00B12F98"/>
    <w:rsid w:val="00B176D6"/>
    <w:rsid w:val="00B91BD9"/>
    <w:rsid w:val="00B92288"/>
    <w:rsid w:val="00B94239"/>
    <w:rsid w:val="00B94A72"/>
    <w:rsid w:val="00BA0C4F"/>
    <w:rsid w:val="00BC3F22"/>
    <w:rsid w:val="00BC5D91"/>
    <w:rsid w:val="00BC629C"/>
    <w:rsid w:val="00BD4C7C"/>
    <w:rsid w:val="00C029DC"/>
    <w:rsid w:val="00C073BC"/>
    <w:rsid w:val="00C16BD9"/>
    <w:rsid w:val="00C16F4C"/>
    <w:rsid w:val="00C24B09"/>
    <w:rsid w:val="00C26EC0"/>
    <w:rsid w:val="00C40C87"/>
    <w:rsid w:val="00C45813"/>
    <w:rsid w:val="00C46224"/>
    <w:rsid w:val="00C46E44"/>
    <w:rsid w:val="00C811F7"/>
    <w:rsid w:val="00CA6BA0"/>
    <w:rsid w:val="00CB2950"/>
    <w:rsid w:val="00CE48A3"/>
    <w:rsid w:val="00CE6DEF"/>
    <w:rsid w:val="00D1793C"/>
    <w:rsid w:val="00D509FB"/>
    <w:rsid w:val="00D555AA"/>
    <w:rsid w:val="00D70318"/>
    <w:rsid w:val="00D760C2"/>
    <w:rsid w:val="00D8402D"/>
    <w:rsid w:val="00D95ACB"/>
    <w:rsid w:val="00DC5E11"/>
    <w:rsid w:val="00DF258B"/>
    <w:rsid w:val="00DF2E95"/>
    <w:rsid w:val="00DF5016"/>
    <w:rsid w:val="00E0035E"/>
    <w:rsid w:val="00E1020F"/>
    <w:rsid w:val="00E21BBA"/>
    <w:rsid w:val="00E33BB1"/>
    <w:rsid w:val="00E44447"/>
    <w:rsid w:val="00E4658E"/>
    <w:rsid w:val="00E73FD5"/>
    <w:rsid w:val="00E75559"/>
    <w:rsid w:val="00EA11B9"/>
    <w:rsid w:val="00EA5532"/>
    <w:rsid w:val="00EB09E3"/>
    <w:rsid w:val="00EB379A"/>
    <w:rsid w:val="00ED2FE5"/>
    <w:rsid w:val="00EE2FF6"/>
    <w:rsid w:val="00EE569F"/>
    <w:rsid w:val="00EF1FE0"/>
    <w:rsid w:val="00F00D0D"/>
    <w:rsid w:val="00F04441"/>
    <w:rsid w:val="00F14CA7"/>
    <w:rsid w:val="00F243E7"/>
    <w:rsid w:val="00F34786"/>
    <w:rsid w:val="00F61DB3"/>
    <w:rsid w:val="00FB5643"/>
    <w:rsid w:val="00FC3048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39B059-D8AE-4DD9-9778-F7644956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David Jukes</cp:lastModifiedBy>
  <cp:revision>13</cp:revision>
  <cp:lastPrinted>2017-06-20T07:57:00Z</cp:lastPrinted>
  <dcterms:created xsi:type="dcterms:W3CDTF">2017-08-16T14:26:00Z</dcterms:created>
  <dcterms:modified xsi:type="dcterms:W3CDTF">2017-09-27T11:06:00Z</dcterms:modified>
</cp:coreProperties>
</file>