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F6905B" wp14:editId="510CA33D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7559675" cy="1736090"/>
            <wp:effectExtent l="0" t="0" r="3175" b="0"/>
            <wp:wrapSquare wrapText="bothSides"/>
            <wp:docPr id="1" name="Picture 1" descr="Description: P:\07 Communications\Publications - Nicky\Identity and Branding\01.New artwork - 08.2016\01.Swish artwork - July 2016\Swish artwork - Jpgs\Corporate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:\07 Communications\Publications - Nicky\Identity and Branding\01.New artwork - 08.2016\01.Swish artwork - July 2016\Swish artwork - Jpgs\Corporate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5D1587" w:rsidRDefault="006E0890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held at 1</w:t>
      </w:r>
      <w:r w:rsidR="0021687F">
        <w:rPr>
          <w:rFonts w:ascii="Arial" w:hAnsi="Arial" w:cs="Arial"/>
          <w:b/>
          <w:color w:val="005EB8"/>
          <w:sz w:val="28"/>
        </w:rPr>
        <w:t>0</w:t>
      </w:r>
      <w:r w:rsidR="00095D51">
        <w:rPr>
          <w:rFonts w:ascii="Arial" w:hAnsi="Arial" w:cs="Arial"/>
          <w:b/>
          <w:color w:val="005EB8"/>
          <w:sz w:val="28"/>
        </w:rPr>
        <w:t>.30</w:t>
      </w:r>
      <w:r w:rsidR="005D1587">
        <w:rPr>
          <w:rFonts w:ascii="Arial" w:hAnsi="Arial" w:cs="Arial"/>
          <w:b/>
          <w:color w:val="005EB8"/>
          <w:sz w:val="28"/>
        </w:rPr>
        <w:t xml:space="preserve">am on </w:t>
      </w:r>
      <w:r w:rsidR="00095D51">
        <w:rPr>
          <w:rFonts w:ascii="Arial" w:hAnsi="Arial" w:cs="Arial"/>
          <w:b/>
          <w:color w:val="005EB8"/>
          <w:sz w:val="28"/>
        </w:rPr>
        <w:t>14 September</w:t>
      </w:r>
      <w:r w:rsidR="005D1587">
        <w:rPr>
          <w:rFonts w:ascii="Arial" w:hAnsi="Arial" w:cs="Arial"/>
          <w:b/>
          <w:color w:val="005EB8"/>
          <w:sz w:val="28"/>
        </w:rPr>
        <w:t xml:space="preserve"> 2017</w:t>
      </w:r>
    </w:p>
    <w:p w:rsidR="00834483" w:rsidRPr="00BA0C4F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095D51" w:rsidRDefault="00095D51" w:rsidP="00095D51">
      <w:pPr>
        <w:pStyle w:val="Body"/>
        <w:jc w:val="both"/>
        <w:rPr>
          <w:lang w:val="en-GB"/>
        </w:rPr>
      </w:pPr>
      <w:r w:rsidRPr="00237599">
        <w:rPr>
          <w:lang w:val="en-GB"/>
        </w:rPr>
        <w:t>Mark Ellerby</w:t>
      </w:r>
      <w:r w:rsidRPr="00237599">
        <w:rPr>
          <w:lang w:val="en-GB"/>
        </w:rPr>
        <w:tab/>
      </w:r>
      <w:r w:rsidRPr="00237599">
        <w:rPr>
          <w:lang w:val="en-GB"/>
        </w:rPr>
        <w:tab/>
      </w:r>
      <w:r w:rsidRPr="00237599">
        <w:rPr>
          <w:lang w:val="en-GB"/>
        </w:rPr>
        <w:tab/>
        <w:t>Non-Executive Director and Acting Chair</w:t>
      </w:r>
    </w:p>
    <w:p w:rsidR="00095D51" w:rsidRPr="00BA0C4F" w:rsidRDefault="00095D51" w:rsidP="00095D51">
      <w:pPr>
        <w:pStyle w:val="Body"/>
        <w:jc w:val="both"/>
        <w:rPr>
          <w:lang w:val="en-GB"/>
        </w:rPr>
      </w:pPr>
      <w:r w:rsidRPr="00BA0C4F">
        <w:rPr>
          <w:lang w:val="en-GB"/>
        </w:rPr>
        <w:t xml:space="preserve">Alistair McDonald </w:t>
      </w:r>
      <w:r w:rsidRPr="00BA0C4F">
        <w:rPr>
          <w:lang w:val="en-GB"/>
        </w:rPr>
        <w:tab/>
      </w:r>
      <w:r w:rsidRPr="00BA0C4F">
        <w:rPr>
          <w:lang w:val="en-GB"/>
        </w:rPr>
        <w:tab/>
        <w:t xml:space="preserve">Chief Executive </w:t>
      </w:r>
    </w:p>
    <w:p w:rsidR="00095D51" w:rsidRDefault="00095D51" w:rsidP="00095D51">
      <w:pPr>
        <w:pStyle w:val="Body"/>
        <w:jc w:val="both"/>
        <w:rPr>
          <w:lang w:val="en-GB"/>
        </w:rPr>
      </w:pPr>
      <w:r w:rsidRPr="00BA0C4F">
        <w:rPr>
          <w:lang w:val="en-GB"/>
        </w:rPr>
        <w:t>Debra Bailey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Non-Executive Director</w:t>
      </w:r>
    </w:p>
    <w:p w:rsidR="00095D51" w:rsidRPr="00126BB2" w:rsidRDefault="00095D51" w:rsidP="00095D51">
      <w:pPr>
        <w:pStyle w:val="Body"/>
        <w:jc w:val="both"/>
        <w:rPr>
          <w:lang w:val="en-GB"/>
        </w:rPr>
      </w:pPr>
      <w:r w:rsidRPr="00126BB2">
        <w:rPr>
          <w:lang w:val="en-GB"/>
        </w:rPr>
        <w:t>Andrew Flanagan</w:t>
      </w:r>
      <w:r w:rsidRPr="00126BB2">
        <w:rPr>
          <w:lang w:val="en-GB"/>
        </w:rPr>
        <w:tab/>
      </w:r>
      <w:r w:rsidRPr="00126BB2">
        <w:rPr>
          <w:lang w:val="en-GB"/>
        </w:rPr>
        <w:tab/>
        <w:t>Non-Executive Director</w:t>
      </w:r>
    </w:p>
    <w:p w:rsidR="00095D51" w:rsidRPr="00126BB2" w:rsidRDefault="00095D51" w:rsidP="00095D51">
      <w:pPr>
        <w:pStyle w:val="Body"/>
        <w:jc w:val="both"/>
        <w:rPr>
          <w:lang w:val="en-GB"/>
        </w:rPr>
      </w:pPr>
      <w:r w:rsidRPr="00126BB2">
        <w:rPr>
          <w:lang w:val="en-GB"/>
        </w:rPr>
        <w:t>Tim Nolan</w:t>
      </w:r>
      <w:r w:rsidRPr="00126BB2">
        <w:rPr>
          <w:lang w:val="en-GB"/>
        </w:rPr>
        <w:tab/>
      </w:r>
      <w:r w:rsidRPr="00126BB2">
        <w:rPr>
          <w:lang w:val="en-GB"/>
        </w:rPr>
        <w:tab/>
      </w:r>
      <w:r w:rsidRPr="00126BB2">
        <w:rPr>
          <w:lang w:val="en-GB"/>
        </w:rPr>
        <w:tab/>
        <w:t>Non-Executive Director</w:t>
      </w:r>
      <w:r w:rsidRPr="00126BB2">
        <w:rPr>
          <w:lang w:val="en-GB"/>
        </w:rPr>
        <w:tab/>
      </w:r>
    </w:p>
    <w:p w:rsidR="00095D51" w:rsidRPr="00126BB2" w:rsidRDefault="00095D51" w:rsidP="00095D51">
      <w:pPr>
        <w:pStyle w:val="Body"/>
        <w:ind w:left="2880" w:hanging="2880"/>
        <w:jc w:val="both"/>
        <w:rPr>
          <w:lang w:val="en-GB"/>
        </w:rPr>
      </w:pPr>
      <w:r w:rsidRPr="00126BB2">
        <w:rPr>
          <w:lang w:val="en-GB"/>
        </w:rPr>
        <w:t>Mark Dibble</w:t>
      </w:r>
      <w:r w:rsidRPr="00126BB2">
        <w:rPr>
          <w:lang w:val="en-GB"/>
        </w:rPr>
        <w:tab/>
        <w:t>Director of Corporate Services and Corpo</w:t>
      </w:r>
      <w:r w:rsidR="00F8240A">
        <w:rPr>
          <w:lang w:val="en-GB"/>
        </w:rPr>
        <w:t>rate Secretary (from item 2</w:t>
      </w:r>
      <w:r w:rsidRPr="00126BB2">
        <w:rPr>
          <w:lang w:val="en-GB"/>
        </w:rPr>
        <w:t>)</w:t>
      </w:r>
    </w:p>
    <w:p w:rsidR="00095D51" w:rsidRPr="00126BB2" w:rsidRDefault="00095D51" w:rsidP="00095D51">
      <w:pPr>
        <w:pStyle w:val="Body"/>
        <w:ind w:left="2880" w:hanging="2880"/>
        <w:jc w:val="both"/>
        <w:rPr>
          <w:lang w:val="en-GB"/>
        </w:rPr>
      </w:pPr>
      <w:r w:rsidRPr="00126BB2">
        <w:rPr>
          <w:lang w:val="en-GB"/>
        </w:rPr>
        <w:t>Patrick McGahon</w:t>
      </w:r>
      <w:r w:rsidRPr="00126BB2">
        <w:rPr>
          <w:lang w:val="en-GB"/>
        </w:rPr>
        <w:tab/>
        <w:t xml:space="preserve">Director of Finance </w:t>
      </w:r>
      <w:r w:rsidR="00F8240A">
        <w:rPr>
          <w:lang w:val="en-GB"/>
        </w:rPr>
        <w:t>and Commercial (from item 2</w:t>
      </w:r>
      <w:r w:rsidRPr="00126BB2">
        <w:rPr>
          <w:lang w:val="en-GB"/>
        </w:rPr>
        <w:t>)</w:t>
      </w:r>
    </w:p>
    <w:p w:rsidR="00834483" w:rsidRPr="00BA0C4F" w:rsidRDefault="00834483">
      <w:pPr>
        <w:pStyle w:val="Body"/>
        <w:ind w:firstLine="720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Default="00834483">
      <w:pPr>
        <w:pStyle w:val="Body"/>
        <w:jc w:val="both"/>
        <w:rPr>
          <w:lang w:val="en-GB"/>
        </w:rPr>
      </w:pPr>
    </w:p>
    <w:p w:rsidR="00095D51" w:rsidRPr="00126BB2" w:rsidRDefault="00095D51" w:rsidP="00095D51">
      <w:pPr>
        <w:pStyle w:val="Body"/>
        <w:jc w:val="both"/>
        <w:rPr>
          <w:lang w:val="en-GB"/>
        </w:rPr>
      </w:pPr>
      <w:r w:rsidRPr="00126BB2">
        <w:rPr>
          <w:lang w:val="en-GB"/>
        </w:rPr>
        <w:t>Nigel Zaman</w:t>
      </w:r>
      <w:r w:rsidRPr="00126BB2">
        <w:rPr>
          <w:lang w:val="en-GB"/>
        </w:rPr>
        <w:tab/>
      </w:r>
      <w:r w:rsidRPr="00126BB2">
        <w:rPr>
          <w:lang w:val="en-GB"/>
        </w:rPr>
        <w:tab/>
      </w:r>
      <w:r w:rsidRPr="00126BB2">
        <w:rPr>
          <w:lang w:val="en-GB"/>
        </w:rPr>
        <w:tab/>
        <w:t>Department of Health</w:t>
      </w:r>
      <w:r w:rsidRPr="00126BB2">
        <w:rPr>
          <w:lang w:val="en-GB"/>
        </w:rPr>
        <w:tab/>
      </w:r>
    </w:p>
    <w:p w:rsidR="00095D51" w:rsidRPr="00126BB2" w:rsidRDefault="00095D51" w:rsidP="00095D51">
      <w:pPr>
        <w:pStyle w:val="Body"/>
        <w:ind w:left="2880" w:hanging="2880"/>
        <w:jc w:val="both"/>
        <w:rPr>
          <w:lang w:val="en-GB"/>
        </w:rPr>
      </w:pPr>
      <w:r w:rsidRPr="00126BB2">
        <w:rPr>
          <w:lang w:val="en-GB"/>
        </w:rPr>
        <w:t>Neale Blevins</w:t>
      </w:r>
      <w:r w:rsidRPr="00126BB2">
        <w:rPr>
          <w:lang w:val="en-GB"/>
        </w:rPr>
        <w:tab/>
        <w:t xml:space="preserve">Safety, Health and </w:t>
      </w:r>
      <w:r w:rsidR="00F8240A">
        <w:rPr>
          <w:lang w:val="en-GB"/>
        </w:rPr>
        <w:t>Environment Manager (item 5</w:t>
      </w:r>
      <w:r w:rsidRPr="00126BB2">
        <w:rPr>
          <w:lang w:val="en-GB"/>
        </w:rPr>
        <w:t xml:space="preserve"> only)</w:t>
      </w:r>
    </w:p>
    <w:p w:rsidR="00095D51" w:rsidRDefault="00095D51" w:rsidP="00095D51">
      <w:pPr>
        <w:pStyle w:val="Body"/>
        <w:jc w:val="both"/>
        <w:rPr>
          <w:lang w:val="en-GB"/>
        </w:rPr>
      </w:pPr>
      <w:r w:rsidRPr="00126BB2">
        <w:rPr>
          <w:lang w:val="en-GB"/>
        </w:rPr>
        <w:t>David Jukes</w:t>
      </w:r>
      <w:r w:rsidRPr="00126BB2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Head of Governance and </w:t>
      </w:r>
      <w:r w:rsidRPr="00126BB2">
        <w:rPr>
          <w:lang w:val="en-GB"/>
        </w:rPr>
        <w:t>Secretary to the Board</w:t>
      </w:r>
    </w:p>
    <w:p w:rsidR="00220F2F" w:rsidRPr="00BA0C4F" w:rsidRDefault="00220F2F">
      <w:pPr>
        <w:pStyle w:val="Body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</w:t>
      </w:r>
      <w:r w:rsidR="005D1587" w:rsidRPr="005D1587">
        <w:rPr>
          <w:b/>
          <w:bCs/>
          <w:color w:val="0070C0"/>
          <w:lang w:val="en-GB"/>
        </w:rPr>
        <w:t>:</w:t>
      </w:r>
    </w:p>
    <w:p w:rsidR="0065470B" w:rsidRDefault="0065470B">
      <w:pPr>
        <w:pStyle w:val="Body"/>
        <w:jc w:val="both"/>
        <w:rPr>
          <w:lang w:val="en-GB"/>
        </w:rPr>
      </w:pPr>
    </w:p>
    <w:p w:rsidR="0021687F" w:rsidRDefault="00095D51">
      <w:pPr>
        <w:pStyle w:val="Body"/>
        <w:jc w:val="both"/>
        <w:rPr>
          <w:lang w:val="en-GB"/>
        </w:rPr>
      </w:pPr>
      <w:r w:rsidRPr="00126BB2">
        <w:rPr>
          <w:lang w:val="en-GB"/>
        </w:rPr>
        <w:t>Silla Maizey</w:t>
      </w:r>
      <w:r w:rsidR="0021687F">
        <w:rPr>
          <w:lang w:val="en-GB"/>
        </w:rPr>
        <w:tab/>
      </w:r>
      <w:r w:rsidR="0021687F">
        <w:rPr>
          <w:lang w:val="en-GB"/>
        </w:rPr>
        <w:tab/>
      </w:r>
      <w:r w:rsidR="0021687F">
        <w:rPr>
          <w:lang w:val="en-GB"/>
        </w:rPr>
        <w:tab/>
      </w:r>
      <w:r>
        <w:rPr>
          <w:lang w:val="en-GB"/>
        </w:rPr>
        <w:t>Chair</w:t>
      </w:r>
    </w:p>
    <w:p w:rsidR="00834483" w:rsidRPr="001657B4" w:rsidRDefault="006E0890">
      <w:pPr>
        <w:pStyle w:val="Body"/>
        <w:jc w:val="both"/>
        <w:rPr>
          <w:lang w:val="en-GB"/>
        </w:rPr>
      </w:pPr>
      <w:r w:rsidRPr="001657B4">
        <w:rPr>
          <w:lang w:val="en-GB"/>
        </w:rPr>
        <w:t>Ben Masterson</w:t>
      </w:r>
      <w:r w:rsidR="0065470B">
        <w:rPr>
          <w:lang w:val="en-GB"/>
        </w:rPr>
        <w:tab/>
      </w:r>
      <w:r w:rsidR="00746261">
        <w:rPr>
          <w:lang w:val="en-GB"/>
        </w:rPr>
        <w:tab/>
      </w:r>
      <w:r w:rsidR="005D1587">
        <w:rPr>
          <w:lang w:val="en-GB"/>
        </w:rPr>
        <w:t>DH</w:t>
      </w:r>
    </w:p>
    <w:p w:rsidR="00834483" w:rsidRDefault="00834483">
      <w:pPr>
        <w:pStyle w:val="Body"/>
        <w:jc w:val="both"/>
        <w:rPr>
          <w:lang w:val="en-GB"/>
        </w:rPr>
      </w:pPr>
    </w:p>
    <w:p w:rsidR="00095D51" w:rsidRDefault="00095D51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>
        <w:rPr>
          <w:b/>
          <w:bCs/>
          <w:color w:val="0070C0"/>
          <w:lang w:val="en-GB"/>
        </w:rPr>
        <w:t>Executive Director Proposals</w:t>
      </w:r>
    </w:p>
    <w:p w:rsidR="00F6245C" w:rsidRDefault="00F6245C" w:rsidP="00F6245C">
      <w:pPr>
        <w:pStyle w:val="Body"/>
        <w:jc w:val="both"/>
        <w:rPr>
          <w:lang w:val="en-GB"/>
        </w:rPr>
      </w:pPr>
    </w:p>
    <w:p w:rsidR="00F6245C" w:rsidRPr="00126BB2" w:rsidRDefault="00F6245C" w:rsidP="00F6245C">
      <w:pPr>
        <w:pStyle w:val="Body"/>
        <w:jc w:val="both"/>
        <w:rPr>
          <w:lang w:val="en-GB"/>
        </w:rPr>
      </w:pPr>
      <w:r w:rsidRPr="00126BB2">
        <w:rPr>
          <w:lang w:val="en-GB"/>
        </w:rPr>
        <w:t xml:space="preserve">The Board </w:t>
      </w:r>
      <w:r w:rsidRPr="00126BB2">
        <w:rPr>
          <w:b/>
          <w:lang w:val="en-GB"/>
        </w:rPr>
        <w:t>APPROVED</w:t>
      </w:r>
      <w:r w:rsidRPr="00126BB2">
        <w:rPr>
          <w:lang w:val="en-GB"/>
        </w:rPr>
        <w:t xml:space="preserve"> and agreed to </w:t>
      </w:r>
      <w:r w:rsidRPr="00126BB2">
        <w:rPr>
          <w:b/>
          <w:lang w:val="en-GB"/>
        </w:rPr>
        <w:t>APPOINT</w:t>
      </w:r>
      <w:r w:rsidRPr="00126BB2">
        <w:rPr>
          <w:lang w:val="en-GB"/>
        </w:rPr>
        <w:t xml:space="preserve"> the new officer members of the Board – Mark Dibble, Executive Director of Corporate Services and Corporate Secretary; and, in principle - the Executive Director of Strategy, Business Development and Growth. This would be approved in due course when an individual was nominated for appointment. </w:t>
      </w:r>
    </w:p>
    <w:p w:rsidR="00F6245C" w:rsidRPr="00126BB2" w:rsidRDefault="00F6245C" w:rsidP="00F6245C">
      <w:pPr>
        <w:pStyle w:val="Body"/>
        <w:jc w:val="both"/>
        <w:rPr>
          <w:lang w:val="en-GB"/>
        </w:rPr>
      </w:pPr>
    </w:p>
    <w:p w:rsidR="00F6245C" w:rsidRPr="00BA0C4F" w:rsidRDefault="00F6245C" w:rsidP="00F6245C">
      <w:pPr>
        <w:pStyle w:val="Body"/>
        <w:jc w:val="both"/>
        <w:rPr>
          <w:lang w:val="en-GB"/>
        </w:rPr>
      </w:pPr>
      <w:r w:rsidRPr="00126BB2">
        <w:rPr>
          <w:lang w:val="en-GB"/>
        </w:rPr>
        <w:t xml:space="preserve">The Board </w:t>
      </w:r>
      <w:r w:rsidRPr="00126BB2">
        <w:rPr>
          <w:b/>
          <w:lang w:val="en-GB"/>
        </w:rPr>
        <w:t>APPROVED</w:t>
      </w:r>
      <w:r w:rsidRPr="00126BB2">
        <w:rPr>
          <w:lang w:val="en-GB"/>
        </w:rPr>
        <w:t xml:space="preserve"> the resignation of Steven Pink, Director of Change and Commercial Delivery, and as officer member of the Board on 30 August</w:t>
      </w:r>
      <w:r>
        <w:rPr>
          <w:lang w:val="en-GB"/>
        </w:rPr>
        <w:t xml:space="preserve"> 2017. This role was not included in the new directorate structure. </w:t>
      </w:r>
    </w:p>
    <w:p w:rsidR="00F6245C" w:rsidRPr="001657B4" w:rsidRDefault="00F6245C" w:rsidP="00F6245C">
      <w:pPr>
        <w:pStyle w:val="Body"/>
        <w:jc w:val="both"/>
        <w:rPr>
          <w:lang w:val="en-GB"/>
        </w:rPr>
      </w:pPr>
    </w:p>
    <w:p w:rsidR="00F6245C" w:rsidRDefault="00F6245C" w:rsidP="00F6245C">
      <w:pPr>
        <w:pStyle w:val="Body"/>
        <w:jc w:val="both"/>
        <w:rPr>
          <w:lang w:val="en-GB"/>
        </w:rPr>
      </w:pPr>
      <w:r>
        <w:rPr>
          <w:lang w:val="en-GB"/>
        </w:rPr>
        <w:t>The Board thanked Mr Pink for his hard work and dedication to the NHSBSA, and wished him well in his future role.</w:t>
      </w:r>
    </w:p>
    <w:p w:rsidR="00095D51" w:rsidRPr="00095D51" w:rsidRDefault="00095D51" w:rsidP="00095D51">
      <w:pPr>
        <w:pStyle w:val="Body"/>
        <w:jc w:val="both"/>
        <w:rPr>
          <w:b/>
          <w:bCs/>
          <w:lang w:val="en-GB"/>
        </w:rPr>
      </w:pPr>
    </w:p>
    <w:p w:rsidR="00834483" w:rsidRPr="0065470B" w:rsidRDefault="00BA0C4F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 w:rsidRPr="0065470B">
        <w:rPr>
          <w:b/>
          <w:bCs/>
          <w:color w:val="0070C0"/>
          <w:lang w:val="en-GB"/>
        </w:rPr>
        <w:t>Chief Executive’s Report</w:t>
      </w:r>
    </w:p>
    <w:p w:rsidR="00834483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9C2EFF" w:rsidRDefault="007B7D82" w:rsidP="00265973">
      <w:pPr>
        <w:pStyle w:val="Body"/>
        <w:jc w:val="both"/>
        <w:rPr>
          <w:lang w:val="en-GB"/>
        </w:rPr>
      </w:pPr>
      <w:r>
        <w:rPr>
          <w:lang w:val="en-GB"/>
        </w:rPr>
        <w:t>M</w:t>
      </w:r>
      <w:r w:rsidR="0021687F">
        <w:rPr>
          <w:lang w:val="en-GB"/>
        </w:rPr>
        <w:t>r McDonald</w:t>
      </w:r>
      <w:r>
        <w:rPr>
          <w:lang w:val="en-GB"/>
        </w:rPr>
        <w:t xml:space="preserve"> introduced the</w:t>
      </w:r>
      <w:r w:rsidR="00BA0C4F" w:rsidRPr="00BA0C4F">
        <w:rPr>
          <w:lang w:val="en-GB"/>
        </w:rPr>
        <w:t xml:space="preserve"> report, </w:t>
      </w:r>
      <w:r w:rsidR="00CE6DEF">
        <w:rPr>
          <w:lang w:val="en-GB"/>
        </w:rPr>
        <w:t>which included</w:t>
      </w:r>
      <w:r w:rsidR="00290C42">
        <w:rPr>
          <w:lang w:val="en-GB"/>
        </w:rPr>
        <w:t xml:space="preserve"> details on</w:t>
      </w:r>
      <w:r w:rsidR="00CE6DEF">
        <w:rPr>
          <w:lang w:val="en-GB"/>
        </w:rPr>
        <w:t>:</w:t>
      </w:r>
      <w:r w:rsidR="00BA0C4F" w:rsidRPr="00BA0C4F">
        <w:rPr>
          <w:lang w:val="en-GB"/>
        </w:rPr>
        <w:t xml:space="preserve">  </w:t>
      </w:r>
    </w:p>
    <w:p w:rsidR="001D1102" w:rsidRDefault="001D1102" w:rsidP="00736994">
      <w:pPr>
        <w:pStyle w:val="Body"/>
        <w:ind w:left="567"/>
        <w:jc w:val="both"/>
        <w:rPr>
          <w:lang w:val="en-GB"/>
        </w:rPr>
      </w:pPr>
    </w:p>
    <w:p w:rsidR="00290C42" w:rsidRDefault="00290C42" w:rsidP="00290C42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Work being undertaken by NHS Digital on understanding the enhancements needed in the Electronic Prescription Service (EPS);</w:t>
      </w:r>
    </w:p>
    <w:p w:rsidR="00290C42" w:rsidRPr="00290C42" w:rsidRDefault="00290C42" w:rsidP="00290C42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 w:rsidRPr="00290C42">
        <w:rPr>
          <w:rFonts w:eastAsia="Times New Roman" w:cs="Arial"/>
        </w:rPr>
        <w:t>NHS England Consultation on Guidance for CCGs: Items which should not be routinely prescribed in primary care</w:t>
      </w:r>
      <w:r>
        <w:rPr>
          <w:rFonts w:eastAsia="Times New Roman" w:cs="Arial"/>
        </w:rPr>
        <w:t>;</w:t>
      </w:r>
    </w:p>
    <w:p w:rsidR="00290C42" w:rsidRPr="00290C42" w:rsidRDefault="00290C42" w:rsidP="00290C42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 w:rsidRPr="00290C42">
        <w:rPr>
          <w:rFonts w:eastAsia="Times New Roman" w:cs="Arial"/>
        </w:rPr>
        <w:t>NHS Improvement – Securing a sustainable NHS workforce for the future</w:t>
      </w:r>
      <w:r>
        <w:rPr>
          <w:rFonts w:eastAsia="Times New Roman" w:cs="Arial"/>
        </w:rPr>
        <w:t>;</w:t>
      </w:r>
    </w:p>
    <w:p w:rsidR="00290C42" w:rsidRPr="00E56E3A" w:rsidRDefault="00290C42" w:rsidP="00290C42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 w:rsidRPr="00290C42">
        <w:rPr>
          <w:rFonts w:eastAsia="Times New Roman" w:cs="Arial"/>
        </w:rPr>
        <w:t>The Brexit Health Alliance</w:t>
      </w:r>
      <w:r>
        <w:rPr>
          <w:rFonts w:eastAsia="Times New Roman" w:cs="Arial"/>
        </w:rPr>
        <w:t>;</w:t>
      </w:r>
    </w:p>
    <w:p w:rsidR="002A5481" w:rsidRPr="002A5481" w:rsidRDefault="002A5481" w:rsidP="00E56E3A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 w:rsidRPr="002A5481">
        <w:rPr>
          <w:rFonts w:cs="Arial"/>
        </w:rPr>
        <w:t>DH Procurement Transformation Programme</w:t>
      </w:r>
      <w:r>
        <w:rPr>
          <w:rFonts w:cs="Arial"/>
        </w:rPr>
        <w:t xml:space="preserve">; </w:t>
      </w:r>
    </w:p>
    <w:p w:rsidR="00E56E3A" w:rsidRDefault="00E56E3A" w:rsidP="00E56E3A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NHSBSA Directorate Structure update, and</w:t>
      </w:r>
    </w:p>
    <w:p w:rsidR="00E56E3A" w:rsidRPr="00E56E3A" w:rsidRDefault="00E56E3A" w:rsidP="00E56E3A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 w:rsidRPr="00E56E3A">
        <w:rPr>
          <w:rFonts w:eastAsia="Times New Roman" w:cs="Arial"/>
        </w:rPr>
        <w:t>New Appointments of SIRO and Caldicott Guardian.</w:t>
      </w:r>
    </w:p>
    <w:p w:rsidR="00834483" w:rsidRPr="00BA0C4F" w:rsidRDefault="00834483" w:rsidP="00E56E3A">
      <w:pPr>
        <w:pStyle w:val="Body"/>
        <w:jc w:val="both"/>
        <w:rPr>
          <w:lang w:val="en-GB"/>
        </w:rPr>
      </w:pPr>
    </w:p>
    <w:p w:rsidR="002D22EE" w:rsidRDefault="002D22EE" w:rsidP="002D22EE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>
        <w:rPr>
          <w:rFonts w:cs="Arial"/>
          <w:b/>
        </w:rPr>
        <w:t>NOTED</w:t>
      </w:r>
      <w:r>
        <w:rPr>
          <w:rFonts w:cs="Arial"/>
        </w:rPr>
        <w:t xml:space="preserve"> the Chief Executive’s report.</w:t>
      </w:r>
    </w:p>
    <w:p w:rsidR="003B5FD0" w:rsidRDefault="003B5FD0" w:rsidP="002D22EE">
      <w:pPr>
        <w:pStyle w:val="ListParagraph"/>
        <w:ind w:left="0"/>
        <w:rPr>
          <w:rFonts w:cs="Arial"/>
        </w:rPr>
      </w:pPr>
    </w:p>
    <w:p w:rsidR="00834483" w:rsidRDefault="00E56E3A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Business Performance Report</w:t>
      </w:r>
      <w:r w:rsidR="00F14CA7">
        <w:rPr>
          <w:b/>
          <w:bCs/>
          <w:color w:val="0070C0"/>
          <w:lang w:val="en-GB"/>
        </w:rPr>
        <w:t xml:space="preserve"> </w:t>
      </w:r>
    </w:p>
    <w:p w:rsidR="00C26EC0" w:rsidRDefault="00C26EC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2D22EE" w:rsidRDefault="00BA0C4F" w:rsidP="00637EED">
      <w:pPr>
        <w:pStyle w:val="Body1"/>
        <w:jc w:val="both"/>
        <w:rPr>
          <w:lang w:val="en-GB"/>
        </w:rPr>
      </w:pPr>
      <w:r w:rsidRPr="00BA0C4F">
        <w:rPr>
          <w:lang w:val="en-GB"/>
        </w:rPr>
        <w:t xml:space="preserve">Mr McDonald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which included:</w:t>
      </w:r>
      <w:r w:rsidR="007B7D82" w:rsidRPr="00BA0C4F">
        <w:rPr>
          <w:lang w:val="en-GB"/>
        </w:rPr>
        <w:t xml:space="preserve">  </w:t>
      </w:r>
    </w:p>
    <w:p w:rsidR="002D22EE" w:rsidRDefault="002D22EE" w:rsidP="00637EED">
      <w:pPr>
        <w:pStyle w:val="Body1"/>
        <w:jc w:val="both"/>
        <w:rPr>
          <w:lang w:val="en-GB"/>
        </w:rPr>
      </w:pPr>
    </w:p>
    <w:p w:rsidR="00E56E3A" w:rsidRDefault="00E56E3A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 w:rsidRPr="00B51D28">
        <w:rPr>
          <w:rFonts w:ascii="Arial" w:hAnsi="Arial" w:cs="Arial"/>
        </w:rPr>
        <w:t xml:space="preserve">Electronic Prescription Service (EPS) </w:t>
      </w:r>
      <w:r>
        <w:rPr>
          <w:rFonts w:ascii="Arial" w:hAnsi="Arial" w:cs="Arial"/>
        </w:rPr>
        <w:t>uptake progress;</w:t>
      </w:r>
    </w:p>
    <w:p w:rsidR="00E56E3A" w:rsidRDefault="00E56E3A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Pacific Programme progress, and progress against the £1bn savings NHSBSA goal;</w:t>
      </w:r>
    </w:p>
    <w:p w:rsidR="00E56E3A" w:rsidRDefault="00E56E3A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Supplier Management performance and KPIs;</w:t>
      </w:r>
    </w:p>
    <w:p w:rsidR="00E56E3A" w:rsidRDefault="00E56E3A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 Shared Services performance;</w:t>
      </w:r>
    </w:p>
    <w:p w:rsidR="00E56E3A" w:rsidRDefault="002A5481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CF7CC0">
        <w:rPr>
          <w:rFonts w:ascii="Arial" w:hAnsi="Arial" w:cs="Arial"/>
        </w:rPr>
        <w:t xml:space="preserve">reation of </w:t>
      </w:r>
      <w:r>
        <w:rPr>
          <w:rFonts w:ascii="Arial" w:hAnsi="Arial" w:cs="Arial"/>
        </w:rPr>
        <w:t>the</w:t>
      </w:r>
      <w:r w:rsidRPr="00CF7CC0">
        <w:rPr>
          <w:rFonts w:ascii="Arial" w:hAnsi="Arial" w:cs="Arial"/>
        </w:rPr>
        <w:t xml:space="preserve"> new</w:t>
      </w:r>
      <w:r>
        <w:rPr>
          <w:rFonts w:ascii="Arial" w:hAnsi="Arial" w:cs="Arial"/>
        </w:rPr>
        <w:t xml:space="preserve"> Special Health Authority -</w:t>
      </w:r>
      <w:r w:rsidRPr="00CF7CC0">
        <w:rPr>
          <w:rFonts w:ascii="Arial" w:hAnsi="Arial" w:cs="Arial"/>
        </w:rPr>
        <w:t xml:space="preserve"> NHS Counter Fraud Authority</w:t>
      </w:r>
      <w:r>
        <w:rPr>
          <w:rFonts w:ascii="Arial" w:hAnsi="Arial" w:cs="Arial"/>
        </w:rPr>
        <w:t>;</w:t>
      </w:r>
    </w:p>
    <w:p w:rsidR="002A5481" w:rsidRDefault="002A5481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Pensions Programme status;</w:t>
      </w:r>
    </w:p>
    <w:p w:rsidR="002A5481" w:rsidRPr="005B2CA9" w:rsidRDefault="002A5481" w:rsidP="002A5481">
      <w:pPr>
        <w:pStyle w:val="ListParagraph"/>
        <w:numPr>
          <w:ilvl w:val="0"/>
          <w:numId w:val="19"/>
        </w:numPr>
        <w:jc w:val="both"/>
        <w:rPr>
          <w:rFonts w:cs="Arial"/>
          <w:lang w:val="fr-FR"/>
        </w:rPr>
      </w:pPr>
      <w:r w:rsidRPr="005B2CA9">
        <w:rPr>
          <w:rFonts w:cs="Arial"/>
          <w:lang w:val="fr-FR"/>
        </w:rPr>
        <w:t>DH Procurement Transformation Programme status;</w:t>
      </w:r>
    </w:p>
    <w:p w:rsidR="002A5481" w:rsidRDefault="00B870B2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Service digitization update, and</w:t>
      </w:r>
    </w:p>
    <w:p w:rsidR="002A5481" w:rsidRDefault="00B870B2" w:rsidP="00E56E3A">
      <w:pPr>
        <w:pStyle w:val="Body1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ITIS</w:t>
      </w:r>
      <w:r w:rsidRPr="005B2CA9">
        <w:rPr>
          <w:rFonts w:ascii="Arial" w:hAnsi="Arial" w:cs="Arial"/>
          <w:lang w:val="en-GB"/>
        </w:rPr>
        <w:t xml:space="preserve"> </w:t>
      </w:r>
      <w:r w:rsidR="005B2CA9" w:rsidRPr="005B2CA9">
        <w:rPr>
          <w:rFonts w:ascii="Arial" w:hAnsi="Arial" w:cs="Arial"/>
          <w:lang w:val="en-GB"/>
        </w:rPr>
        <w:t>programme</w:t>
      </w:r>
      <w:r>
        <w:rPr>
          <w:rFonts w:ascii="Arial" w:hAnsi="Arial" w:cs="Arial"/>
        </w:rPr>
        <w:t xml:space="preserve"> status.</w:t>
      </w:r>
    </w:p>
    <w:p w:rsidR="002A5481" w:rsidRDefault="002A5481" w:rsidP="002A5481">
      <w:pPr>
        <w:pStyle w:val="Body1"/>
        <w:jc w:val="both"/>
        <w:rPr>
          <w:rFonts w:ascii="Arial" w:hAnsi="Arial" w:cs="Arial"/>
        </w:rPr>
      </w:pPr>
    </w:p>
    <w:p w:rsidR="002A5481" w:rsidRDefault="002A5481" w:rsidP="002A5481">
      <w:pPr>
        <w:pStyle w:val="Body1"/>
        <w:jc w:val="both"/>
        <w:rPr>
          <w:rFonts w:ascii="Arial" w:hAnsi="Arial" w:cs="Arial"/>
        </w:rPr>
      </w:pPr>
      <w:r>
        <w:rPr>
          <w:rFonts w:ascii="Arial" w:hAnsi="Arial" w:cs="Arial"/>
        </w:rPr>
        <w:t>Mr Dibble gave an update on:</w:t>
      </w:r>
    </w:p>
    <w:p w:rsidR="002A5481" w:rsidRDefault="002A5481" w:rsidP="002A5481">
      <w:pPr>
        <w:pStyle w:val="Body1"/>
        <w:jc w:val="both"/>
        <w:rPr>
          <w:rFonts w:ascii="Arial" w:hAnsi="Arial" w:cs="Arial"/>
        </w:rPr>
      </w:pPr>
    </w:p>
    <w:p w:rsidR="002A5481" w:rsidRDefault="00B870B2" w:rsidP="002A5481">
      <w:pPr>
        <w:pStyle w:val="Body1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HR and OD services, and</w:t>
      </w:r>
    </w:p>
    <w:p w:rsidR="002A5481" w:rsidRDefault="002A5481" w:rsidP="002A5481">
      <w:pPr>
        <w:pStyle w:val="Body1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Governance – Health and Safety, Internal Governance, Environment and Resource Efficiency and Corporate Risks and Issues.</w:t>
      </w:r>
    </w:p>
    <w:p w:rsidR="00E56E3A" w:rsidRDefault="00E56E3A" w:rsidP="00637EED">
      <w:pPr>
        <w:pStyle w:val="Body1"/>
        <w:jc w:val="both"/>
        <w:rPr>
          <w:rFonts w:ascii="Arial" w:hAnsi="Arial" w:cs="Arial"/>
        </w:rPr>
      </w:pPr>
    </w:p>
    <w:p w:rsidR="00834483" w:rsidRDefault="00B104F8" w:rsidP="00637EED">
      <w:pPr>
        <w:pStyle w:val="Body1"/>
        <w:jc w:val="both"/>
        <w:rPr>
          <w:lang w:val="en-GB"/>
        </w:rPr>
      </w:pPr>
      <w:r>
        <w:rPr>
          <w:rFonts w:ascii="Arial" w:hAnsi="Arial" w:cs="Arial"/>
          <w:b/>
        </w:rPr>
        <w:t>Outcome:</w:t>
      </w:r>
      <w:r>
        <w:rPr>
          <w:rFonts w:ascii="Arial" w:hAnsi="Arial" w:cs="Arial"/>
        </w:rPr>
        <w:t xml:space="preserve">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8512E2" w:rsidRDefault="008512E2">
      <w:pPr>
        <w:pStyle w:val="Body1"/>
        <w:jc w:val="both"/>
        <w:rPr>
          <w:rFonts w:ascii="Arial" w:hAnsi="Arial"/>
          <w:lang w:val="en-GB"/>
        </w:rPr>
      </w:pPr>
    </w:p>
    <w:p w:rsidR="00395A23" w:rsidRPr="00970D51" w:rsidRDefault="00CF3DE6" w:rsidP="00395A23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Financial Report</w:t>
      </w:r>
    </w:p>
    <w:p w:rsidR="00395A23" w:rsidRPr="00BA0C4F" w:rsidRDefault="00395A23" w:rsidP="00134BCB">
      <w:pPr>
        <w:pStyle w:val="Body1"/>
        <w:jc w:val="both"/>
        <w:rPr>
          <w:lang w:val="en-GB"/>
        </w:rPr>
      </w:pPr>
    </w:p>
    <w:p w:rsidR="00CF3DE6" w:rsidRDefault="00E21BBA" w:rsidP="00CF3DE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jc w:val="both"/>
        <w:outlineLvl w:val="0"/>
        <w:rPr>
          <w:rFonts w:ascii="Arial" w:eastAsia="Times New Roman" w:hAnsi="Arial" w:cs="Arial"/>
          <w:bCs/>
          <w:kern w:val="32"/>
        </w:rPr>
      </w:pPr>
      <w:r>
        <w:rPr>
          <w:rFonts w:ascii="Arial" w:hAnsi="Arial" w:cs="Arial"/>
        </w:rPr>
        <w:t>Mr McGahon</w:t>
      </w:r>
      <w:r w:rsidR="007B7D82">
        <w:rPr>
          <w:rFonts w:ascii="Arial" w:hAnsi="Arial" w:cs="Arial"/>
        </w:rPr>
        <w:t xml:space="preserve"> </w:t>
      </w:r>
      <w:r w:rsidR="00CF3DE6">
        <w:rPr>
          <w:rFonts w:ascii="Arial" w:hAnsi="Arial" w:cs="Arial"/>
          <w:lang w:val="en-GB"/>
        </w:rPr>
        <w:t xml:space="preserve">gave an overview of the financial position, including </w:t>
      </w:r>
      <w:r w:rsidR="00B870B2">
        <w:rPr>
          <w:rFonts w:ascii="Arial" w:eastAsia="Times New Roman" w:hAnsi="Arial" w:cs="Arial"/>
          <w:bCs/>
          <w:kern w:val="32"/>
        </w:rPr>
        <w:t>funding allocations for revenue DEL, external d</w:t>
      </w:r>
      <w:r w:rsidR="00CF3DE6">
        <w:rPr>
          <w:rFonts w:ascii="Arial" w:eastAsia="Times New Roman" w:hAnsi="Arial" w:cs="Arial"/>
          <w:bCs/>
          <w:kern w:val="32"/>
        </w:rPr>
        <w:t xml:space="preserve">evelopment </w:t>
      </w:r>
      <w:r w:rsidR="00B870B2">
        <w:rPr>
          <w:rFonts w:ascii="Arial" w:eastAsia="Times New Roman" w:hAnsi="Arial" w:cs="Arial"/>
          <w:bCs/>
          <w:kern w:val="32"/>
        </w:rPr>
        <w:t>p</w:t>
      </w:r>
      <w:r w:rsidR="00CF3DE6">
        <w:rPr>
          <w:rFonts w:ascii="Arial" w:eastAsia="Times New Roman" w:hAnsi="Arial" w:cs="Arial"/>
          <w:bCs/>
          <w:kern w:val="32"/>
        </w:rPr>
        <w:t>rojects and allocation for capital</w:t>
      </w:r>
      <w:r w:rsidR="00CF3DE6" w:rsidRPr="005B2CA9">
        <w:rPr>
          <w:rFonts w:ascii="Arial" w:eastAsia="Times New Roman" w:hAnsi="Arial" w:cs="Arial"/>
          <w:bCs/>
          <w:kern w:val="32"/>
          <w:lang w:val="en-GB"/>
        </w:rPr>
        <w:t xml:space="preserve"> programme</w:t>
      </w:r>
      <w:r w:rsidR="00CF3DE6">
        <w:rPr>
          <w:rFonts w:ascii="Arial" w:eastAsia="Times New Roman" w:hAnsi="Arial" w:cs="Arial"/>
          <w:bCs/>
          <w:kern w:val="32"/>
        </w:rPr>
        <w:t>.</w:t>
      </w:r>
    </w:p>
    <w:p w:rsidR="00E21BBA" w:rsidRDefault="00E21BBA" w:rsidP="00E21BBA">
      <w:pPr>
        <w:jc w:val="both"/>
        <w:rPr>
          <w:rFonts w:cs="Arial"/>
        </w:rPr>
      </w:pPr>
    </w:p>
    <w:p w:rsidR="00BC5D91" w:rsidRPr="00BA0C4F" w:rsidRDefault="00E21BBA" w:rsidP="006E618C">
      <w:pPr>
        <w:pStyle w:val="Body1"/>
        <w:jc w:val="both"/>
        <w:rPr>
          <w:lang w:val="en-GB"/>
        </w:rPr>
      </w:pPr>
      <w:r>
        <w:rPr>
          <w:rFonts w:cs="Arial"/>
          <w:b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 w:rsidR="006E618C">
        <w:rPr>
          <w:lang w:val="en-GB"/>
        </w:rPr>
        <w:t xml:space="preserve"> the report.</w:t>
      </w:r>
    </w:p>
    <w:p w:rsidR="00867B35" w:rsidRDefault="00867B35" w:rsidP="006E618C">
      <w:pPr>
        <w:pStyle w:val="Body1"/>
        <w:rPr>
          <w:b/>
          <w:bCs/>
          <w:color w:val="0070C0"/>
          <w:lang w:val="en-GB"/>
        </w:rPr>
      </w:pPr>
    </w:p>
    <w:p w:rsidR="00B870B2" w:rsidRDefault="00B870B2" w:rsidP="006E618C">
      <w:pPr>
        <w:pStyle w:val="Body1"/>
        <w:rPr>
          <w:b/>
          <w:bCs/>
          <w:color w:val="0070C0"/>
          <w:lang w:val="en-GB"/>
        </w:rPr>
      </w:pPr>
    </w:p>
    <w:p w:rsidR="00797F0C" w:rsidRDefault="00797F0C" w:rsidP="00797F0C">
      <w:pPr>
        <w:pStyle w:val="Body1"/>
        <w:rPr>
          <w:b/>
          <w:bCs/>
          <w:color w:val="0070C0"/>
          <w:lang w:val="en-GB"/>
        </w:rPr>
      </w:pPr>
    </w:p>
    <w:p w:rsidR="00797F0C" w:rsidRPr="00970D51" w:rsidRDefault="00F8240A" w:rsidP="00797F0C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 xml:space="preserve">Corporate Responsibility Annual Report 2016/17 and </w:t>
      </w:r>
      <w:r w:rsidR="00B870B2">
        <w:rPr>
          <w:b/>
          <w:bCs/>
          <w:color w:val="0070C0"/>
          <w:lang w:val="en-GB"/>
        </w:rPr>
        <w:t>Strategy</w:t>
      </w:r>
      <w:r>
        <w:rPr>
          <w:b/>
          <w:bCs/>
          <w:color w:val="0070C0"/>
          <w:lang w:val="en-GB"/>
        </w:rPr>
        <w:t xml:space="preserve"> for 2017/18.</w:t>
      </w:r>
    </w:p>
    <w:p w:rsidR="00F8240A" w:rsidRPr="00BA0C4F" w:rsidRDefault="00F8240A" w:rsidP="00797F0C">
      <w:pPr>
        <w:pStyle w:val="Body1"/>
        <w:rPr>
          <w:lang w:val="en-GB"/>
        </w:rPr>
      </w:pPr>
    </w:p>
    <w:p w:rsidR="00BF34FB" w:rsidRDefault="00BF34FB" w:rsidP="00BF34FB">
      <w:pPr>
        <w:pStyle w:val="Body"/>
        <w:jc w:val="both"/>
        <w:rPr>
          <w:bCs/>
          <w:lang w:val="en-GB"/>
        </w:rPr>
      </w:pPr>
      <w:r w:rsidRPr="00126BB2">
        <w:rPr>
          <w:bCs/>
          <w:lang w:val="en-GB"/>
        </w:rPr>
        <w:t>Prior to this item, the Board received health and safety training delivered by</w:t>
      </w:r>
      <w:r>
        <w:rPr>
          <w:bCs/>
          <w:lang w:val="en-GB"/>
        </w:rPr>
        <w:t xml:space="preserve"> Ward Hadaway law firm. This covered the Board’s legal responsibilities in relation to health and safety regulations.</w:t>
      </w:r>
    </w:p>
    <w:p w:rsidR="00BF34FB" w:rsidRDefault="00BF34FB" w:rsidP="00BF34FB">
      <w:pPr>
        <w:pStyle w:val="Body"/>
        <w:jc w:val="both"/>
        <w:rPr>
          <w:bCs/>
          <w:lang w:val="en-GB"/>
        </w:rPr>
      </w:pPr>
    </w:p>
    <w:p w:rsidR="00BF34FB" w:rsidRDefault="00BF34FB" w:rsidP="00BF34FB">
      <w:pPr>
        <w:pStyle w:val="Body"/>
        <w:jc w:val="both"/>
        <w:rPr>
          <w:bCs/>
          <w:lang w:val="en-GB"/>
        </w:rPr>
      </w:pPr>
      <w:r>
        <w:rPr>
          <w:bCs/>
          <w:lang w:val="en-GB"/>
        </w:rPr>
        <w:t>Mr Dibble introduced the Corporate Responsibility (CR) Annual Report 2016/17, and Corporate Responsibility (CR) Strategy 2017/18, supported by Neale Blevins (NHSBSA SHE Manager) and David Jukes.</w:t>
      </w:r>
    </w:p>
    <w:p w:rsidR="00797F0C" w:rsidRPr="00BA0C4F" w:rsidRDefault="00797F0C" w:rsidP="00797F0C">
      <w:pPr>
        <w:pStyle w:val="Body1"/>
        <w:jc w:val="both"/>
        <w:rPr>
          <w:lang w:val="en-GB"/>
        </w:rPr>
      </w:pPr>
    </w:p>
    <w:p w:rsidR="00797F0C" w:rsidRPr="00BA0C4F" w:rsidRDefault="00797F0C" w:rsidP="00797F0C">
      <w:pPr>
        <w:pStyle w:val="Body1"/>
        <w:jc w:val="both"/>
        <w:rPr>
          <w:lang w:val="en-GB"/>
        </w:rPr>
      </w:pPr>
      <w:r>
        <w:rPr>
          <w:b/>
          <w:lang w:val="en-GB"/>
        </w:rPr>
        <w:t xml:space="preserve">Outcome: </w:t>
      </w:r>
      <w:r w:rsidRPr="00BA0C4F">
        <w:rPr>
          <w:lang w:val="en-GB"/>
        </w:rPr>
        <w:t xml:space="preserve">The Board </w:t>
      </w:r>
      <w:r w:rsidR="00BF34FB">
        <w:rPr>
          <w:b/>
          <w:bCs/>
          <w:lang w:val="en-GB"/>
        </w:rPr>
        <w:t>ENDORSED</w:t>
      </w:r>
      <w:r>
        <w:rPr>
          <w:lang w:val="en-GB"/>
        </w:rPr>
        <w:t xml:space="preserve"> the report</w:t>
      </w:r>
    </w:p>
    <w:p w:rsidR="00797F0C" w:rsidRDefault="00797F0C" w:rsidP="006E618C">
      <w:pPr>
        <w:pStyle w:val="Body1"/>
        <w:rPr>
          <w:b/>
          <w:bCs/>
          <w:color w:val="0070C0"/>
          <w:lang w:val="en-GB"/>
        </w:rPr>
      </w:pPr>
    </w:p>
    <w:p w:rsidR="00BC3F22" w:rsidRDefault="00BC3F22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Any Other Business</w:t>
      </w:r>
    </w:p>
    <w:p w:rsidR="00834483" w:rsidRDefault="00834483" w:rsidP="00E0035E">
      <w:pPr>
        <w:pStyle w:val="Body"/>
        <w:jc w:val="both"/>
        <w:rPr>
          <w:lang w:val="en-GB"/>
        </w:rPr>
      </w:pPr>
    </w:p>
    <w:p w:rsidR="008B5955" w:rsidRDefault="008B5955" w:rsidP="00E0035E">
      <w:pPr>
        <w:pStyle w:val="Body"/>
        <w:jc w:val="both"/>
        <w:rPr>
          <w:lang w:val="en-GB"/>
        </w:rPr>
      </w:pPr>
      <w:r>
        <w:rPr>
          <w:lang w:val="en-GB"/>
        </w:rPr>
        <w:t xml:space="preserve">The Board </w:t>
      </w:r>
      <w:r w:rsidRPr="008B5955">
        <w:rPr>
          <w:b/>
          <w:lang w:val="en-GB"/>
        </w:rPr>
        <w:t>NOTED</w:t>
      </w:r>
      <w:r>
        <w:rPr>
          <w:lang w:val="en-GB"/>
        </w:rPr>
        <w:t xml:space="preserve"> confirmed minutes from the </w:t>
      </w:r>
      <w:r w:rsidR="00FF4CC7">
        <w:rPr>
          <w:lang w:val="en-GB"/>
        </w:rPr>
        <w:t>Audit</w:t>
      </w:r>
      <w:r w:rsidR="00816641">
        <w:rPr>
          <w:lang w:val="en-GB"/>
        </w:rPr>
        <w:t xml:space="preserve"> Committee held on 4</w:t>
      </w:r>
      <w:r>
        <w:rPr>
          <w:lang w:val="en-GB"/>
        </w:rPr>
        <w:t xml:space="preserve"> Ma</w:t>
      </w:r>
      <w:r w:rsidR="00816641">
        <w:rPr>
          <w:lang w:val="en-GB"/>
        </w:rPr>
        <w:t>y</w:t>
      </w:r>
      <w:r>
        <w:rPr>
          <w:lang w:val="en-GB"/>
        </w:rPr>
        <w:t xml:space="preserve"> 2017.</w:t>
      </w:r>
    </w:p>
    <w:p w:rsidR="008B5955" w:rsidRPr="009B22A9" w:rsidRDefault="008B5955" w:rsidP="00E0035E">
      <w:pPr>
        <w:pStyle w:val="Body"/>
        <w:jc w:val="both"/>
        <w:rPr>
          <w:lang w:val="en-GB"/>
        </w:rPr>
      </w:pPr>
    </w:p>
    <w:p w:rsidR="00686168" w:rsidRDefault="008B5955" w:rsidP="00686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</w:t>
      </w:r>
      <w:r w:rsidR="00686168">
        <w:rPr>
          <w:rFonts w:ascii="Arial" w:hAnsi="Arial" w:cs="Arial"/>
        </w:rPr>
        <w:t xml:space="preserve">received and </w:t>
      </w:r>
      <w:r w:rsidR="00686168" w:rsidRPr="00101CEE">
        <w:rPr>
          <w:rFonts w:ascii="Arial" w:hAnsi="Arial" w:cs="Arial"/>
          <w:b/>
        </w:rPr>
        <w:t>NOTED</w:t>
      </w:r>
      <w:r w:rsidR="00686168">
        <w:rPr>
          <w:rFonts w:ascii="Arial" w:hAnsi="Arial" w:cs="Arial"/>
        </w:rPr>
        <w:t xml:space="preserve"> an update </w:t>
      </w:r>
      <w:r w:rsidR="00BC5D91">
        <w:rPr>
          <w:rFonts w:ascii="Arial" w:hAnsi="Arial" w:cs="Arial"/>
        </w:rPr>
        <w:t>f</w:t>
      </w:r>
      <w:r w:rsidR="006E618C">
        <w:rPr>
          <w:rFonts w:ascii="Arial" w:hAnsi="Arial" w:cs="Arial"/>
        </w:rPr>
        <w:t>rom the Remuneration</w:t>
      </w:r>
      <w:r w:rsidR="00147FBA">
        <w:rPr>
          <w:rFonts w:ascii="Arial" w:hAnsi="Arial" w:cs="Arial"/>
        </w:rPr>
        <w:t xml:space="preserve"> and Nominations</w:t>
      </w:r>
      <w:r>
        <w:rPr>
          <w:rFonts w:ascii="Arial" w:hAnsi="Arial" w:cs="Arial"/>
        </w:rPr>
        <w:t xml:space="preserve"> Committee held on 2</w:t>
      </w:r>
      <w:r w:rsidR="00FB7199">
        <w:rPr>
          <w:rFonts w:ascii="Arial" w:hAnsi="Arial" w:cs="Arial"/>
        </w:rPr>
        <w:t>4 August</w:t>
      </w:r>
      <w:r>
        <w:rPr>
          <w:rFonts w:ascii="Arial" w:hAnsi="Arial" w:cs="Arial"/>
        </w:rPr>
        <w:t xml:space="preserve"> 2017.</w:t>
      </w:r>
    </w:p>
    <w:p w:rsidR="00FB7199" w:rsidRDefault="00FB7199" w:rsidP="00FB7199">
      <w:pPr>
        <w:pStyle w:val="Body"/>
        <w:jc w:val="both"/>
        <w:rPr>
          <w:lang w:val="en-GB"/>
        </w:rPr>
      </w:pPr>
      <w:r>
        <w:rPr>
          <w:lang w:val="en-GB"/>
        </w:rPr>
        <w:t xml:space="preserve">The Board </w:t>
      </w:r>
      <w:r w:rsidRPr="008B5955">
        <w:rPr>
          <w:b/>
          <w:lang w:val="en-GB"/>
        </w:rPr>
        <w:t>NOTED</w:t>
      </w:r>
      <w:r>
        <w:rPr>
          <w:lang w:val="en-GB"/>
        </w:rPr>
        <w:t xml:space="preserve"> confirmed minutes from the </w:t>
      </w:r>
      <w:r w:rsidR="00816641">
        <w:rPr>
          <w:rFonts w:cs="Arial"/>
        </w:rPr>
        <w:t>Remuneration and Nominations Committee</w:t>
      </w:r>
      <w:r w:rsidR="00816641">
        <w:rPr>
          <w:lang w:val="en-GB"/>
        </w:rPr>
        <w:t xml:space="preserve"> </w:t>
      </w:r>
      <w:r>
        <w:rPr>
          <w:lang w:val="en-GB"/>
        </w:rPr>
        <w:t>hel</w:t>
      </w:r>
      <w:r w:rsidR="00816641">
        <w:rPr>
          <w:lang w:val="en-GB"/>
        </w:rPr>
        <w:t>d on 27 April and 23 May</w:t>
      </w:r>
      <w:r>
        <w:rPr>
          <w:lang w:val="en-GB"/>
        </w:rPr>
        <w:t xml:space="preserve"> 2017.</w:t>
      </w:r>
    </w:p>
    <w:p w:rsidR="008B5955" w:rsidRDefault="008B5955" w:rsidP="00686168">
      <w:pPr>
        <w:jc w:val="both"/>
        <w:rPr>
          <w:rFonts w:ascii="Arial" w:hAnsi="Arial" w:cs="Arial"/>
        </w:rPr>
      </w:pPr>
    </w:p>
    <w:p w:rsidR="00710BBB" w:rsidRDefault="00710BBB" w:rsidP="00710BBB">
      <w:pPr>
        <w:pStyle w:val="Body"/>
        <w:jc w:val="both"/>
        <w:rPr>
          <w:lang w:val="en-GB"/>
        </w:rPr>
      </w:pPr>
      <w:r w:rsidRPr="00D17CCF">
        <w:rPr>
          <w:lang w:val="en-GB"/>
        </w:rPr>
        <w:t>Mr McGahon made a declaration of interest, being appointed as Chair of Carlisle College. This would be added to the Board’s register.</w:t>
      </w:r>
    </w:p>
    <w:p w:rsidR="00FB7199" w:rsidRDefault="00FB7199" w:rsidP="00686168">
      <w:pPr>
        <w:jc w:val="both"/>
        <w:rPr>
          <w:rFonts w:ascii="Arial" w:hAnsi="Arial" w:cs="Arial"/>
        </w:rPr>
      </w:pPr>
    </w:p>
    <w:p w:rsidR="00686168" w:rsidRDefault="00686168" w:rsidP="00686168">
      <w:pPr>
        <w:jc w:val="both"/>
        <w:rPr>
          <w:rFonts w:ascii="Arial" w:hAnsi="Arial" w:cs="Arial"/>
        </w:rPr>
      </w:pPr>
    </w:p>
    <w:p w:rsidR="00BC3F22" w:rsidRDefault="00BC3F22" w:rsidP="00BC3F22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BC3F22" w:rsidRDefault="00BC3F22" w:rsidP="00BC3F22">
      <w:pPr>
        <w:pStyle w:val="Body1"/>
        <w:rPr>
          <w:b/>
          <w:bCs/>
          <w:color w:val="0070C0"/>
          <w:lang w:val="en-GB"/>
        </w:rPr>
      </w:pPr>
    </w:p>
    <w:p w:rsidR="00710BBB" w:rsidRPr="00BA0C4F" w:rsidRDefault="00710BBB" w:rsidP="00710BBB">
      <w:pPr>
        <w:pStyle w:val="Body"/>
        <w:tabs>
          <w:tab w:val="left" w:pos="851"/>
        </w:tabs>
        <w:jc w:val="both"/>
        <w:rPr>
          <w:lang w:val="en-GB"/>
        </w:rPr>
      </w:pPr>
      <w:r w:rsidRPr="00126BB2">
        <w:rPr>
          <w:lang w:val="en-GB"/>
        </w:rPr>
        <w:t>The next Board meeting was planned for 11 and 12 October 2017 in Stella House, Newcastle upon Tyne.</w:t>
      </w:r>
    </w:p>
    <w:p w:rsidR="00B12F98" w:rsidRPr="00BA0C4F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</w:p>
    <w:sectPr w:rsidR="00B12F98" w:rsidRPr="00BA0C4F" w:rsidSect="005D1587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82" w:rsidRDefault="00F17A82">
      <w:r>
        <w:separator/>
      </w:r>
    </w:p>
  </w:endnote>
  <w:endnote w:type="continuationSeparator" w:id="0">
    <w:p w:rsidR="00F17A82" w:rsidRDefault="00F1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7199" w:rsidRDefault="00FB71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7199" w:rsidRDefault="00FB71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82" w:rsidRDefault="00F17A82">
      <w:r>
        <w:separator/>
      </w:r>
    </w:p>
  </w:footnote>
  <w:footnote w:type="continuationSeparator" w:id="0">
    <w:p w:rsidR="00F17A82" w:rsidRDefault="00F1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199" w:rsidRPr="005D1587" w:rsidRDefault="00FB7199" w:rsidP="005D1587">
    <w:pPr>
      <w:pStyle w:val="Header"/>
      <w:tabs>
        <w:tab w:val="clear" w:pos="8306"/>
      </w:tabs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256"/>
    <w:multiLevelType w:val="hybridMultilevel"/>
    <w:tmpl w:val="2E5E3B9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6D00906"/>
    <w:multiLevelType w:val="hybridMultilevel"/>
    <w:tmpl w:val="A002009E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8E7"/>
    <w:multiLevelType w:val="hybridMultilevel"/>
    <w:tmpl w:val="3874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2D4F"/>
    <w:multiLevelType w:val="hybridMultilevel"/>
    <w:tmpl w:val="E1F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45E"/>
    <w:multiLevelType w:val="hybridMultilevel"/>
    <w:tmpl w:val="32C07916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7A3D"/>
    <w:multiLevelType w:val="hybridMultilevel"/>
    <w:tmpl w:val="9E6A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B00"/>
    <w:multiLevelType w:val="hybridMultilevel"/>
    <w:tmpl w:val="3F26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EBF"/>
    <w:multiLevelType w:val="hybridMultilevel"/>
    <w:tmpl w:val="3D0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1221"/>
    <w:multiLevelType w:val="hybridMultilevel"/>
    <w:tmpl w:val="42CC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3009D"/>
    <w:multiLevelType w:val="hybridMultilevel"/>
    <w:tmpl w:val="89E2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B248A9"/>
    <w:multiLevelType w:val="hybridMultilevel"/>
    <w:tmpl w:val="A29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1C008B"/>
    <w:multiLevelType w:val="hybridMultilevel"/>
    <w:tmpl w:val="F9EEC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37C04"/>
    <w:multiLevelType w:val="hybridMultilevel"/>
    <w:tmpl w:val="F500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AA66AA"/>
    <w:multiLevelType w:val="hybridMultilevel"/>
    <w:tmpl w:val="A69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8A67E1"/>
    <w:multiLevelType w:val="hybridMultilevel"/>
    <w:tmpl w:val="E19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023FA"/>
    <w:multiLevelType w:val="hybridMultilevel"/>
    <w:tmpl w:val="0A12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E2429"/>
    <w:multiLevelType w:val="hybridMultilevel"/>
    <w:tmpl w:val="8812C2E4"/>
    <w:lvl w:ilvl="0" w:tplc="86A4C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D34668"/>
    <w:multiLevelType w:val="hybridMultilevel"/>
    <w:tmpl w:val="813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261C7"/>
    <w:multiLevelType w:val="hybridMultilevel"/>
    <w:tmpl w:val="CEDE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"/>
  </w:num>
  <w:num w:numId="5">
    <w:abstractNumId w:val="17"/>
  </w:num>
  <w:num w:numId="6">
    <w:abstractNumId w:val="14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9"/>
  </w:num>
  <w:num w:numId="12">
    <w:abstractNumId w:val="11"/>
  </w:num>
  <w:num w:numId="13">
    <w:abstractNumId w:val="9"/>
  </w:num>
  <w:num w:numId="14">
    <w:abstractNumId w:val="16"/>
  </w:num>
  <w:num w:numId="15">
    <w:abstractNumId w:val="20"/>
  </w:num>
  <w:num w:numId="16">
    <w:abstractNumId w:val="15"/>
  </w:num>
  <w:num w:numId="17">
    <w:abstractNumId w:val="5"/>
  </w:num>
  <w:num w:numId="18">
    <w:abstractNumId w:val="2"/>
  </w:num>
  <w:num w:numId="19">
    <w:abstractNumId w:val="1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22AEB"/>
    <w:rsid w:val="00022D32"/>
    <w:rsid w:val="00086EFF"/>
    <w:rsid w:val="00095D51"/>
    <w:rsid w:val="000B103F"/>
    <w:rsid w:val="000C5DFE"/>
    <w:rsid w:val="000C6383"/>
    <w:rsid w:val="000E0945"/>
    <w:rsid w:val="000F5624"/>
    <w:rsid w:val="000F7CC4"/>
    <w:rsid w:val="001064E5"/>
    <w:rsid w:val="00112A40"/>
    <w:rsid w:val="00134BCB"/>
    <w:rsid w:val="00136BCE"/>
    <w:rsid w:val="00147FBA"/>
    <w:rsid w:val="0015452B"/>
    <w:rsid w:val="001657B4"/>
    <w:rsid w:val="001728F1"/>
    <w:rsid w:val="001733B3"/>
    <w:rsid w:val="001A6E7A"/>
    <w:rsid w:val="001B732B"/>
    <w:rsid w:val="001D1102"/>
    <w:rsid w:val="001F0378"/>
    <w:rsid w:val="001F5EB7"/>
    <w:rsid w:val="0021687F"/>
    <w:rsid w:val="00220F2F"/>
    <w:rsid w:val="00222C11"/>
    <w:rsid w:val="002360A9"/>
    <w:rsid w:val="002403C9"/>
    <w:rsid w:val="0024316E"/>
    <w:rsid w:val="00246D05"/>
    <w:rsid w:val="00260190"/>
    <w:rsid w:val="00265973"/>
    <w:rsid w:val="00290C42"/>
    <w:rsid w:val="002A5481"/>
    <w:rsid w:val="002A789B"/>
    <w:rsid w:val="002B4914"/>
    <w:rsid w:val="002D22EE"/>
    <w:rsid w:val="002D320A"/>
    <w:rsid w:val="003050CB"/>
    <w:rsid w:val="003152D2"/>
    <w:rsid w:val="003528C7"/>
    <w:rsid w:val="00357CD3"/>
    <w:rsid w:val="0038112B"/>
    <w:rsid w:val="00382C73"/>
    <w:rsid w:val="0038689E"/>
    <w:rsid w:val="00395A23"/>
    <w:rsid w:val="003A05CC"/>
    <w:rsid w:val="003A5467"/>
    <w:rsid w:val="003B5FD0"/>
    <w:rsid w:val="003B7AF2"/>
    <w:rsid w:val="003F1701"/>
    <w:rsid w:val="00443FB6"/>
    <w:rsid w:val="00454D1C"/>
    <w:rsid w:val="0048480F"/>
    <w:rsid w:val="0049638C"/>
    <w:rsid w:val="004B06CB"/>
    <w:rsid w:val="004E749D"/>
    <w:rsid w:val="00524D37"/>
    <w:rsid w:val="0052700F"/>
    <w:rsid w:val="0054528F"/>
    <w:rsid w:val="00572A9D"/>
    <w:rsid w:val="005B2CA9"/>
    <w:rsid w:val="005D1587"/>
    <w:rsid w:val="00617ABF"/>
    <w:rsid w:val="00637EED"/>
    <w:rsid w:val="006451BA"/>
    <w:rsid w:val="0065470B"/>
    <w:rsid w:val="0067231D"/>
    <w:rsid w:val="00676E0F"/>
    <w:rsid w:val="00686168"/>
    <w:rsid w:val="006E0890"/>
    <w:rsid w:val="006E618C"/>
    <w:rsid w:val="006F16C3"/>
    <w:rsid w:val="00710BBB"/>
    <w:rsid w:val="007179EE"/>
    <w:rsid w:val="0072775F"/>
    <w:rsid w:val="00736994"/>
    <w:rsid w:val="0074327A"/>
    <w:rsid w:val="00746261"/>
    <w:rsid w:val="007674E5"/>
    <w:rsid w:val="00781300"/>
    <w:rsid w:val="0079431B"/>
    <w:rsid w:val="00797F0C"/>
    <w:rsid w:val="007B7D82"/>
    <w:rsid w:val="007D29E9"/>
    <w:rsid w:val="008007E5"/>
    <w:rsid w:val="008042BD"/>
    <w:rsid w:val="00816641"/>
    <w:rsid w:val="00834483"/>
    <w:rsid w:val="00834A73"/>
    <w:rsid w:val="008512E2"/>
    <w:rsid w:val="00854401"/>
    <w:rsid w:val="00862215"/>
    <w:rsid w:val="00867B35"/>
    <w:rsid w:val="008801EC"/>
    <w:rsid w:val="00891F33"/>
    <w:rsid w:val="00894AE1"/>
    <w:rsid w:val="008B5955"/>
    <w:rsid w:val="009003B6"/>
    <w:rsid w:val="0090192F"/>
    <w:rsid w:val="00915FDA"/>
    <w:rsid w:val="009303A5"/>
    <w:rsid w:val="00931259"/>
    <w:rsid w:val="00933ECA"/>
    <w:rsid w:val="00943D0D"/>
    <w:rsid w:val="0094765F"/>
    <w:rsid w:val="00961355"/>
    <w:rsid w:val="00970D51"/>
    <w:rsid w:val="00980940"/>
    <w:rsid w:val="00990E6A"/>
    <w:rsid w:val="00991B72"/>
    <w:rsid w:val="009A3395"/>
    <w:rsid w:val="009A7A1B"/>
    <w:rsid w:val="009B22A9"/>
    <w:rsid w:val="009C15BD"/>
    <w:rsid w:val="009C2EFF"/>
    <w:rsid w:val="009E1C50"/>
    <w:rsid w:val="009F1A97"/>
    <w:rsid w:val="00A03F8F"/>
    <w:rsid w:val="00A3784D"/>
    <w:rsid w:val="00A5285C"/>
    <w:rsid w:val="00A55D21"/>
    <w:rsid w:val="00A630AB"/>
    <w:rsid w:val="00A65A97"/>
    <w:rsid w:val="00A85E99"/>
    <w:rsid w:val="00AE24C1"/>
    <w:rsid w:val="00AE6336"/>
    <w:rsid w:val="00AF1268"/>
    <w:rsid w:val="00B001C1"/>
    <w:rsid w:val="00B10409"/>
    <w:rsid w:val="00B104F8"/>
    <w:rsid w:val="00B12F98"/>
    <w:rsid w:val="00B176D6"/>
    <w:rsid w:val="00B870B2"/>
    <w:rsid w:val="00B91BD9"/>
    <w:rsid w:val="00B92288"/>
    <w:rsid w:val="00B94239"/>
    <w:rsid w:val="00B94A72"/>
    <w:rsid w:val="00BA0C4F"/>
    <w:rsid w:val="00BB57DD"/>
    <w:rsid w:val="00BC3F22"/>
    <w:rsid w:val="00BC5D91"/>
    <w:rsid w:val="00BC629C"/>
    <w:rsid w:val="00BD4C7C"/>
    <w:rsid w:val="00BF34FB"/>
    <w:rsid w:val="00BF69ED"/>
    <w:rsid w:val="00C029DC"/>
    <w:rsid w:val="00C073BC"/>
    <w:rsid w:val="00C16BD9"/>
    <w:rsid w:val="00C16F4C"/>
    <w:rsid w:val="00C24B09"/>
    <w:rsid w:val="00C26EC0"/>
    <w:rsid w:val="00C40C87"/>
    <w:rsid w:val="00C45813"/>
    <w:rsid w:val="00C46224"/>
    <w:rsid w:val="00C46E44"/>
    <w:rsid w:val="00CA6BA0"/>
    <w:rsid w:val="00CB2950"/>
    <w:rsid w:val="00CE6DEF"/>
    <w:rsid w:val="00CF3DE6"/>
    <w:rsid w:val="00D1793C"/>
    <w:rsid w:val="00D509FB"/>
    <w:rsid w:val="00D555AA"/>
    <w:rsid w:val="00D70318"/>
    <w:rsid w:val="00D760C2"/>
    <w:rsid w:val="00D8402D"/>
    <w:rsid w:val="00DC5E11"/>
    <w:rsid w:val="00DF258B"/>
    <w:rsid w:val="00DF2E95"/>
    <w:rsid w:val="00DF5016"/>
    <w:rsid w:val="00E0035E"/>
    <w:rsid w:val="00E1020F"/>
    <w:rsid w:val="00E21BBA"/>
    <w:rsid w:val="00E33BB1"/>
    <w:rsid w:val="00E44447"/>
    <w:rsid w:val="00E4658E"/>
    <w:rsid w:val="00E56E3A"/>
    <w:rsid w:val="00E75559"/>
    <w:rsid w:val="00EA11B9"/>
    <w:rsid w:val="00EA5532"/>
    <w:rsid w:val="00EB09E3"/>
    <w:rsid w:val="00EB379A"/>
    <w:rsid w:val="00ED2FE5"/>
    <w:rsid w:val="00EE2FF6"/>
    <w:rsid w:val="00EE569F"/>
    <w:rsid w:val="00F00D0D"/>
    <w:rsid w:val="00F04441"/>
    <w:rsid w:val="00F14CA7"/>
    <w:rsid w:val="00F17A82"/>
    <w:rsid w:val="00F243E7"/>
    <w:rsid w:val="00F34786"/>
    <w:rsid w:val="00F61DB3"/>
    <w:rsid w:val="00F6245C"/>
    <w:rsid w:val="00F8240A"/>
    <w:rsid w:val="00FB5643"/>
    <w:rsid w:val="00FB7199"/>
    <w:rsid w:val="00FC3048"/>
    <w:rsid w:val="00FD0510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12E0B5-F7D0-4D9D-A59C-7145D5D6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John Sheedy</cp:lastModifiedBy>
  <cp:revision>19</cp:revision>
  <cp:lastPrinted>2017-06-20T07:57:00Z</cp:lastPrinted>
  <dcterms:created xsi:type="dcterms:W3CDTF">2017-08-16T14:26:00Z</dcterms:created>
  <dcterms:modified xsi:type="dcterms:W3CDTF">2017-12-19T16:47:00Z</dcterms:modified>
</cp:coreProperties>
</file>