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9A9" w:rsidRDefault="006349A9" w:rsidP="00C95D26">
      <w:pPr>
        <w:jc w:val="center"/>
        <w:rPr>
          <w:b/>
          <w:color w:val="005EB8"/>
          <w:sz w:val="52"/>
          <w:szCs w:val="88"/>
        </w:rPr>
      </w:pPr>
    </w:p>
    <w:p w:rsidR="00906B65" w:rsidRPr="00FF79F6" w:rsidRDefault="00906B65" w:rsidP="00C95D26">
      <w:pPr>
        <w:jc w:val="center"/>
        <w:rPr>
          <w:b/>
          <w:color w:val="005EB8"/>
          <w:sz w:val="52"/>
          <w:szCs w:val="88"/>
        </w:rPr>
      </w:pPr>
      <w:proofErr w:type="gramStart"/>
      <w:r w:rsidRPr="00FF79F6">
        <w:rPr>
          <w:b/>
          <w:color w:val="005EB8"/>
          <w:sz w:val="52"/>
          <w:szCs w:val="88"/>
        </w:rPr>
        <w:t>ePACT2</w:t>
      </w:r>
      <w:proofErr w:type="gramEnd"/>
      <w:r w:rsidR="00C95D26" w:rsidRPr="00FF79F6">
        <w:rPr>
          <w:b/>
          <w:color w:val="005EB8"/>
          <w:sz w:val="52"/>
          <w:szCs w:val="88"/>
        </w:rPr>
        <w:t xml:space="preserve"> </w:t>
      </w:r>
      <w:r w:rsidR="005848D3" w:rsidRPr="00FF79F6">
        <w:rPr>
          <w:b/>
          <w:color w:val="005EB8"/>
          <w:sz w:val="52"/>
          <w:szCs w:val="88"/>
        </w:rPr>
        <w:t xml:space="preserve">User </w:t>
      </w:r>
      <w:r w:rsidR="00C95D26" w:rsidRPr="00FF79F6">
        <w:rPr>
          <w:b/>
          <w:color w:val="005EB8"/>
          <w:sz w:val="52"/>
          <w:szCs w:val="88"/>
        </w:rPr>
        <w:t>Guide</w:t>
      </w:r>
    </w:p>
    <w:p w:rsidR="004A00B8" w:rsidRPr="0007409D" w:rsidRDefault="007A69F5" w:rsidP="0007409D">
      <w:pPr>
        <w:pStyle w:val="GuideTitle"/>
      </w:pPr>
      <w:r>
        <w:t>Accessing Catalyst - Public Insight Portal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82FE6" w:rsidTr="00182FE6">
        <w:tc>
          <w:tcPr>
            <w:tcW w:w="9242" w:type="dxa"/>
            <w:shd w:val="clear" w:color="auto" w:fill="D9D9D9" w:themeFill="background1" w:themeFillShade="D9"/>
          </w:tcPr>
          <w:p w:rsidR="00182FE6" w:rsidRDefault="005536D5" w:rsidP="00A66FC5">
            <w:pPr>
              <w:pStyle w:val="TOCHeading"/>
            </w:pPr>
            <w:r>
              <w:t>C</w:t>
            </w:r>
            <w:r w:rsidR="00182FE6">
              <w:t>ontents</w:t>
            </w:r>
          </w:p>
          <w:p w:rsidR="00302D71" w:rsidRDefault="00182FE6">
            <w:pPr>
              <w:pStyle w:val="TOC1"/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</w:pPr>
            <w:r>
              <w:fldChar w:fldCharType="begin"/>
            </w:r>
            <w:r>
              <w:instrText xml:space="preserve"> TOC \o "1-2" \h \z \u </w:instrText>
            </w:r>
            <w:r>
              <w:fldChar w:fldCharType="separate"/>
            </w:r>
            <w:hyperlink w:anchor="_Toc531337704" w:history="1">
              <w:r w:rsidR="00302D71" w:rsidRPr="000F2FAF">
                <w:rPr>
                  <w:rStyle w:val="Hyperlink"/>
                  <w:noProof/>
                </w:rPr>
                <w:t>Accessing Catalyst (Public Insight Portal)</w:t>
              </w:r>
              <w:r w:rsidR="00302D71">
                <w:rPr>
                  <w:noProof/>
                  <w:webHidden/>
                </w:rPr>
                <w:tab/>
              </w:r>
              <w:r w:rsidR="00302D71">
                <w:rPr>
                  <w:noProof/>
                  <w:webHidden/>
                </w:rPr>
                <w:fldChar w:fldCharType="begin"/>
              </w:r>
              <w:r w:rsidR="00302D71">
                <w:rPr>
                  <w:noProof/>
                  <w:webHidden/>
                </w:rPr>
                <w:instrText xml:space="preserve"> PAGEREF _Toc531337704 \h </w:instrText>
              </w:r>
              <w:r w:rsidR="00302D71">
                <w:rPr>
                  <w:noProof/>
                  <w:webHidden/>
                </w:rPr>
              </w:r>
              <w:r w:rsidR="00302D71">
                <w:rPr>
                  <w:noProof/>
                  <w:webHidden/>
                </w:rPr>
                <w:fldChar w:fldCharType="separate"/>
              </w:r>
              <w:r w:rsidR="007375C6">
                <w:rPr>
                  <w:noProof/>
                  <w:webHidden/>
                </w:rPr>
                <w:t>1</w:t>
              </w:r>
              <w:r w:rsidR="00302D71">
                <w:rPr>
                  <w:noProof/>
                  <w:webHidden/>
                </w:rPr>
                <w:fldChar w:fldCharType="end"/>
              </w:r>
            </w:hyperlink>
          </w:p>
          <w:p w:rsidR="00302D71" w:rsidRDefault="007375C6">
            <w:pPr>
              <w:pStyle w:val="TOC2"/>
              <w:tabs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</w:pPr>
            <w:hyperlink w:anchor="_Toc531337705" w:history="1">
              <w:r w:rsidR="00302D71" w:rsidRPr="000F2FAF">
                <w:rPr>
                  <w:rStyle w:val="Hyperlink"/>
                  <w:noProof/>
                </w:rPr>
                <w:t>Logging into Catalyst</w:t>
              </w:r>
              <w:r w:rsidR="00302D71">
                <w:rPr>
                  <w:noProof/>
                  <w:webHidden/>
                </w:rPr>
                <w:tab/>
              </w:r>
              <w:r w:rsidR="00302D71">
                <w:rPr>
                  <w:noProof/>
                  <w:webHidden/>
                </w:rPr>
                <w:fldChar w:fldCharType="begin"/>
              </w:r>
              <w:r w:rsidR="00302D71">
                <w:rPr>
                  <w:noProof/>
                  <w:webHidden/>
                </w:rPr>
                <w:instrText xml:space="preserve"> PAGEREF _Toc531337705 \h </w:instrText>
              </w:r>
              <w:r w:rsidR="00302D71">
                <w:rPr>
                  <w:noProof/>
                  <w:webHidden/>
                </w:rPr>
              </w:r>
              <w:r w:rsidR="00302D71"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2</w:t>
              </w:r>
              <w:r w:rsidR="00302D71">
                <w:rPr>
                  <w:noProof/>
                  <w:webHidden/>
                </w:rPr>
                <w:fldChar w:fldCharType="end"/>
              </w:r>
            </w:hyperlink>
          </w:p>
          <w:p w:rsidR="00302D71" w:rsidRDefault="007375C6">
            <w:pPr>
              <w:pStyle w:val="TOC1"/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</w:pPr>
            <w:hyperlink w:anchor="_Toc531337706" w:history="1">
              <w:r w:rsidR="00302D71" w:rsidRPr="000F2FAF">
                <w:rPr>
                  <w:rStyle w:val="Hyperlink"/>
                  <w:noProof/>
                </w:rPr>
                <w:t>Understanding the Landing page</w:t>
              </w:r>
              <w:r w:rsidR="00302D71">
                <w:rPr>
                  <w:noProof/>
                  <w:webHidden/>
                </w:rPr>
                <w:tab/>
              </w:r>
              <w:r w:rsidR="00302D71">
                <w:rPr>
                  <w:noProof/>
                  <w:webHidden/>
                </w:rPr>
                <w:fldChar w:fldCharType="begin"/>
              </w:r>
              <w:r w:rsidR="00302D71">
                <w:rPr>
                  <w:noProof/>
                  <w:webHidden/>
                </w:rPr>
                <w:instrText xml:space="preserve"> PAGEREF _Toc531337706 \h </w:instrText>
              </w:r>
              <w:r w:rsidR="00302D71">
                <w:rPr>
                  <w:noProof/>
                  <w:webHidden/>
                </w:rPr>
              </w:r>
              <w:r w:rsidR="00302D71"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4</w:t>
              </w:r>
              <w:r w:rsidR="00302D71">
                <w:rPr>
                  <w:noProof/>
                  <w:webHidden/>
                </w:rPr>
                <w:fldChar w:fldCharType="end"/>
              </w:r>
            </w:hyperlink>
          </w:p>
          <w:p w:rsidR="00302D71" w:rsidRDefault="007375C6">
            <w:pPr>
              <w:pStyle w:val="TOC2"/>
              <w:tabs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</w:pPr>
            <w:hyperlink w:anchor="_Toc531337707" w:history="1">
              <w:r w:rsidR="00302D71" w:rsidRPr="000F2FAF">
                <w:rPr>
                  <w:rStyle w:val="Hyperlink"/>
                  <w:noProof/>
                </w:rPr>
                <w:t>Reports tab</w:t>
              </w:r>
              <w:r w:rsidR="00302D71">
                <w:rPr>
                  <w:noProof/>
                  <w:webHidden/>
                </w:rPr>
                <w:tab/>
              </w:r>
              <w:r w:rsidR="00302D71">
                <w:rPr>
                  <w:noProof/>
                  <w:webHidden/>
                </w:rPr>
                <w:fldChar w:fldCharType="begin"/>
              </w:r>
              <w:r w:rsidR="00302D71">
                <w:rPr>
                  <w:noProof/>
                  <w:webHidden/>
                </w:rPr>
                <w:instrText xml:space="preserve"> PAGEREF _Toc531337707 \h </w:instrText>
              </w:r>
              <w:r w:rsidR="00302D71">
                <w:rPr>
                  <w:noProof/>
                  <w:webHidden/>
                </w:rPr>
              </w:r>
              <w:r w:rsidR="00302D71"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5</w:t>
              </w:r>
              <w:r w:rsidR="00302D71">
                <w:rPr>
                  <w:noProof/>
                  <w:webHidden/>
                </w:rPr>
                <w:fldChar w:fldCharType="end"/>
              </w:r>
            </w:hyperlink>
          </w:p>
          <w:p w:rsidR="00302D71" w:rsidRDefault="007375C6">
            <w:pPr>
              <w:pStyle w:val="TOC1"/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</w:pPr>
            <w:hyperlink w:anchor="_Toc531337708" w:history="1">
              <w:r w:rsidR="00302D71" w:rsidRPr="000F2FAF">
                <w:rPr>
                  <w:rStyle w:val="Hyperlink"/>
                  <w:noProof/>
                </w:rPr>
                <w:t>Accessing a report</w:t>
              </w:r>
              <w:r w:rsidR="00302D71">
                <w:rPr>
                  <w:noProof/>
                  <w:webHidden/>
                </w:rPr>
                <w:tab/>
              </w:r>
              <w:r w:rsidR="00302D71">
                <w:rPr>
                  <w:noProof/>
                  <w:webHidden/>
                </w:rPr>
                <w:fldChar w:fldCharType="begin"/>
              </w:r>
              <w:r w:rsidR="00302D71">
                <w:rPr>
                  <w:noProof/>
                  <w:webHidden/>
                </w:rPr>
                <w:instrText xml:space="preserve"> PAGEREF _Toc531337708 \h </w:instrText>
              </w:r>
              <w:r w:rsidR="00302D71">
                <w:rPr>
                  <w:noProof/>
                  <w:webHidden/>
                </w:rPr>
              </w:r>
              <w:r w:rsidR="00302D71"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6</w:t>
              </w:r>
              <w:r w:rsidR="00302D71">
                <w:rPr>
                  <w:noProof/>
                  <w:webHidden/>
                </w:rPr>
                <w:fldChar w:fldCharType="end"/>
              </w:r>
            </w:hyperlink>
          </w:p>
          <w:p w:rsidR="00302D71" w:rsidRDefault="007375C6">
            <w:pPr>
              <w:pStyle w:val="TOC2"/>
              <w:tabs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</w:pPr>
            <w:hyperlink w:anchor="_Toc531337709" w:history="1">
              <w:r w:rsidR="00302D71" w:rsidRPr="000F2FAF">
                <w:rPr>
                  <w:rStyle w:val="Hyperlink"/>
                  <w:noProof/>
                </w:rPr>
                <w:t>Selecting a report category</w:t>
              </w:r>
              <w:r w:rsidR="00302D71">
                <w:rPr>
                  <w:noProof/>
                  <w:webHidden/>
                </w:rPr>
                <w:tab/>
              </w:r>
              <w:r w:rsidR="00302D71">
                <w:rPr>
                  <w:noProof/>
                  <w:webHidden/>
                </w:rPr>
                <w:fldChar w:fldCharType="begin"/>
              </w:r>
              <w:r w:rsidR="00302D71">
                <w:rPr>
                  <w:noProof/>
                  <w:webHidden/>
                </w:rPr>
                <w:instrText xml:space="preserve"> PAGEREF _Toc531337709 \h </w:instrText>
              </w:r>
              <w:r w:rsidR="00302D71">
                <w:rPr>
                  <w:noProof/>
                  <w:webHidden/>
                </w:rPr>
              </w:r>
              <w:r w:rsidR="00302D71"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6</w:t>
              </w:r>
              <w:r w:rsidR="00302D71">
                <w:rPr>
                  <w:noProof/>
                  <w:webHidden/>
                </w:rPr>
                <w:fldChar w:fldCharType="end"/>
              </w:r>
            </w:hyperlink>
          </w:p>
          <w:p w:rsidR="00302D71" w:rsidRDefault="007375C6">
            <w:pPr>
              <w:pStyle w:val="TOC2"/>
              <w:tabs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</w:pPr>
            <w:hyperlink w:anchor="_Toc531337710" w:history="1">
              <w:r w:rsidR="00302D71" w:rsidRPr="000F2FAF">
                <w:rPr>
                  <w:rStyle w:val="Hyperlink"/>
                  <w:noProof/>
                </w:rPr>
                <w:t>Report Selection</w:t>
              </w:r>
              <w:r w:rsidR="00302D71">
                <w:rPr>
                  <w:noProof/>
                  <w:webHidden/>
                </w:rPr>
                <w:tab/>
              </w:r>
              <w:r w:rsidR="00302D71">
                <w:rPr>
                  <w:noProof/>
                  <w:webHidden/>
                </w:rPr>
                <w:fldChar w:fldCharType="begin"/>
              </w:r>
              <w:r w:rsidR="00302D71">
                <w:rPr>
                  <w:noProof/>
                  <w:webHidden/>
                </w:rPr>
                <w:instrText xml:space="preserve"> PAGEREF _Toc531337710 \h </w:instrText>
              </w:r>
              <w:r w:rsidR="00302D71">
                <w:rPr>
                  <w:noProof/>
                  <w:webHidden/>
                </w:rPr>
              </w:r>
              <w:r w:rsidR="00302D71"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7</w:t>
              </w:r>
              <w:r w:rsidR="00302D71">
                <w:rPr>
                  <w:noProof/>
                  <w:webHidden/>
                </w:rPr>
                <w:fldChar w:fldCharType="end"/>
              </w:r>
            </w:hyperlink>
          </w:p>
          <w:p w:rsidR="00302D71" w:rsidRDefault="007375C6">
            <w:pPr>
              <w:pStyle w:val="TOC2"/>
              <w:tabs>
                <w:tab w:val="right" w:leader="dot" w:pos="9016"/>
              </w:tabs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</w:pPr>
            <w:hyperlink w:anchor="_Toc531337711" w:history="1">
              <w:r w:rsidR="00302D71" w:rsidRPr="000F2FAF">
                <w:rPr>
                  <w:rStyle w:val="Hyperlink"/>
                  <w:noProof/>
                </w:rPr>
                <w:t>Time Period Comparisons</w:t>
              </w:r>
              <w:r w:rsidR="00302D71">
                <w:rPr>
                  <w:noProof/>
                  <w:webHidden/>
                </w:rPr>
                <w:tab/>
              </w:r>
              <w:r w:rsidR="00302D71">
                <w:rPr>
                  <w:noProof/>
                  <w:webHidden/>
                </w:rPr>
                <w:fldChar w:fldCharType="begin"/>
              </w:r>
              <w:r w:rsidR="00302D71">
                <w:rPr>
                  <w:noProof/>
                  <w:webHidden/>
                </w:rPr>
                <w:instrText xml:space="preserve"> PAGEREF _Toc531337711 \h </w:instrText>
              </w:r>
              <w:r w:rsidR="00302D71">
                <w:rPr>
                  <w:noProof/>
                  <w:webHidden/>
                </w:rPr>
              </w:r>
              <w:r w:rsidR="00302D71"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8</w:t>
              </w:r>
              <w:r w:rsidR="00302D71">
                <w:rPr>
                  <w:noProof/>
                  <w:webHidden/>
                </w:rPr>
                <w:fldChar w:fldCharType="end"/>
              </w:r>
            </w:hyperlink>
          </w:p>
          <w:p w:rsidR="00302D71" w:rsidRDefault="007375C6">
            <w:pPr>
              <w:pStyle w:val="TOC1"/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</w:pPr>
            <w:hyperlink w:anchor="_Toc531337712" w:history="1">
              <w:r w:rsidR="00302D71" w:rsidRPr="000F2FAF">
                <w:rPr>
                  <w:rStyle w:val="Hyperlink"/>
                  <w:noProof/>
                </w:rPr>
                <w:t>Printing &amp; Exporting</w:t>
              </w:r>
              <w:r w:rsidR="00302D71">
                <w:rPr>
                  <w:noProof/>
                  <w:webHidden/>
                </w:rPr>
                <w:tab/>
              </w:r>
              <w:r w:rsidR="00302D71">
                <w:rPr>
                  <w:noProof/>
                  <w:webHidden/>
                </w:rPr>
                <w:fldChar w:fldCharType="begin"/>
              </w:r>
              <w:r w:rsidR="00302D71">
                <w:rPr>
                  <w:noProof/>
                  <w:webHidden/>
                </w:rPr>
                <w:instrText xml:space="preserve"> PAGEREF _Toc531337712 \h </w:instrText>
              </w:r>
              <w:r w:rsidR="00302D71">
                <w:rPr>
                  <w:noProof/>
                  <w:webHidden/>
                </w:rPr>
              </w:r>
              <w:r w:rsidR="00302D71"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10</w:t>
              </w:r>
              <w:r w:rsidR="00302D71">
                <w:rPr>
                  <w:noProof/>
                  <w:webHidden/>
                </w:rPr>
                <w:fldChar w:fldCharType="end"/>
              </w:r>
            </w:hyperlink>
          </w:p>
          <w:p w:rsidR="00302D71" w:rsidRDefault="007375C6">
            <w:pPr>
              <w:pStyle w:val="TOC1"/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GB"/>
              </w:rPr>
            </w:pPr>
            <w:hyperlink w:anchor="_Toc531337713" w:history="1">
              <w:r w:rsidR="00302D71" w:rsidRPr="000F2FAF">
                <w:rPr>
                  <w:rStyle w:val="Hyperlink"/>
                  <w:noProof/>
                </w:rPr>
                <w:t>Getting Help</w:t>
              </w:r>
              <w:r w:rsidR="00302D71">
                <w:rPr>
                  <w:noProof/>
                  <w:webHidden/>
                </w:rPr>
                <w:tab/>
              </w:r>
              <w:r w:rsidR="00302D71">
                <w:rPr>
                  <w:noProof/>
                  <w:webHidden/>
                </w:rPr>
                <w:fldChar w:fldCharType="begin"/>
              </w:r>
              <w:r w:rsidR="00302D71">
                <w:rPr>
                  <w:noProof/>
                  <w:webHidden/>
                </w:rPr>
                <w:instrText xml:space="preserve"> PAGEREF _Toc531337713 \h </w:instrText>
              </w:r>
              <w:r w:rsidR="00302D71">
                <w:rPr>
                  <w:noProof/>
                  <w:webHidden/>
                </w:rPr>
              </w:r>
              <w:r w:rsidR="00302D71">
                <w:rPr>
                  <w:noProof/>
                  <w:webHidden/>
                </w:rPr>
                <w:fldChar w:fldCharType="separate"/>
              </w:r>
              <w:r>
                <w:rPr>
                  <w:noProof/>
                  <w:webHidden/>
                </w:rPr>
                <w:t>12</w:t>
              </w:r>
              <w:r w:rsidR="00302D71">
                <w:rPr>
                  <w:noProof/>
                  <w:webHidden/>
                </w:rPr>
                <w:fldChar w:fldCharType="end"/>
              </w:r>
            </w:hyperlink>
          </w:p>
          <w:p w:rsidR="00182FE6" w:rsidRDefault="00182FE6" w:rsidP="00604173">
            <w:r>
              <w:fldChar w:fldCharType="end"/>
            </w:r>
          </w:p>
        </w:tc>
      </w:tr>
    </w:tbl>
    <w:p w:rsidR="00604173" w:rsidRDefault="00604173" w:rsidP="00604173">
      <w:pPr>
        <w:sectPr w:rsidR="00604173" w:rsidSect="00B863E3">
          <w:headerReference w:type="default" r:id="rId9"/>
          <w:footerReference w:type="default" r:id="rId10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B54D63" w:rsidRDefault="00645328" w:rsidP="00B54D63">
      <w:pPr>
        <w:pStyle w:val="Heading1"/>
      </w:pPr>
      <w:bookmarkStart w:id="0" w:name="_Toc531337704"/>
      <w:r>
        <w:lastRenderedPageBreak/>
        <w:t>Accessing</w:t>
      </w:r>
      <w:r w:rsidR="00CF35D9">
        <w:t xml:space="preserve"> </w:t>
      </w:r>
      <w:r>
        <w:t>Catalyst (Public Insight Portal)</w:t>
      </w:r>
      <w:bookmarkEnd w:id="0"/>
    </w:p>
    <w:p w:rsidR="00683D29" w:rsidRDefault="00683D29" w:rsidP="00A126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‘Catalyst – Public Insight Portal’ can be accessed via the NHSBSA website at </w:t>
      </w:r>
      <w:hyperlink r:id="rId11" w:history="1">
        <w:r w:rsidRPr="000F48FE">
          <w:rPr>
            <w:rStyle w:val="Hyperlink"/>
            <w:sz w:val="23"/>
            <w:szCs w:val="23"/>
          </w:rPr>
          <w:t>https://nhsbsa.nhs.uk/prescription-data/catalyst-public-insight-portal</w:t>
        </w:r>
      </w:hyperlink>
      <w:r>
        <w:rPr>
          <w:sz w:val="23"/>
          <w:szCs w:val="23"/>
        </w:rPr>
        <w:t xml:space="preserve"> </w:t>
      </w:r>
    </w:p>
    <w:p w:rsidR="00683D29" w:rsidRDefault="00683D29" w:rsidP="00A1261A">
      <w:pPr>
        <w:pStyle w:val="Default"/>
        <w:rPr>
          <w:sz w:val="23"/>
          <w:szCs w:val="23"/>
        </w:rPr>
      </w:pPr>
    </w:p>
    <w:p w:rsidR="00683D29" w:rsidRDefault="00683D29" w:rsidP="00A1261A">
      <w:pPr>
        <w:pStyle w:val="Default"/>
        <w:rPr>
          <w:sz w:val="23"/>
          <w:szCs w:val="23"/>
        </w:rPr>
      </w:pPr>
      <w:r>
        <w:rPr>
          <w:sz w:val="23"/>
          <w:szCs w:val="23"/>
        </w:rPr>
        <w:t>The ‘Catalyst – Public Insight Portal’ page will be displayed</w:t>
      </w:r>
    </w:p>
    <w:p w:rsidR="00683D29" w:rsidRDefault="00683D29"/>
    <w:p w:rsidR="00683D29" w:rsidRDefault="00683D29">
      <w:r>
        <w:rPr>
          <w:noProof/>
          <w:lang w:eastAsia="en-GB"/>
        </w:rPr>
        <w:drawing>
          <wp:inline distT="0" distB="0" distL="0" distR="0" wp14:anchorId="6105A520" wp14:editId="061F188C">
            <wp:extent cx="5943600" cy="6177915"/>
            <wp:effectExtent l="19050" t="19050" r="19050" b="133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1779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683D29" w:rsidRDefault="00683D29"/>
    <w:p w:rsidR="00683D29" w:rsidRDefault="00683D29">
      <w:bookmarkStart w:id="1" w:name="_GoBack"/>
      <w:bookmarkEnd w:id="1"/>
    </w:p>
    <w:p w:rsidR="00683D29" w:rsidRDefault="00123764" w:rsidP="00683D29">
      <w:pPr>
        <w:pStyle w:val="Heading2"/>
      </w:pPr>
      <w:bookmarkStart w:id="2" w:name="_Toc531337705"/>
      <w:r>
        <w:lastRenderedPageBreak/>
        <w:t>Logging into Catalyst</w:t>
      </w:r>
      <w:bookmarkEnd w:id="2"/>
    </w:p>
    <w:p w:rsidR="00683D29" w:rsidRDefault="00683D29" w:rsidP="00683D29">
      <w:r>
        <w:t xml:space="preserve">When accessing ‘Catalyst’ users are required </w:t>
      </w:r>
      <w:r w:rsidR="00123764">
        <w:t>to enter a user ID and Password</w:t>
      </w:r>
    </w:p>
    <w:p w:rsidR="00683D29" w:rsidRPr="00683D29" w:rsidRDefault="00123764" w:rsidP="00123764">
      <w:pPr>
        <w:pStyle w:val="ListParagraph"/>
        <w:spacing w:line="276" w:lineRule="auto"/>
      </w:pPr>
      <w:r>
        <w:t>The user ID and password for the system will be displayed on the webpage</w:t>
      </w:r>
    </w:p>
    <w:p w:rsidR="00683D29" w:rsidRDefault="00683D29" w:rsidP="00683D29">
      <w:pPr>
        <w:pStyle w:val="ListParagraph"/>
      </w:pPr>
      <w:r>
        <w:t>Select the ‘Access Catalyst’ button</w:t>
      </w:r>
    </w:p>
    <w:p w:rsidR="00683D29" w:rsidRDefault="00C52C6E" w:rsidP="00683D29">
      <w:r>
        <w:rPr>
          <w:noProof/>
          <w:lang w:eastAsia="en-GB"/>
        </w:rPr>
        <w:drawing>
          <wp:inline distT="0" distB="0" distL="0" distR="0" wp14:anchorId="03A0FEAB" wp14:editId="5F2CD5CE">
            <wp:extent cx="4806086" cy="3424336"/>
            <wp:effectExtent l="19050" t="19050" r="13970" b="2413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09198" cy="342655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23764" w:rsidRDefault="00123764" w:rsidP="00683D29"/>
    <w:p w:rsidR="00123764" w:rsidRDefault="00123764" w:rsidP="00123764">
      <w:pPr>
        <w:pStyle w:val="ListParagraph"/>
      </w:pPr>
      <w:r>
        <w:t>The login page will be displayed</w:t>
      </w:r>
    </w:p>
    <w:p w:rsidR="00123764" w:rsidRDefault="00123764" w:rsidP="00123764">
      <w:pPr>
        <w:pStyle w:val="ListParagraph"/>
        <w:numPr>
          <w:ilvl w:val="0"/>
          <w:numId w:val="0"/>
        </w:numPr>
        <w:ind w:left="714"/>
      </w:pPr>
      <w:r>
        <w:rPr>
          <w:noProof/>
        </w:rPr>
        <w:drawing>
          <wp:inline distT="0" distB="0" distL="0" distR="0" wp14:anchorId="42697B93" wp14:editId="63B693B0">
            <wp:extent cx="3525926" cy="2818104"/>
            <wp:effectExtent l="19050" t="19050" r="17780" b="2095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567624" cy="285143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23764" w:rsidRDefault="00123764" w:rsidP="00123764">
      <w:pPr>
        <w:pStyle w:val="ListParagraph"/>
      </w:pPr>
      <w:r>
        <w:lastRenderedPageBreak/>
        <w:t>Enter the login details provided on the webpage</w:t>
      </w:r>
    </w:p>
    <w:p w:rsidR="00123764" w:rsidRDefault="00123764" w:rsidP="00123764">
      <w:pPr>
        <w:pStyle w:val="ListParagraph"/>
      </w:pPr>
      <w:r>
        <w:t>Click ‘Sign In’</w:t>
      </w:r>
    </w:p>
    <w:p w:rsidR="00123764" w:rsidRDefault="00123764" w:rsidP="00123764">
      <w:r>
        <w:rPr>
          <w:noProof/>
          <w:lang w:eastAsia="en-GB"/>
        </w:rPr>
        <w:drawing>
          <wp:inline distT="0" distB="0" distL="0" distR="0" wp14:anchorId="232F2E14" wp14:editId="513C55DE">
            <wp:extent cx="5731510" cy="4639094"/>
            <wp:effectExtent l="19050" t="19050" r="21590" b="2857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3909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123764" w:rsidRDefault="00123764" w:rsidP="00123764"/>
    <w:p w:rsidR="00A1261A" w:rsidRDefault="00123764" w:rsidP="00123764">
      <w:r>
        <w:t>The system will then open on the ‘Catalyst – Public Insight Portal’ landing page</w:t>
      </w:r>
      <w:r w:rsidR="00A1261A">
        <w:br w:type="page"/>
      </w:r>
    </w:p>
    <w:p w:rsidR="004B0079" w:rsidRDefault="004B0079" w:rsidP="004B0079">
      <w:pPr>
        <w:pStyle w:val="Heading1"/>
      </w:pPr>
      <w:bookmarkStart w:id="3" w:name="_Toc531337706"/>
      <w:r>
        <w:lastRenderedPageBreak/>
        <w:t>Understanding the Landing page</w:t>
      </w:r>
      <w:bookmarkEnd w:id="3"/>
    </w:p>
    <w:p w:rsidR="00792F52" w:rsidRDefault="00792F52"/>
    <w:p w:rsidR="0023002D" w:rsidRDefault="0023002D">
      <w:r>
        <w:t>When you sign into Catalyst</w:t>
      </w:r>
      <w:r w:rsidR="00194562">
        <w:t xml:space="preserve"> you will be taken to the Landing page, the landing page enable</w:t>
      </w:r>
      <w:r>
        <w:t xml:space="preserve">s you to quickly select the report </w:t>
      </w:r>
      <w:r w:rsidR="00194562">
        <w:t>you would like to view:</w:t>
      </w:r>
    </w:p>
    <w:p w:rsidR="0023002D" w:rsidRDefault="0023002D">
      <w:r>
        <w:rPr>
          <w:noProof/>
          <w:lang w:eastAsia="en-GB"/>
        </w:rPr>
        <w:drawing>
          <wp:inline distT="0" distB="0" distL="0" distR="0" wp14:anchorId="7614B245" wp14:editId="3531054C">
            <wp:extent cx="5731510" cy="2690013"/>
            <wp:effectExtent l="19050" t="19050" r="21590" b="152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9001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4"/>
        <w:gridCol w:w="6008"/>
      </w:tblGrid>
      <w:tr w:rsidR="00194562" w:rsidTr="00194562">
        <w:tc>
          <w:tcPr>
            <w:tcW w:w="3234" w:type="dxa"/>
          </w:tcPr>
          <w:p w:rsidR="00194562" w:rsidRPr="000A4206" w:rsidRDefault="00194562" w:rsidP="00036185">
            <w:pPr>
              <w:pStyle w:val="ListParagraph"/>
              <w:numPr>
                <w:ilvl w:val="0"/>
                <w:numId w:val="18"/>
              </w:numPr>
              <w:spacing w:line="240" w:lineRule="atLeast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News feed</w:t>
            </w:r>
          </w:p>
        </w:tc>
        <w:tc>
          <w:tcPr>
            <w:tcW w:w="6008" w:type="dxa"/>
          </w:tcPr>
          <w:p w:rsidR="00194562" w:rsidRPr="000A4206" w:rsidRDefault="00194562">
            <w:pPr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The News feed will displ</w:t>
            </w:r>
            <w:r w:rsidR="0023002D">
              <w:rPr>
                <w:sz w:val="22"/>
                <w:szCs w:val="22"/>
              </w:rPr>
              <w:t xml:space="preserve">ay the latest news for </w:t>
            </w:r>
            <w:r w:rsidR="007A69F5">
              <w:rPr>
                <w:sz w:val="22"/>
                <w:szCs w:val="22"/>
              </w:rPr>
              <w:t>Catalyst</w:t>
            </w:r>
            <w:r w:rsidR="007A69F5" w:rsidRPr="000A4206">
              <w:rPr>
                <w:sz w:val="22"/>
                <w:szCs w:val="22"/>
              </w:rPr>
              <w:t>;</w:t>
            </w:r>
            <w:r w:rsidRPr="000A4206">
              <w:rPr>
                <w:sz w:val="22"/>
                <w:szCs w:val="22"/>
              </w:rPr>
              <w:t xml:space="preserve"> it will keep you up to date when new reports are released.</w:t>
            </w:r>
          </w:p>
        </w:tc>
      </w:tr>
      <w:tr w:rsidR="00194562" w:rsidTr="00194562">
        <w:tc>
          <w:tcPr>
            <w:tcW w:w="3234" w:type="dxa"/>
          </w:tcPr>
          <w:p w:rsidR="00194562" w:rsidRPr="000A4206" w:rsidRDefault="004D7264" w:rsidP="00036185">
            <w:pPr>
              <w:pStyle w:val="ListParagraph"/>
              <w:numPr>
                <w:ilvl w:val="0"/>
                <w:numId w:val="18"/>
              </w:num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Latest d</w:t>
            </w:r>
            <w:r w:rsidR="00194562" w:rsidRPr="000A4206">
              <w:rPr>
                <w:sz w:val="22"/>
                <w:szCs w:val="22"/>
              </w:rPr>
              <w:t>ata</w:t>
            </w:r>
          </w:p>
        </w:tc>
        <w:tc>
          <w:tcPr>
            <w:tcW w:w="6008" w:type="dxa"/>
          </w:tcPr>
          <w:p w:rsidR="00194562" w:rsidRPr="000A4206" w:rsidRDefault="00194562" w:rsidP="0023002D">
            <w:pPr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 xml:space="preserve">This section informs you the latest </w:t>
            </w:r>
            <w:r w:rsidR="00484C52" w:rsidRPr="000A4206">
              <w:rPr>
                <w:sz w:val="22"/>
                <w:szCs w:val="22"/>
              </w:rPr>
              <w:t>month’s</w:t>
            </w:r>
            <w:r w:rsidRPr="000A4206">
              <w:rPr>
                <w:sz w:val="22"/>
                <w:szCs w:val="22"/>
              </w:rPr>
              <w:t xml:space="preserve"> data that is in the s</w:t>
            </w:r>
            <w:r w:rsidR="0023002D">
              <w:rPr>
                <w:sz w:val="22"/>
                <w:szCs w:val="22"/>
              </w:rPr>
              <w:t>ystem.</w:t>
            </w:r>
          </w:p>
        </w:tc>
      </w:tr>
      <w:tr w:rsidR="00194562" w:rsidTr="00194562">
        <w:tc>
          <w:tcPr>
            <w:tcW w:w="3234" w:type="dxa"/>
          </w:tcPr>
          <w:p w:rsidR="00194562" w:rsidRPr="000A4206" w:rsidRDefault="00194562" w:rsidP="00036185">
            <w:pPr>
              <w:pStyle w:val="ListParagraph"/>
              <w:numPr>
                <w:ilvl w:val="0"/>
                <w:numId w:val="18"/>
              </w:numPr>
              <w:spacing w:line="240" w:lineRule="atLeast"/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Reports</w:t>
            </w:r>
          </w:p>
        </w:tc>
        <w:tc>
          <w:tcPr>
            <w:tcW w:w="6008" w:type="dxa"/>
          </w:tcPr>
          <w:p w:rsidR="00194562" w:rsidRPr="000A4206" w:rsidRDefault="00194562">
            <w:pPr>
              <w:rPr>
                <w:sz w:val="22"/>
                <w:szCs w:val="22"/>
              </w:rPr>
            </w:pPr>
            <w:r w:rsidRPr="000A4206">
              <w:rPr>
                <w:sz w:val="22"/>
                <w:szCs w:val="22"/>
              </w:rPr>
              <w:t>You can select this tab to view all available prescribing reports.</w:t>
            </w:r>
          </w:p>
        </w:tc>
      </w:tr>
    </w:tbl>
    <w:p w:rsidR="000A4206" w:rsidRDefault="000A4206"/>
    <w:p w:rsidR="00194562" w:rsidRDefault="004D7264">
      <w:r>
        <w:t>To</w:t>
      </w:r>
      <w:r w:rsidR="00194562">
        <w:t xml:space="preserve"> navigate back to the landing page af</w:t>
      </w:r>
      <w:r w:rsidR="0023002D">
        <w:t>ter you have viewed other Catalyst</w:t>
      </w:r>
      <w:r w:rsidR="00194562">
        <w:t xml:space="preserve"> content </w:t>
      </w:r>
      <w:r>
        <w:t>follow these steps</w:t>
      </w:r>
      <w:r w:rsidR="00194562">
        <w:t>:</w:t>
      </w:r>
    </w:p>
    <w:p w:rsidR="00194562" w:rsidRDefault="0023002D" w:rsidP="00036185">
      <w:pPr>
        <w:pStyle w:val="ListParagraph"/>
        <w:numPr>
          <w:ilvl w:val="0"/>
          <w:numId w:val="26"/>
        </w:numPr>
      </w:pPr>
      <w:r>
        <w:t>From the</w:t>
      </w:r>
      <w:r w:rsidR="00194562">
        <w:t xml:space="preserve"> </w:t>
      </w:r>
      <w:r>
        <w:t xml:space="preserve">‘Catalyst’ </w:t>
      </w:r>
      <w:r w:rsidR="00194562">
        <w:t>toolbar select ‘Dashboards</w:t>
      </w:r>
      <w:r w:rsidR="004D7264">
        <w:t>’</w:t>
      </w:r>
    </w:p>
    <w:p w:rsidR="000A4206" w:rsidRDefault="004D7264" w:rsidP="000A4206">
      <w:pPr>
        <w:pStyle w:val="ListParagraph"/>
      </w:pPr>
      <w:r>
        <w:t>Select</w:t>
      </w:r>
      <w:r w:rsidR="0023002D">
        <w:t xml:space="preserve"> ‘Catalyst</w:t>
      </w:r>
      <w:r w:rsidR="000A4206">
        <w:t>’</w:t>
      </w:r>
    </w:p>
    <w:p w:rsidR="00194562" w:rsidRPr="00194562" w:rsidRDefault="0023002D" w:rsidP="0023002D">
      <w:r>
        <w:rPr>
          <w:noProof/>
          <w:lang w:eastAsia="en-GB"/>
        </w:rPr>
        <w:drawing>
          <wp:inline distT="0" distB="0" distL="0" distR="0" wp14:anchorId="1497060F" wp14:editId="00D02C51">
            <wp:extent cx="5486400" cy="1060939"/>
            <wp:effectExtent l="19050" t="19050" r="19050" b="2540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04986" cy="106453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  <w:r w:rsidR="004B0079">
        <w:br w:type="page"/>
      </w:r>
    </w:p>
    <w:p w:rsidR="00CF35D9" w:rsidRDefault="00404D2E" w:rsidP="007A69F5">
      <w:pPr>
        <w:pStyle w:val="Heading2"/>
      </w:pPr>
      <w:bookmarkStart w:id="4" w:name="_Toc531337707"/>
      <w:r>
        <w:lastRenderedPageBreak/>
        <w:t>Reports</w:t>
      </w:r>
      <w:r w:rsidR="00CF35D9">
        <w:t xml:space="preserve"> </w:t>
      </w:r>
      <w:r w:rsidR="00792F52">
        <w:t>tab</w:t>
      </w:r>
      <w:bookmarkEnd w:id="4"/>
    </w:p>
    <w:p w:rsidR="00B43501" w:rsidRDefault="004D7264">
      <w:r>
        <w:t>Select</w:t>
      </w:r>
      <w:r w:rsidR="00B43501">
        <w:t xml:space="preserve"> </w:t>
      </w:r>
      <w:r w:rsidR="00404D2E">
        <w:t xml:space="preserve">the ‘Report’ tab from the ‘Catalyst’ landing page </w:t>
      </w:r>
      <w:r>
        <w:t>to open the Catalyst Reports page</w:t>
      </w:r>
      <w:r w:rsidR="00B43501">
        <w:t>:</w:t>
      </w:r>
    </w:p>
    <w:p w:rsidR="00B43501" w:rsidRDefault="00792F52">
      <w:r>
        <w:rPr>
          <w:noProof/>
          <w:lang w:eastAsia="en-GB"/>
        </w:rPr>
        <w:drawing>
          <wp:inline distT="0" distB="0" distL="0" distR="0" wp14:anchorId="4B8F7A3A" wp14:editId="6E14A756">
            <wp:extent cx="5731510" cy="2630004"/>
            <wp:effectExtent l="19050" t="19050" r="21590" b="184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3000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711CE" w:rsidRDefault="00404D2E" w:rsidP="00404D2E">
      <w:r>
        <w:t>The ‘Reports’ section will allow the selection of the report type required</w:t>
      </w:r>
      <w:r w:rsidR="00B43501">
        <w:t>.</w:t>
      </w:r>
      <w:r w:rsidR="00B711CE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4"/>
        <w:gridCol w:w="6008"/>
      </w:tblGrid>
      <w:tr w:rsidR="00792F52" w:rsidTr="00792F52">
        <w:tc>
          <w:tcPr>
            <w:tcW w:w="3234" w:type="dxa"/>
          </w:tcPr>
          <w:p w:rsidR="00792F52" w:rsidRPr="000A4206" w:rsidRDefault="00792F52" w:rsidP="00792F52">
            <w:pPr>
              <w:pStyle w:val="ListParagraph"/>
              <w:numPr>
                <w:ilvl w:val="0"/>
                <w:numId w:val="40"/>
              </w:num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Controlled Drug Comparators</w:t>
            </w:r>
          </w:p>
        </w:tc>
        <w:tc>
          <w:tcPr>
            <w:tcW w:w="6008" w:type="dxa"/>
          </w:tcPr>
          <w:p w:rsidR="00792F52" w:rsidRPr="000A4206" w:rsidRDefault="00792F52" w:rsidP="00792F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Allows monitoring of</w:t>
            </w:r>
            <w:r w:rsidRPr="00792F52">
              <w:rPr>
                <w:sz w:val="22"/>
                <w:szCs w:val="22"/>
              </w:rPr>
              <w:t xml:space="preserve"> the prescribing of Schedule 2 and 3 Controlled Drugs</w:t>
            </w:r>
          </w:p>
        </w:tc>
      </w:tr>
      <w:tr w:rsidR="00792F52" w:rsidTr="00792F52">
        <w:tc>
          <w:tcPr>
            <w:tcW w:w="3234" w:type="dxa"/>
          </w:tcPr>
          <w:p w:rsidR="00792F52" w:rsidRPr="000A4206" w:rsidRDefault="00792F52" w:rsidP="00792F52">
            <w:pPr>
              <w:pStyle w:val="ListParagraph"/>
              <w:numPr>
                <w:ilvl w:val="0"/>
                <w:numId w:val="40"/>
              </w:num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Cost Comparators</w:t>
            </w:r>
          </w:p>
        </w:tc>
        <w:tc>
          <w:tcPr>
            <w:tcW w:w="6008" w:type="dxa"/>
          </w:tcPr>
          <w:p w:rsidR="00792F52" w:rsidRPr="000A4206" w:rsidRDefault="00792F52" w:rsidP="00792F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792F52">
              <w:rPr>
                <w:sz w:val="22"/>
                <w:szCs w:val="22"/>
              </w:rPr>
              <w:t>llow</w:t>
            </w:r>
            <w:r>
              <w:rPr>
                <w:sz w:val="22"/>
                <w:szCs w:val="22"/>
              </w:rPr>
              <w:t>s</w:t>
            </w:r>
            <w:r w:rsidRPr="00792F52">
              <w:rPr>
                <w:sz w:val="22"/>
                <w:szCs w:val="22"/>
              </w:rPr>
              <w:t xml:space="preserve"> comparison of the costs of drugs within the therapeutic area using a weighted population.</w:t>
            </w:r>
          </w:p>
        </w:tc>
      </w:tr>
      <w:tr w:rsidR="00792F52" w:rsidTr="00792F52">
        <w:tc>
          <w:tcPr>
            <w:tcW w:w="3234" w:type="dxa"/>
          </w:tcPr>
          <w:p w:rsidR="00792F52" w:rsidRPr="000A4206" w:rsidRDefault="00792F52" w:rsidP="00792F52">
            <w:pPr>
              <w:pStyle w:val="ListParagraph"/>
              <w:numPr>
                <w:ilvl w:val="0"/>
                <w:numId w:val="40"/>
              </w:num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MOKTT</w:t>
            </w:r>
          </w:p>
        </w:tc>
        <w:tc>
          <w:tcPr>
            <w:tcW w:w="6008" w:type="dxa"/>
          </w:tcPr>
          <w:p w:rsidR="00792F52" w:rsidRPr="000A4206" w:rsidRDefault="00792F52" w:rsidP="00792F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Allows </w:t>
            </w:r>
            <w:r w:rsidRPr="00792F52">
              <w:rPr>
                <w:sz w:val="22"/>
                <w:szCs w:val="22"/>
              </w:rPr>
              <w:t>organisations and prescribers to review the appropriateness of current prescribing, revise prescribing where appropriate and monitor implementation</w:t>
            </w:r>
          </w:p>
        </w:tc>
      </w:tr>
      <w:tr w:rsidR="00792F52" w:rsidTr="00792F52">
        <w:tc>
          <w:tcPr>
            <w:tcW w:w="3234" w:type="dxa"/>
          </w:tcPr>
          <w:p w:rsidR="00792F52" w:rsidRPr="000A4206" w:rsidRDefault="00792F52" w:rsidP="00792F52">
            <w:pPr>
              <w:pStyle w:val="ListParagraph"/>
              <w:numPr>
                <w:ilvl w:val="0"/>
                <w:numId w:val="40"/>
              </w:num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Volume Comparators</w:t>
            </w:r>
          </w:p>
        </w:tc>
        <w:tc>
          <w:tcPr>
            <w:tcW w:w="6008" w:type="dxa"/>
          </w:tcPr>
          <w:p w:rsidR="00792F52" w:rsidRPr="000A4206" w:rsidRDefault="00792F52" w:rsidP="00792F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792F52">
              <w:rPr>
                <w:sz w:val="22"/>
                <w:szCs w:val="22"/>
              </w:rPr>
              <w:t>llow</w:t>
            </w:r>
            <w:r>
              <w:rPr>
                <w:sz w:val="22"/>
                <w:szCs w:val="22"/>
              </w:rPr>
              <w:t>s</w:t>
            </w:r>
            <w:r w:rsidRPr="00792F52">
              <w:rPr>
                <w:sz w:val="22"/>
                <w:szCs w:val="22"/>
              </w:rPr>
              <w:t xml:space="preserve"> comparison of drug utilisation within a therapeutic area on a weighted population basis</w:t>
            </w:r>
          </w:p>
        </w:tc>
      </w:tr>
    </w:tbl>
    <w:p w:rsidR="00404D2E" w:rsidRDefault="00404D2E" w:rsidP="00404D2E"/>
    <w:tbl>
      <w:tblPr>
        <w:tblW w:w="9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8300"/>
      </w:tblGrid>
      <w:tr w:rsidR="003F7CDD" w:rsidRPr="000D36E8" w:rsidTr="003F7CDD">
        <w:trPr>
          <w:trHeight w:val="737"/>
        </w:trPr>
        <w:tc>
          <w:tcPr>
            <w:tcW w:w="813" w:type="dxa"/>
            <w:shd w:val="clear" w:color="auto" w:fill="F2F2F2"/>
            <w:tcMar>
              <w:top w:w="58" w:type="dxa"/>
              <w:left w:w="43" w:type="dxa"/>
              <w:bottom w:w="58" w:type="dxa"/>
              <w:right w:w="0" w:type="dxa"/>
            </w:tcMar>
            <w:vAlign w:val="center"/>
          </w:tcPr>
          <w:p w:rsidR="003F7CDD" w:rsidRPr="000D36E8" w:rsidRDefault="003F7CDD" w:rsidP="003F7CDD">
            <w:pPr>
              <w:spacing w:after="0" w:line="240" w:lineRule="auto"/>
              <w:rPr>
                <w:noProof/>
                <w:color w:val="333333"/>
                <w:sz w:val="22"/>
              </w:rPr>
            </w:pPr>
            <w:r>
              <w:rPr>
                <w:noProof/>
                <w:color w:val="333333"/>
                <w:sz w:val="22"/>
                <w:lang w:eastAsia="en-GB"/>
              </w:rPr>
              <w:drawing>
                <wp:inline distT="0" distB="0" distL="0" distR="0" wp14:anchorId="655C48AF" wp14:editId="205D5F02">
                  <wp:extent cx="429260" cy="429260"/>
                  <wp:effectExtent l="0" t="0" r="8890" b="8890"/>
                  <wp:docPr id="27" name="Picture 61" descr="Description: Z:\Images\Bev\info_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Description: Z:\Images\Bev\info_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0" w:type="dxa"/>
            <w:shd w:val="clear" w:color="auto" w:fill="F2F2F2"/>
            <w:tcMar>
              <w:top w:w="58" w:type="dxa"/>
              <w:left w:w="0" w:type="dxa"/>
              <w:bottom w:w="58" w:type="dxa"/>
              <w:right w:w="29" w:type="dxa"/>
            </w:tcMar>
            <w:vAlign w:val="center"/>
          </w:tcPr>
          <w:p w:rsidR="003F7CDD" w:rsidRPr="000D36E8" w:rsidRDefault="003F7CDD" w:rsidP="003F7CDD">
            <w:pPr>
              <w:spacing w:after="0" w:line="240" w:lineRule="auto"/>
              <w:rPr>
                <w:color w:val="333333"/>
              </w:rPr>
            </w:pPr>
            <w:r>
              <w:rPr>
                <w:color w:val="333333"/>
              </w:rPr>
              <w:t>Further information on the report categories and the reports available</w:t>
            </w:r>
            <w:r w:rsidR="00802AE8">
              <w:rPr>
                <w:color w:val="333333"/>
              </w:rPr>
              <w:t xml:space="preserve"> under then can be accessed at </w:t>
            </w:r>
            <w:hyperlink r:id="rId20" w:history="1">
              <w:r w:rsidR="00802AE8" w:rsidRPr="000F48FE">
                <w:rPr>
                  <w:rStyle w:val="Hyperlink"/>
                </w:rPr>
                <w:t>https://www.nhsbsa.nhs.uk/information-services-portal-isp/isp-report-information</w:t>
              </w:r>
            </w:hyperlink>
            <w:r w:rsidR="00802AE8">
              <w:rPr>
                <w:color w:val="333333"/>
              </w:rPr>
              <w:t xml:space="preserve"> </w:t>
            </w:r>
          </w:p>
        </w:tc>
      </w:tr>
    </w:tbl>
    <w:p w:rsidR="008E0C78" w:rsidRDefault="008E0C78">
      <w:pPr>
        <w:rPr>
          <w:b/>
          <w:color w:val="0072CE"/>
          <w:sz w:val="32"/>
        </w:rPr>
      </w:pPr>
      <w:r>
        <w:br w:type="page"/>
      </w:r>
    </w:p>
    <w:p w:rsidR="00404D2E" w:rsidRDefault="00792F52" w:rsidP="00792F52">
      <w:pPr>
        <w:pStyle w:val="Heading1"/>
      </w:pPr>
      <w:bookmarkStart w:id="5" w:name="_Toc531337708"/>
      <w:r>
        <w:lastRenderedPageBreak/>
        <w:t>Accessing a report</w:t>
      </w:r>
      <w:bookmarkEnd w:id="5"/>
    </w:p>
    <w:p w:rsidR="00D929FC" w:rsidRDefault="00D929FC" w:rsidP="007A69F5">
      <w:pPr>
        <w:pStyle w:val="Heading2"/>
      </w:pPr>
      <w:bookmarkStart w:id="6" w:name="_Toc531337709"/>
      <w:r>
        <w:t>Selecting a report category</w:t>
      </w:r>
      <w:bookmarkEnd w:id="6"/>
    </w:p>
    <w:p w:rsidR="00792F52" w:rsidRDefault="00CD56EF" w:rsidP="00404D2E">
      <w:r>
        <w:t>Report types</w:t>
      </w:r>
      <w:r w:rsidR="00B711CE">
        <w:t xml:space="preserve"> ar</w:t>
      </w:r>
      <w:r>
        <w:t>e grouped together under a category</w:t>
      </w:r>
      <w:r w:rsidR="00B711CE">
        <w:t xml:space="preserve"> heading.</w:t>
      </w:r>
    </w:p>
    <w:p w:rsidR="00B711CE" w:rsidRDefault="00CD56EF" w:rsidP="00D929FC">
      <w:pPr>
        <w:pStyle w:val="ListParagraph"/>
        <w:numPr>
          <w:ilvl w:val="0"/>
          <w:numId w:val="44"/>
        </w:numPr>
        <w:spacing w:line="276" w:lineRule="auto"/>
      </w:pPr>
      <w:r>
        <w:t>To view the report types</w:t>
      </w:r>
      <w:r w:rsidR="00B711CE">
        <w:t xml:space="preserve"> availab</w:t>
      </w:r>
      <w:r>
        <w:t>le under the category</w:t>
      </w:r>
      <w:r w:rsidR="00B711CE">
        <w:t xml:space="preserve"> </w:t>
      </w:r>
      <w:r w:rsidR="004D7264">
        <w:t>click</w:t>
      </w:r>
      <w:r w:rsidR="00B711CE">
        <w:t xml:space="preserve"> the drop down </w:t>
      </w:r>
      <w:r>
        <w:t>arrow to the left of the category</w:t>
      </w:r>
      <w:r w:rsidR="00B711CE">
        <w:t xml:space="preserve"> heading</w:t>
      </w:r>
    </w:p>
    <w:p w:rsidR="00B711CE" w:rsidRDefault="00E45440" w:rsidP="00B711CE">
      <w:r>
        <w:rPr>
          <w:noProof/>
          <w:lang w:eastAsia="en-GB"/>
        </w:rPr>
        <w:drawing>
          <wp:inline distT="0" distB="0" distL="0" distR="0" wp14:anchorId="23D581D4" wp14:editId="18CAF3DC">
            <wp:extent cx="4118458" cy="1035774"/>
            <wp:effectExtent l="19050" t="19050" r="15875" b="1206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119475" cy="10360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711CE" w:rsidRDefault="00B711CE" w:rsidP="00B711CE">
      <w:pPr>
        <w:pStyle w:val="ListParagraph"/>
        <w:numPr>
          <w:ilvl w:val="0"/>
          <w:numId w:val="41"/>
        </w:numPr>
      </w:pPr>
      <w:r>
        <w:t>The report types available will be displayed</w:t>
      </w:r>
    </w:p>
    <w:p w:rsidR="00B711CE" w:rsidRDefault="00B711CE" w:rsidP="00B711CE">
      <w:pPr>
        <w:pStyle w:val="ListParagraph"/>
        <w:numPr>
          <w:ilvl w:val="0"/>
          <w:numId w:val="41"/>
        </w:numPr>
      </w:pPr>
      <w:r>
        <w:t>To access the report</w:t>
      </w:r>
      <w:r w:rsidR="00CD56EF">
        <w:t xml:space="preserve"> </w:t>
      </w:r>
      <w:r w:rsidR="004D7264">
        <w:t>click the blue hyperlink</w:t>
      </w:r>
    </w:p>
    <w:p w:rsidR="00B711CE" w:rsidRDefault="00C95768" w:rsidP="00B711CE">
      <w:r>
        <w:rPr>
          <w:noProof/>
          <w:lang w:eastAsia="en-GB"/>
        </w:rPr>
        <w:drawing>
          <wp:inline distT="0" distB="0" distL="0" distR="0" wp14:anchorId="5026C5D6" wp14:editId="71C9E70C">
            <wp:extent cx="4396435" cy="1487554"/>
            <wp:effectExtent l="19050" t="19050" r="23495" b="1778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98147" cy="148813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711CE" w:rsidRDefault="00B0628A" w:rsidP="00AB5F45">
      <w:pPr>
        <w:pStyle w:val="ListParagraph"/>
        <w:numPr>
          <w:ilvl w:val="0"/>
          <w:numId w:val="41"/>
        </w:numPr>
      </w:pPr>
      <w:r>
        <w:t>The Report type</w:t>
      </w:r>
      <w:r w:rsidR="00AB5F45">
        <w:t xml:space="preserve"> page will open </w:t>
      </w:r>
    </w:p>
    <w:p w:rsidR="00AB5F45" w:rsidRDefault="00B0628A" w:rsidP="00B711CE">
      <w:r>
        <w:rPr>
          <w:noProof/>
          <w:lang w:eastAsia="en-GB"/>
        </w:rPr>
        <w:drawing>
          <wp:inline distT="0" distB="0" distL="0" distR="0" wp14:anchorId="2C817A46" wp14:editId="78928999">
            <wp:extent cx="2999232" cy="2829725"/>
            <wp:effectExtent l="19050" t="19050" r="10795" b="2794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04500" cy="2834696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929FC" w:rsidRDefault="00D929FC" w:rsidP="007A69F5">
      <w:pPr>
        <w:pStyle w:val="Heading2"/>
      </w:pPr>
      <w:bookmarkStart w:id="7" w:name="_Toc531337710"/>
      <w:r>
        <w:lastRenderedPageBreak/>
        <w:t>Report Selection</w:t>
      </w:r>
      <w:bookmarkEnd w:id="7"/>
    </w:p>
    <w:p w:rsidR="008E0C78" w:rsidRDefault="008E0C78" w:rsidP="00D929FC">
      <w:pPr>
        <w:pStyle w:val="ListParagraph"/>
        <w:numPr>
          <w:ilvl w:val="0"/>
          <w:numId w:val="43"/>
        </w:numPr>
        <w:spacing w:line="276" w:lineRule="auto"/>
      </w:pPr>
      <w:r>
        <w:t xml:space="preserve">The report will default to the highest organisational level available however </w:t>
      </w:r>
      <w:r w:rsidR="004D7264">
        <w:t>other</w:t>
      </w:r>
      <w:r>
        <w:t xml:space="preserve"> organisational </w:t>
      </w:r>
      <w:r w:rsidR="004D7264">
        <w:t>levels can be viewed by selecting</w:t>
      </w:r>
      <w:r>
        <w:t xml:space="preserve"> the hyperlink for the organisational level </w:t>
      </w:r>
      <w:r w:rsidR="004D7264">
        <w:t>you want to view.</w:t>
      </w:r>
    </w:p>
    <w:p w:rsidR="008E0C78" w:rsidRDefault="00D929FC" w:rsidP="008E0C78">
      <w:r>
        <w:rPr>
          <w:noProof/>
          <w:lang w:eastAsia="en-GB"/>
        </w:rPr>
        <w:drawing>
          <wp:inline distT="0" distB="0" distL="0" distR="0" wp14:anchorId="7C744246" wp14:editId="694BD2C4">
            <wp:extent cx="5731510" cy="1175082"/>
            <wp:effectExtent l="19050" t="19050" r="21590" b="2540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7508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B711CE" w:rsidRDefault="00E45440" w:rsidP="004D7264">
      <w:pPr>
        <w:ind w:left="720"/>
      </w:pPr>
      <w:r>
        <w:t xml:space="preserve">A series of prompts are available </w:t>
      </w:r>
      <w:r w:rsidR="004D7264">
        <w:t xml:space="preserve">on all reports </w:t>
      </w:r>
      <w:r>
        <w:t xml:space="preserve">to allow the selection </w:t>
      </w:r>
      <w:r w:rsidR="00831B87">
        <w:t>of the report required along with time period, organisation etc.</w:t>
      </w:r>
    </w:p>
    <w:p w:rsidR="00831B87" w:rsidRDefault="00831B87" w:rsidP="00404D2E">
      <w:r>
        <w:rPr>
          <w:noProof/>
          <w:lang w:eastAsia="en-GB"/>
        </w:rPr>
        <w:drawing>
          <wp:inline distT="0" distB="0" distL="0" distR="0" wp14:anchorId="6C1E6088" wp14:editId="38ED96E5">
            <wp:extent cx="4842662" cy="2388218"/>
            <wp:effectExtent l="19050" t="19050" r="15240" b="1270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860807" cy="2397167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4"/>
        <w:gridCol w:w="6008"/>
      </w:tblGrid>
      <w:tr w:rsidR="00831B87" w:rsidTr="00831B87">
        <w:tc>
          <w:tcPr>
            <w:tcW w:w="3234" w:type="dxa"/>
          </w:tcPr>
          <w:p w:rsidR="00831B87" w:rsidRPr="000A4206" w:rsidRDefault="00831B87" w:rsidP="00831B87">
            <w:pPr>
              <w:pStyle w:val="ListParagraph"/>
              <w:numPr>
                <w:ilvl w:val="0"/>
                <w:numId w:val="42"/>
              </w:num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Report</w:t>
            </w:r>
          </w:p>
        </w:tc>
        <w:tc>
          <w:tcPr>
            <w:tcW w:w="6008" w:type="dxa"/>
          </w:tcPr>
          <w:p w:rsidR="00831B87" w:rsidRPr="000A4206" w:rsidRDefault="00831B87" w:rsidP="0083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Allows the selection of the report required, this will default to the first report alphabetically</w:t>
            </w:r>
          </w:p>
        </w:tc>
      </w:tr>
      <w:tr w:rsidR="00831B87" w:rsidTr="00831B87">
        <w:tc>
          <w:tcPr>
            <w:tcW w:w="3234" w:type="dxa"/>
          </w:tcPr>
          <w:p w:rsidR="00831B87" w:rsidRPr="000A4206" w:rsidRDefault="00831B87" w:rsidP="00831B87">
            <w:pPr>
              <w:pStyle w:val="ListParagraph"/>
              <w:numPr>
                <w:ilvl w:val="0"/>
                <w:numId w:val="42"/>
              </w:num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Period</w:t>
            </w:r>
          </w:p>
        </w:tc>
        <w:tc>
          <w:tcPr>
            <w:tcW w:w="6008" w:type="dxa"/>
          </w:tcPr>
          <w:p w:rsidR="00831B87" w:rsidRPr="000A4206" w:rsidRDefault="00831B87" w:rsidP="0083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792F52">
              <w:rPr>
                <w:sz w:val="22"/>
                <w:szCs w:val="22"/>
              </w:rPr>
              <w:t>llow</w:t>
            </w:r>
            <w:r>
              <w:rPr>
                <w:sz w:val="22"/>
                <w:szCs w:val="22"/>
              </w:rPr>
              <w:t>s</w:t>
            </w:r>
            <w:r w:rsidRPr="00792F5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the selection of the time period data is required for</w:t>
            </w:r>
            <w:r w:rsidR="009E2AF6">
              <w:rPr>
                <w:sz w:val="22"/>
                <w:szCs w:val="22"/>
              </w:rPr>
              <w:t>, this will default to the latest time period available</w:t>
            </w:r>
          </w:p>
        </w:tc>
      </w:tr>
      <w:tr w:rsidR="00831B87" w:rsidTr="00831B87">
        <w:tc>
          <w:tcPr>
            <w:tcW w:w="3234" w:type="dxa"/>
          </w:tcPr>
          <w:p w:rsidR="00831B87" w:rsidRPr="000A4206" w:rsidRDefault="00831B87" w:rsidP="00831B87">
            <w:pPr>
              <w:pStyle w:val="ListParagraph"/>
              <w:numPr>
                <w:ilvl w:val="0"/>
                <w:numId w:val="42"/>
              </w:num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Organisation</w:t>
            </w:r>
          </w:p>
        </w:tc>
        <w:tc>
          <w:tcPr>
            <w:tcW w:w="6008" w:type="dxa"/>
          </w:tcPr>
          <w:p w:rsidR="00831B87" w:rsidRPr="000A4206" w:rsidRDefault="00831B87" w:rsidP="009E2A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Allows </w:t>
            </w:r>
            <w:r w:rsidR="009E2AF6">
              <w:rPr>
                <w:sz w:val="22"/>
                <w:szCs w:val="22"/>
              </w:rPr>
              <w:t>the selection of the organisation data is required for, this will default to the first organisation alphabetically</w:t>
            </w:r>
          </w:p>
        </w:tc>
      </w:tr>
      <w:tr w:rsidR="00831B87" w:rsidTr="00831B87">
        <w:tc>
          <w:tcPr>
            <w:tcW w:w="3234" w:type="dxa"/>
          </w:tcPr>
          <w:p w:rsidR="00831B87" w:rsidRPr="000A4206" w:rsidRDefault="00831B87" w:rsidP="00831B87">
            <w:pPr>
              <w:pStyle w:val="ListParagraph"/>
              <w:numPr>
                <w:ilvl w:val="0"/>
                <w:numId w:val="42"/>
              </w:num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Organisation Type</w:t>
            </w:r>
          </w:p>
        </w:tc>
        <w:tc>
          <w:tcPr>
            <w:tcW w:w="6008" w:type="dxa"/>
          </w:tcPr>
          <w:p w:rsidR="00831B87" w:rsidRPr="000A4206" w:rsidRDefault="00831B87" w:rsidP="00831B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Pr="00792F52">
              <w:rPr>
                <w:sz w:val="22"/>
                <w:szCs w:val="22"/>
              </w:rPr>
              <w:t>llow</w:t>
            </w:r>
            <w:r>
              <w:rPr>
                <w:sz w:val="22"/>
                <w:szCs w:val="22"/>
              </w:rPr>
              <w:t>s</w:t>
            </w:r>
            <w:r w:rsidR="009E2AF6">
              <w:rPr>
                <w:sz w:val="22"/>
                <w:szCs w:val="22"/>
              </w:rPr>
              <w:t xml:space="preserve"> the selection of the organisation type required, this will default to all types selected</w:t>
            </w:r>
          </w:p>
        </w:tc>
      </w:tr>
    </w:tbl>
    <w:p w:rsidR="00792F52" w:rsidRDefault="00792F52" w:rsidP="00404D2E"/>
    <w:p w:rsidR="00D929FC" w:rsidRDefault="00D929FC" w:rsidP="00404D2E"/>
    <w:tbl>
      <w:tblPr>
        <w:tblW w:w="9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8300"/>
      </w:tblGrid>
      <w:tr w:rsidR="00D929FC" w:rsidRPr="000D36E8" w:rsidTr="00D929FC">
        <w:trPr>
          <w:trHeight w:val="737"/>
        </w:trPr>
        <w:tc>
          <w:tcPr>
            <w:tcW w:w="813" w:type="dxa"/>
            <w:shd w:val="clear" w:color="auto" w:fill="F2F2F2"/>
            <w:tcMar>
              <w:top w:w="58" w:type="dxa"/>
              <w:left w:w="43" w:type="dxa"/>
              <w:bottom w:w="58" w:type="dxa"/>
              <w:right w:w="0" w:type="dxa"/>
            </w:tcMar>
            <w:vAlign w:val="center"/>
          </w:tcPr>
          <w:p w:rsidR="00D929FC" w:rsidRPr="000D36E8" w:rsidRDefault="00D929FC" w:rsidP="00D929FC">
            <w:pPr>
              <w:spacing w:after="0" w:line="240" w:lineRule="auto"/>
              <w:rPr>
                <w:noProof/>
                <w:color w:val="333333"/>
                <w:sz w:val="22"/>
              </w:rPr>
            </w:pPr>
            <w:r>
              <w:rPr>
                <w:noProof/>
                <w:color w:val="333333"/>
                <w:sz w:val="22"/>
                <w:lang w:eastAsia="en-GB"/>
              </w:rPr>
              <w:drawing>
                <wp:inline distT="0" distB="0" distL="0" distR="0" wp14:anchorId="0843A4F1" wp14:editId="261B77E9">
                  <wp:extent cx="429260" cy="429260"/>
                  <wp:effectExtent l="0" t="0" r="8890" b="8890"/>
                  <wp:docPr id="176" name="Picture 61" descr="Description: Z:\Images\Bev\info_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Description: Z:\Images\Bev\info_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0" w:type="dxa"/>
            <w:shd w:val="clear" w:color="auto" w:fill="F2F2F2"/>
            <w:tcMar>
              <w:top w:w="58" w:type="dxa"/>
              <w:left w:w="0" w:type="dxa"/>
              <w:bottom w:w="58" w:type="dxa"/>
              <w:right w:w="29" w:type="dxa"/>
            </w:tcMar>
            <w:vAlign w:val="center"/>
          </w:tcPr>
          <w:p w:rsidR="00D929FC" w:rsidRPr="000D36E8" w:rsidRDefault="00D929FC" w:rsidP="00D929FC">
            <w:pPr>
              <w:spacing w:after="0" w:line="240" w:lineRule="auto"/>
              <w:rPr>
                <w:color w:val="333333"/>
              </w:rPr>
            </w:pPr>
            <w:r>
              <w:t>The prompts available to select may differ depending on the report category/report type selected</w:t>
            </w:r>
          </w:p>
        </w:tc>
      </w:tr>
    </w:tbl>
    <w:p w:rsidR="00D929FC" w:rsidRDefault="00D929FC" w:rsidP="00404D2E"/>
    <w:p w:rsidR="00D929FC" w:rsidRDefault="00D929FC" w:rsidP="00404D2E"/>
    <w:p w:rsidR="00831B87" w:rsidRDefault="009E2AF6" w:rsidP="009E2AF6">
      <w:pPr>
        <w:pStyle w:val="ListParagraph"/>
        <w:numPr>
          <w:ilvl w:val="0"/>
          <w:numId w:val="41"/>
        </w:numPr>
      </w:pPr>
      <w:r>
        <w:lastRenderedPageBreak/>
        <w:t xml:space="preserve">Once all criteria has been selected click ‘Apply’ to </w:t>
      </w:r>
      <w:r w:rsidR="004D7264">
        <w:t>update</w:t>
      </w:r>
      <w:r>
        <w:t xml:space="preserve"> the report</w:t>
      </w:r>
    </w:p>
    <w:p w:rsidR="00831B87" w:rsidRDefault="00D929FC" w:rsidP="00404D2E">
      <w:r>
        <w:rPr>
          <w:noProof/>
          <w:lang w:eastAsia="en-GB"/>
        </w:rPr>
        <w:drawing>
          <wp:inline distT="0" distB="0" distL="0" distR="0" wp14:anchorId="1CBB092B" wp14:editId="09A25092">
            <wp:extent cx="5911877" cy="1207008"/>
            <wp:effectExtent l="19050" t="19050" r="12700" b="1270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7792" cy="1214341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7A69F5" w:rsidRDefault="007A69F5" w:rsidP="007A69F5">
      <w:pPr>
        <w:pStyle w:val="Heading2"/>
      </w:pPr>
    </w:p>
    <w:p w:rsidR="00D929FC" w:rsidRDefault="00D929FC" w:rsidP="007A69F5">
      <w:pPr>
        <w:pStyle w:val="Heading2"/>
      </w:pPr>
      <w:bookmarkStart w:id="8" w:name="_Toc531337711"/>
      <w:r>
        <w:t>Time Period Comparisons</w:t>
      </w:r>
      <w:bookmarkEnd w:id="8"/>
      <w:r>
        <w:t xml:space="preserve"> </w:t>
      </w:r>
    </w:p>
    <w:p w:rsidR="00D929FC" w:rsidRDefault="00D929FC" w:rsidP="00D929FC">
      <w:r>
        <w:t>Within some report categories it is possible to compare pr</w:t>
      </w:r>
      <w:r w:rsidR="003F7CDD">
        <w:t>escribing over set time periods</w:t>
      </w:r>
    </w:p>
    <w:p w:rsidR="003F7CDD" w:rsidRDefault="003F7CDD" w:rsidP="00D929FC">
      <w:r>
        <w:rPr>
          <w:noProof/>
          <w:lang w:eastAsia="en-GB"/>
        </w:rPr>
        <w:drawing>
          <wp:inline distT="0" distB="0" distL="0" distR="0" wp14:anchorId="13503DD2" wp14:editId="6E7E63A5">
            <wp:extent cx="5731510" cy="1167734"/>
            <wp:effectExtent l="19050" t="19050" r="21590" b="1397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6773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A6433" w:rsidRPr="00D929FC" w:rsidRDefault="004A6433" w:rsidP="00D929F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4"/>
        <w:gridCol w:w="6008"/>
      </w:tblGrid>
      <w:tr w:rsidR="003F7CDD" w:rsidTr="003F7CDD">
        <w:tc>
          <w:tcPr>
            <w:tcW w:w="3234" w:type="dxa"/>
          </w:tcPr>
          <w:p w:rsidR="003F7CDD" w:rsidRPr="000A4206" w:rsidRDefault="003F7CDD" w:rsidP="003F7CDD">
            <w:pPr>
              <w:pStyle w:val="ListParagraph"/>
              <w:numPr>
                <w:ilvl w:val="0"/>
                <w:numId w:val="45"/>
              </w:num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 Quarter</w:t>
            </w:r>
          </w:p>
        </w:tc>
        <w:tc>
          <w:tcPr>
            <w:tcW w:w="6008" w:type="dxa"/>
          </w:tcPr>
          <w:p w:rsidR="003F7CDD" w:rsidRPr="000A4206" w:rsidRDefault="003F7CDD" w:rsidP="003F7C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Shows data for the 3 month period selected</w:t>
            </w:r>
          </w:p>
        </w:tc>
      </w:tr>
      <w:tr w:rsidR="003F7CDD" w:rsidTr="003F7CDD">
        <w:tc>
          <w:tcPr>
            <w:tcW w:w="3234" w:type="dxa"/>
          </w:tcPr>
          <w:p w:rsidR="003F7CDD" w:rsidRPr="000A4206" w:rsidRDefault="003F7CDD" w:rsidP="003F7CDD">
            <w:pPr>
              <w:pStyle w:val="ListParagraph"/>
              <w:numPr>
                <w:ilvl w:val="0"/>
                <w:numId w:val="45"/>
              </w:num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Quarter on Quarter</w:t>
            </w:r>
          </w:p>
        </w:tc>
        <w:tc>
          <w:tcPr>
            <w:tcW w:w="6008" w:type="dxa"/>
          </w:tcPr>
          <w:p w:rsidR="003F7CDD" w:rsidRPr="000A4206" w:rsidRDefault="003F7CDD" w:rsidP="003F7C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Shows data for the quarter selected and the previous 5 quarters </w:t>
            </w:r>
          </w:p>
        </w:tc>
      </w:tr>
      <w:tr w:rsidR="003F7CDD" w:rsidTr="003F7CDD">
        <w:tc>
          <w:tcPr>
            <w:tcW w:w="3234" w:type="dxa"/>
          </w:tcPr>
          <w:p w:rsidR="003F7CDD" w:rsidRPr="000A4206" w:rsidRDefault="003F7CDD" w:rsidP="003F7CDD">
            <w:pPr>
              <w:pStyle w:val="ListParagraph"/>
              <w:numPr>
                <w:ilvl w:val="0"/>
                <w:numId w:val="45"/>
              </w:numPr>
              <w:spacing w:line="24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Year on Year</w:t>
            </w:r>
          </w:p>
        </w:tc>
        <w:tc>
          <w:tcPr>
            <w:tcW w:w="6008" w:type="dxa"/>
          </w:tcPr>
          <w:p w:rsidR="003F7CDD" w:rsidRPr="000A4206" w:rsidRDefault="003F7CDD" w:rsidP="003F7C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Shows data for the quarter selected and the same quarter for the 2 previous financial years</w:t>
            </w:r>
          </w:p>
        </w:tc>
      </w:tr>
    </w:tbl>
    <w:p w:rsidR="00831B87" w:rsidRDefault="00831B87" w:rsidP="00404D2E"/>
    <w:p w:rsidR="003F7CDD" w:rsidRDefault="003F7CDD" w:rsidP="003F7CDD">
      <w:pPr>
        <w:pStyle w:val="ListParagraph"/>
        <w:numPr>
          <w:ilvl w:val="0"/>
          <w:numId w:val="46"/>
        </w:numPr>
      </w:pPr>
      <w:r>
        <w:t xml:space="preserve">To select </w:t>
      </w:r>
      <w:proofErr w:type="gramStart"/>
      <w:r>
        <w:t>an</w:t>
      </w:r>
      <w:proofErr w:type="gramEnd"/>
      <w:r>
        <w:t xml:space="preserve"> </w:t>
      </w:r>
      <w:r w:rsidR="004D7264">
        <w:t>different</w:t>
      </w:r>
      <w:r>
        <w:t xml:space="preserve"> time period comparison click the link for the time period comparison </w:t>
      </w:r>
      <w:r w:rsidR="001447A0">
        <w:t>you want to view.</w:t>
      </w:r>
    </w:p>
    <w:p w:rsidR="003F7CDD" w:rsidRDefault="004A6433" w:rsidP="003F7CDD">
      <w:r>
        <w:rPr>
          <w:noProof/>
          <w:lang w:eastAsia="en-GB"/>
        </w:rPr>
        <w:drawing>
          <wp:inline distT="0" distB="0" distL="0" distR="0" wp14:anchorId="5DC7FC3E" wp14:editId="039C633B">
            <wp:extent cx="5960180" cy="1214323"/>
            <wp:effectExtent l="19050" t="19050" r="21590" b="2413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83839" cy="121914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tbl>
      <w:tblPr>
        <w:tblW w:w="9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8300"/>
      </w:tblGrid>
      <w:tr w:rsidR="004A6433" w:rsidRPr="000D36E8" w:rsidTr="004A6433">
        <w:trPr>
          <w:trHeight w:val="737"/>
        </w:trPr>
        <w:tc>
          <w:tcPr>
            <w:tcW w:w="813" w:type="dxa"/>
            <w:shd w:val="clear" w:color="auto" w:fill="F2F2F2"/>
            <w:tcMar>
              <w:top w:w="58" w:type="dxa"/>
              <w:left w:w="43" w:type="dxa"/>
              <w:bottom w:w="58" w:type="dxa"/>
              <w:right w:w="0" w:type="dxa"/>
            </w:tcMar>
            <w:vAlign w:val="center"/>
          </w:tcPr>
          <w:p w:rsidR="004A6433" w:rsidRPr="000D36E8" w:rsidRDefault="004A6433" w:rsidP="004A6433">
            <w:pPr>
              <w:spacing w:after="0" w:line="240" w:lineRule="auto"/>
              <w:rPr>
                <w:noProof/>
                <w:color w:val="333333"/>
                <w:sz w:val="22"/>
              </w:rPr>
            </w:pPr>
            <w:r>
              <w:rPr>
                <w:noProof/>
                <w:color w:val="333333"/>
                <w:sz w:val="22"/>
                <w:lang w:eastAsia="en-GB"/>
              </w:rPr>
              <w:drawing>
                <wp:inline distT="0" distB="0" distL="0" distR="0" wp14:anchorId="0DAEC0EC" wp14:editId="042BCE84">
                  <wp:extent cx="429260" cy="429260"/>
                  <wp:effectExtent l="0" t="0" r="8890" b="8890"/>
                  <wp:docPr id="32" name="Picture 61" descr="Description: Z:\Images\Bev\info_butto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Description: Z:\Images\Bev\info_button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0" w:type="dxa"/>
            <w:shd w:val="clear" w:color="auto" w:fill="F2F2F2"/>
            <w:tcMar>
              <w:top w:w="58" w:type="dxa"/>
              <w:left w:w="0" w:type="dxa"/>
              <w:bottom w:w="58" w:type="dxa"/>
              <w:right w:w="29" w:type="dxa"/>
            </w:tcMar>
            <w:vAlign w:val="center"/>
          </w:tcPr>
          <w:p w:rsidR="004A6433" w:rsidRPr="000D36E8" w:rsidRDefault="004A6433" w:rsidP="004A6433">
            <w:pPr>
              <w:spacing w:after="0" w:line="240" w:lineRule="auto"/>
              <w:rPr>
                <w:color w:val="333333"/>
              </w:rPr>
            </w:pPr>
            <w:r>
              <w:t>Any prompts selected will remain selected when navigating between time period comparisons</w:t>
            </w:r>
          </w:p>
        </w:tc>
      </w:tr>
    </w:tbl>
    <w:p w:rsidR="004A6433" w:rsidRDefault="004A6433" w:rsidP="003F7CDD"/>
    <w:p w:rsidR="003F7CDD" w:rsidRDefault="004A6433" w:rsidP="004A6433">
      <w:pPr>
        <w:pStyle w:val="ListParagraph"/>
        <w:numPr>
          <w:ilvl w:val="0"/>
          <w:numId w:val="46"/>
        </w:numPr>
      </w:pPr>
      <w:r>
        <w:lastRenderedPageBreak/>
        <w:t>The time period comparison select will then open</w:t>
      </w:r>
    </w:p>
    <w:p w:rsidR="004A6433" w:rsidRDefault="004A6433" w:rsidP="00404D2E">
      <w:r>
        <w:rPr>
          <w:noProof/>
          <w:lang w:eastAsia="en-GB"/>
        </w:rPr>
        <w:drawing>
          <wp:inline distT="0" distB="0" distL="0" distR="0" wp14:anchorId="325C751B" wp14:editId="6AF5A8D5">
            <wp:extent cx="4345229" cy="3406084"/>
            <wp:effectExtent l="19050" t="19050" r="17780" b="23495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342496" cy="340394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A6433" w:rsidRDefault="004A6433" w:rsidP="00404D2E"/>
    <w:p w:rsidR="00302D71" w:rsidRDefault="00302D71">
      <w:pPr>
        <w:rPr>
          <w:b/>
          <w:color w:val="0072CE"/>
          <w:sz w:val="32"/>
        </w:rPr>
      </w:pPr>
      <w:r>
        <w:br w:type="page"/>
      </w:r>
    </w:p>
    <w:p w:rsidR="004A6433" w:rsidRDefault="004A6433" w:rsidP="004A6433">
      <w:pPr>
        <w:pStyle w:val="Heading1"/>
      </w:pPr>
      <w:bookmarkStart w:id="9" w:name="_Toc531337712"/>
      <w:r>
        <w:lastRenderedPageBreak/>
        <w:t>Printing &amp; Exporting</w:t>
      </w:r>
      <w:bookmarkEnd w:id="9"/>
    </w:p>
    <w:p w:rsidR="004A6433" w:rsidRDefault="004A6433" w:rsidP="00404D2E"/>
    <w:p w:rsidR="004A6433" w:rsidRDefault="004A6433" w:rsidP="00404D2E">
      <w:r>
        <w:t>Once reports have been generated they can be printed and exported from the system into a variety of formats</w:t>
      </w:r>
    </w:p>
    <w:p w:rsidR="004A6433" w:rsidRDefault="004A6433" w:rsidP="004A6433">
      <w:pPr>
        <w:pStyle w:val="Heading3"/>
      </w:pPr>
      <w:r>
        <w:t>Printing</w:t>
      </w:r>
    </w:p>
    <w:p w:rsidR="004A6433" w:rsidRDefault="005937CF" w:rsidP="004A6433">
      <w:pPr>
        <w:pStyle w:val="ListParagraph"/>
        <w:numPr>
          <w:ilvl w:val="0"/>
          <w:numId w:val="47"/>
        </w:numPr>
      </w:pPr>
      <w:r>
        <w:t xml:space="preserve">To print the report </w:t>
      </w:r>
      <w:r w:rsidR="001447A0">
        <w:t>click</w:t>
      </w:r>
      <w:r w:rsidR="004A6433">
        <w:t xml:space="preserve"> the ‘Print’ </w:t>
      </w:r>
      <w:r w:rsidR="001447A0">
        <w:t>icon</w:t>
      </w:r>
      <w:r w:rsidR="004A6433">
        <w:t xml:space="preserve"> shown under the report</w:t>
      </w:r>
    </w:p>
    <w:p w:rsidR="004A6433" w:rsidRDefault="005937CF" w:rsidP="004A6433">
      <w:r>
        <w:rPr>
          <w:noProof/>
          <w:lang w:eastAsia="en-GB"/>
        </w:rPr>
        <w:drawing>
          <wp:inline distT="0" distB="0" distL="0" distR="0" wp14:anchorId="7E25DDD3" wp14:editId="7CFF8B33">
            <wp:extent cx="5731510" cy="2281582"/>
            <wp:effectExtent l="19050" t="19050" r="21590" b="2349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8158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937CF" w:rsidRDefault="005937CF" w:rsidP="005937CF">
      <w:pPr>
        <w:pStyle w:val="ListParagraph"/>
        <w:numPr>
          <w:ilvl w:val="0"/>
          <w:numId w:val="47"/>
        </w:numPr>
      </w:pPr>
      <w:r>
        <w:t>The formats available to print will be displayed</w:t>
      </w:r>
    </w:p>
    <w:p w:rsidR="005937CF" w:rsidRDefault="005937CF" w:rsidP="005937CF">
      <w:r>
        <w:rPr>
          <w:noProof/>
          <w:lang w:eastAsia="en-GB"/>
        </w:rPr>
        <w:drawing>
          <wp:inline distT="0" distB="0" distL="0" distR="0" wp14:anchorId="022FE085" wp14:editId="3CA1B5C8">
            <wp:extent cx="5731510" cy="1596985"/>
            <wp:effectExtent l="19050" t="19050" r="21590" b="228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969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937CF" w:rsidRDefault="005937CF" w:rsidP="005937CF"/>
    <w:p w:rsidR="005937CF" w:rsidRDefault="005937CF" w:rsidP="005937CF">
      <w:pPr>
        <w:pStyle w:val="Heading3"/>
      </w:pPr>
      <w:r>
        <w:t>Exporting</w:t>
      </w:r>
    </w:p>
    <w:p w:rsidR="005937CF" w:rsidRDefault="001447A0" w:rsidP="005937CF">
      <w:pPr>
        <w:pStyle w:val="ListParagraph"/>
        <w:numPr>
          <w:ilvl w:val="0"/>
          <w:numId w:val="48"/>
        </w:numPr>
      </w:pPr>
      <w:r>
        <w:t xml:space="preserve">To export the report click </w:t>
      </w:r>
      <w:r w:rsidR="005937CF">
        <w:t xml:space="preserve">the ‘Export’ </w:t>
      </w:r>
      <w:r>
        <w:t>icon</w:t>
      </w:r>
      <w:r w:rsidR="005937CF">
        <w:t xml:space="preserve"> shown under the report</w:t>
      </w:r>
    </w:p>
    <w:p w:rsidR="005937CF" w:rsidRDefault="005937CF" w:rsidP="005937CF">
      <w:r>
        <w:rPr>
          <w:noProof/>
          <w:lang w:eastAsia="en-GB"/>
        </w:rPr>
        <w:lastRenderedPageBreak/>
        <w:drawing>
          <wp:inline distT="0" distB="0" distL="0" distR="0" wp14:anchorId="5CF9A778" wp14:editId="767103A0">
            <wp:extent cx="5731510" cy="2281582"/>
            <wp:effectExtent l="19050" t="19050" r="21590" b="2349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8158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5937CF" w:rsidRDefault="005937CF" w:rsidP="005937CF">
      <w:pPr>
        <w:pStyle w:val="ListParagraph"/>
        <w:numPr>
          <w:ilvl w:val="0"/>
          <w:numId w:val="48"/>
        </w:numPr>
      </w:pPr>
      <w:r>
        <w:t>The formats available to print will be displayed</w:t>
      </w:r>
    </w:p>
    <w:p w:rsidR="005937CF" w:rsidRDefault="003E7CEB" w:rsidP="005937CF">
      <w:pPr>
        <w:pStyle w:val="ListParagraph"/>
        <w:numPr>
          <w:ilvl w:val="0"/>
          <w:numId w:val="48"/>
        </w:numPr>
      </w:pPr>
      <w:r>
        <w:t>CSV format is available to select under the ‘Data’ option</w:t>
      </w:r>
    </w:p>
    <w:p w:rsidR="005937CF" w:rsidRPr="005937CF" w:rsidRDefault="005937CF" w:rsidP="005937CF">
      <w:r>
        <w:rPr>
          <w:noProof/>
          <w:lang w:eastAsia="en-GB"/>
        </w:rPr>
        <w:drawing>
          <wp:inline distT="0" distB="0" distL="0" distR="0" wp14:anchorId="6568BC82" wp14:editId="7CD20889">
            <wp:extent cx="5731510" cy="1807630"/>
            <wp:effectExtent l="19050" t="19050" r="21590" b="215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076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4A6433" w:rsidRDefault="004A6433" w:rsidP="00404D2E"/>
    <w:p w:rsidR="00302D71" w:rsidRDefault="00302D71">
      <w:pPr>
        <w:rPr>
          <w:b/>
          <w:color w:val="0072CE"/>
          <w:sz w:val="32"/>
        </w:rPr>
      </w:pPr>
      <w:bookmarkStart w:id="10" w:name="_Toc517072397"/>
      <w:r>
        <w:br w:type="page"/>
      </w:r>
    </w:p>
    <w:p w:rsidR="004A00B8" w:rsidRDefault="00604173" w:rsidP="00A66FC5">
      <w:pPr>
        <w:pStyle w:val="Heading1"/>
      </w:pPr>
      <w:bookmarkStart w:id="11" w:name="_Toc531337713"/>
      <w:r>
        <w:lastRenderedPageBreak/>
        <w:t>Getting Help</w:t>
      </w:r>
      <w:bookmarkEnd w:id="10"/>
      <w:bookmarkEnd w:id="11"/>
    </w:p>
    <w:p w:rsidR="00B83E67" w:rsidRDefault="00B83E67" w:rsidP="00B83E67">
      <w:pPr>
        <w:jc w:val="center"/>
        <w:rPr>
          <w:b/>
        </w:rPr>
      </w:pPr>
      <w:r>
        <w:rPr>
          <w:noProof/>
          <w:lang w:eastAsia="en-GB"/>
        </w:rPr>
        <w:drawing>
          <wp:inline distT="0" distB="0" distL="0" distR="0" wp14:anchorId="02E43747" wp14:editId="08295A97">
            <wp:extent cx="2441863" cy="1135250"/>
            <wp:effectExtent l="0" t="0" r="0" b="8255"/>
            <wp:docPr id="30" name="Picture 30" descr="Z:\Images\Bev\HeadersFooterImages\supportIT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Images\Bev\HeadersFooterImages\supportITTS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255" cy="1163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E67" w:rsidRDefault="00B83E67" w:rsidP="00140A8C">
      <w:pPr>
        <w:rPr>
          <w:b/>
        </w:rPr>
      </w:pPr>
    </w:p>
    <w:p w:rsidR="00140A8C" w:rsidRDefault="00140A8C" w:rsidP="00140A8C">
      <w:pPr>
        <w:rPr>
          <w:b/>
        </w:rPr>
      </w:pPr>
      <w:r w:rsidRPr="00F15458">
        <w:rPr>
          <w:b/>
        </w:rPr>
        <w:t>Additional training material and user guides</w:t>
      </w:r>
    </w:p>
    <w:p w:rsidR="00140A8C" w:rsidRPr="00C12595" w:rsidRDefault="00140A8C" w:rsidP="00140A8C">
      <w:r w:rsidRPr="00C12595">
        <w:t>The NHSBSA has developed a number of how to guides to help you get the best out of ePACT2.  These can be found at</w:t>
      </w:r>
      <w:r w:rsidR="00490522">
        <w:t>:</w:t>
      </w:r>
      <w:r w:rsidRPr="00C12595">
        <w:t xml:space="preserve"> </w:t>
      </w:r>
      <w:hyperlink r:id="rId35" w:history="1">
        <w:r w:rsidR="00157929">
          <w:rPr>
            <w:rStyle w:val="Hyperlink"/>
          </w:rPr>
          <w:t>Additional User Guides</w:t>
        </w:r>
      </w:hyperlink>
    </w:p>
    <w:p w:rsidR="00140A8C" w:rsidRPr="00C12595" w:rsidRDefault="00140A8C" w:rsidP="00140A8C">
      <w:pPr>
        <w:rPr>
          <w:b/>
        </w:rPr>
      </w:pPr>
      <w:r w:rsidRPr="00C12595">
        <w:rPr>
          <w:b/>
        </w:rPr>
        <w:t>WebEx sessions</w:t>
      </w:r>
    </w:p>
    <w:p w:rsidR="00140A8C" w:rsidRDefault="00140A8C" w:rsidP="00140A8C">
      <w:r w:rsidRPr="00C12595">
        <w:t>WebEx will be provided on a number of different topics and features.  More information about these can be found here</w:t>
      </w:r>
      <w:r w:rsidR="00490522">
        <w:t xml:space="preserve">: </w:t>
      </w:r>
      <w:hyperlink r:id="rId36" w:history="1">
        <w:r w:rsidR="00157929">
          <w:rPr>
            <w:rStyle w:val="Hyperlink"/>
          </w:rPr>
          <w:t>WebEx Training</w:t>
        </w:r>
      </w:hyperlink>
    </w:p>
    <w:sectPr w:rsidR="00140A8C" w:rsidSect="00604173">
      <w:headerReference w:type="default" r:id="rId37"/>
      <w:footerReference w:type="default" r:id="rId3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764" w:rsidRDefault="00123764" w:rsidP="00AD1427">
      <w:pPr>
        <w:spacing w:after="0" w:line="240" w:lineRule="auto"/>
      </w:pPr>
      <w:r>
        <w:separator/>
      </w:r>
    </w:p>
  </w:endnote>
  <w:endnote w:type="continuationSeparator" w:id="0">
    <w:p w:rsidR="00123764" w:rsidRDefault="00123764" w:rsidP="00AD1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764" w:rsidRPr="00CE1DBD" w:rsidRDefault="001447A0" w:rsidP="00CE1DBD">
    <w:pPr>
      <w:pStyle w:val="Footer"/>
    </w:pPr>
    <w:fldSimple w:instr=" FILENAME   \* MERGEFORMAT ">
      <w:r w:rsidR="007375C6">
        <w:rPr>
          <w:noProof/>
        </w:rPr>
        <w:t>ePACT2 - Accessing Catalyst - Public Insight Portal v1</w:t>
      </w:r>
    </w:fldSimple>
    <w:r w:rsidR="00123764">
      <w:tab/>
    </w:r>
    <w:r w:rsidR="00123764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764" w:rsidRPr="00CE1DBD" w:rsidRDefault="001447A0" w:rsidP="00CE1DBD">
    <w:pPr>
      <w:pStyle w:val="Footer"/>
    </w:pPr>
    <w:fldSimple w:instr=" FILENAME   \* MERGEFORMAT ">
      <w:r w:rsidR="007375C6">
        <w:rPr>
          <w:noProof/>
        </w:rPr>
        <w:t>ePACT2 - Accessing Catalyst - Public Insight Portal v1</w:t>
      </w:r>
    </w:fldSimple>
    <w:r w:rsidR="00123764">
      <w:tab/>
    </w:r>
    <w:r w:rsidR="00123764">
      <w:tab/>
      <w:t xml:space="preserve">Page | </w:t>
    </w:r>
    <w:r w:rsidR="00123764">
      <w:fldChar w:fldCharType="begin"/>
    </w:r>
    <w:r w:rsidR="00123764">
      <w:instrText xml:space="preserve"> PAGE   \* MERGEFORMAT </w:instrText>
    </w:r>
    <w:r w:rsidR="00123764">
      <w:fldChar w:fldCharType="separate"/>
    </w:r>
    <w:r w:rsidR="007375C6">
      <w:rPr>
        <w:noProof/>
      </w:rPr>
      <w:t>2</w:t>
    </w:r>
    <w:r w:rsidR="0012376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764" w:rsidRDefault="00123764" w:rsidP="00AD1427">
      <w:pPr>
        <w:spacing w:after="0" w:line="240" w:lineRule="auto"/>
      </w:pPr>
      <w:r>
        <w:separator/>
      </w:r>
    </w:p>
  </w:footnote>
  <w:footnote w:type="continuationSeparator" w:id="0">
    <w:p w:rsidR="00123764" w:rsidRDefault="00123764" w:rsidP="00AD1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764" w:rsidRDefault="00123764" w:rsidP="00D95C1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05B13695" wp14:editId="7A879771">
          <wp:simplePos x="0" y="0"/>
          <wp:positionH relativeFrom="column">
            <wp:posOffset>-914400</wp:posOffset>
          </wp:positionH>
          <wp:positionV relativeFrom="paragraph">
            <wp:posOffset>-456565</wp:posOffset>
          </wp:positionV>
          <wp:extent cx="7560310" cy="1738630"/>
          <wp:effectExtent l="0" t="0" r="2540" b="0"/>
          <wp:wrapTight wrapText="bothSides">
            <wp:wrapPolygon edited="0">
              <wp:start x="0" y="0"/>
              <wp:lineTo x="0" y="21300"/>
              <wp:lineTo x="21553" y="21300"/>
              <wp:lineTo x="21553" y="0"/>
              <wp:lineTo x="0" y="0"/>
            </wp:wrapPolygon>
          </wp:wrapTight>
          <wp:docPr id="6" name="Picture 6" descr="P:\07 Communications\Publications - Nicky\Identity and Branding\01.New artwork - 08.2016\01.Swish artwork - July 2016\Swish artwork - Jpgs\Information Services Swish A4 Portrait - To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:\07 Communications\Publications - Nicky\Identity and Branding\01.New artwork - 08.2016\01.Swish artwork - July 2016\Swish artwork - Jpgs\Information Services Swish A4 Portrait - To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8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3764" w:rsidRDefault="0012376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3764" w:rsidRDefault="00123764">
    <w:pPr>
      <w:pStyle w:val="Header"/>
    </w:pPr>
    <w:r>
      <w:tab/>
    </w:r>
    <w:r>
      <w:tab/>
    </w:r>
    <w:r>
      <w:rPr>
        <w:noProof/>
      </w:rPr>
      <w:fldChar w:fldCharType="begin"/>
    </w:r>
    <w:r>
      <w:rPr>
        <w:noProof/>
      </w:rPr>
      <w:instrText xml:space="preserve"> STYLEREF  "Heading 1"  \* MERGEFORMAT </w:instrText>
    </w:r>
    <w:r>
      <w:rPr>
        <w:noProof/>
      </w:rPr>
      <w:fldChar w:fldCharType="separate"/>
    </w:r>
    <w:r w:rsidR="007375C6">
      <w:rPr>
        <w:noProof/>
      </w:rPr>
      <w:t>Accessing Catalyst (Public Insight Portal)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32FFC"/>
    <w:multiLevelType w:val="multilevel"/>
    <w:tmpl w:val="F38263B6"/>
    <w:lvl w:ilvl="0">
      <w:start w:val="1"/>
      <w:numFmt w:val="bullet"/>
      <w:pStyle w:val="BulletPoints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7241825"/>
    <w:multiLevelType w:val="multilevel"/>
    <w:tmpl w:val="A966205A"/>
    <w:styleLink w:val="Numbers"/>
    <w:lvl w:ilvl="0">
      <w:start w:val="1"/>
      <w:numFmt w:val="decimal"/>
      <w:pStyle w:val="ListParagraph"/>
      <w:lvlText w:val="%1."/>
      <w:lvlJc w:val="left"/>
      <w:pPr>
        <w:ind w:left="714" w:hanging="714"/>
      </w:pPr>
      <w:rPr>
        <w:rFonts w:ascii="Arial" w:hAnsi="Arial" w:hint="default"/>
        <w:sz w:val="24"/>
      </w:rPr>
    </w:lvl>
    <w:lvl w:ilvl="1">
      <w:start w:val="1"/>
      <w:numFmt w:val="lowerLetter"/>
      <w:lvlText w:val="%2)"/>
      <w:lvlJc w:val="left"/>
      <w:pPr>
        <w:ind w:left="1071" w:hanging="71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28" w:hanging="71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85" w:hanging="71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2" w:hanging="71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499" w:hanging="71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56" w:hanging="71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3" w:hanging="71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0" w:hanging="714"/>
      </w:pPr>
      <w:rPr>
        <w:rFonts w:hint="default"/>
      </w:rPr>
    </w:lvl>
  </w:abstractNum>
  <w:abstractNum w:abstractNumId="2">
    <w:nsid w:val="0C64124F"/>
    <w:multiLevelType w:val="hybridMultilevel"/>
    <w:tmpl w:val="10A258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67343"/>
    <w:multiLevelType w:val="hybridMultilevel"/>
    <w:tmpl w:val="2670E59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542F05"/>
    <w:multiLevelType w:val="hybridMultilevel"/>
    <w:tmpl w:val="C8F4C9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20AA3"/>
    <w:multiLevelType w:val="hybridMultilevel"/>
    <w:tmpl w:val="40A2E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A7372"/>
    <w:multiLevelType w:val="hybridMultilevel"/>
    <w:tmpl w:val="64429D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AD241D"/>
    <w:multiLevelType w:val="hybridMultilevel"/>
    <w:tmpl w:val="2670E59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746B0"/>
    <w:multiLevelType w:val="hybridMultilevel"/>
    <w:tmpl w:val="A210CD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A6108B"/>
    <w:multiLevelType w:val="hybridMultilevel"/>
    <w:tmpl w:val="5D4816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E3F60"/>
    <w:multiLevelType w:val="hybridMultilevel"/>
    <w:tmpl w:val="E0F847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720F4F"/>
    <w:multiLevelType w:val="hybridMultilevel"/>
    <w:tmpl w:val="A16C1C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4B40F4"/>
    <w:multiLevelType w:val="hybridMultilevel"/>
    <w:tmpl w:val="2670E59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4110D0"/>
    <w:multiLevelType w:val="hybridMultilevel"/>
    <w:tmpl w:val="2670E59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CB216F"/>
    <w:multiLevelType w:val="multilevel"/>
    <w:tmpl w:val="A966205A"/>
    <w:numStyleLink w:val="Numbers"/>
  </w:abstractNum>
  <w:abstractNum w:abstractNumId="15">
    <w:nsid w:val="7AAB47B5"/>
    <w:multiLevelType w:val="hybridMultilevel"/>
    <w:tmpl w:val="399EAAC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B961CF"/>
    <w:multiLevelType w:val="hybridMultilevel"/>
    <w:tmpl w:val="3E2801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4"/>
    <w:lvlOverride w:ilvl="0">
      <w:lvl w:ilvl="0">
        <w:start w:val="1"/>
        <w:numFmt w:val="decimal"/>
        <w:pStyle w:val="ListParagraph"/>
        <w:lvlText w:val="%1."/>
        <w:lvlJc w:val="left"/>
        <w:pPr>
          <w:ind w:left="714" w:hanging="714"/>
        </w:pPr>
        <w:rPr>
          <w:rFonts w:ascii="Arial" w:hAnsi="Arial" w:hint="default"/>
          <w:sz w:val="24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071" w:hanging="71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28" w:hanging="71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85" w:hanging="71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42" w:hanging="71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499" w:hanging="71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56" w:hanging="71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13" w:hanging="71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570" w:hanging="714"/>
        </w:pPr>
        <w:rPr>
          <w:rFonts w:hint="default"/>
        </w:rPr>
      </w:lvl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"/>
  </w:num>
  <w:num w:numId="7">
    <w:abstractNumId w:val="11"/>
  </w:num>
  <w:num w:numId="8">
    <w:abstractNumId w:val="9"/>
  </w:num>
  <w:num w:numId="9">
    <w:abstractNumId w:val="5"/>
  </w:num>
  <w:num w:numId="10">
    <w:abstractNumId w:val="6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  <w:lvl w:ilvl="0">
        <w:start w:val="1"/>
        <w:numFmt w:val="decimal"/>
        <w:pStyle w:val="ListParagraph"/>
        <w:lvlText w:val="%1."/>
        <w:lvlJc w:val="left"/>
        <w:pPr>
          <w:ind w:left="714" w:hanging="714"/>
        </w:pPr>
        <w:rPr>
          <w:rFonts w:ascii="Arial" w:hAnsi="Arial" w:hint="default"/>
          <w:b w:val="0"/>
          <w:color w:val="auto"/>
          <w:sz w:val="24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1071" w:hanging="714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428" w:hanging="71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785" w:hanging="71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2142" w:hanging="71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499" w:hanging="71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856" w:hanging="71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213" w:hanging="71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570" w:hanging="714"/>
        </w:pPr>
        <w:rPr>
          <w:rFonts w:hint="default"/>
        </w:rPr>
      </w:lvl>
    </w:lvlOverride>
  </w:num>
  <w:num w:numId="37">
    <w:abstractNumId w:val="14"/>
    <w:lvlOverride w:ilvl="0">
      <w:startOverride w:val="1"/>
      <w:lvl w:ilvl="0">
        <w:start w:val="1"/>
        <w:numFmt w:val="decimal"/>
        <w:pStyle w:val="ListParagraph"/>
        <w:lvlText w:val="%1."/>
        <w:lvlJc w:val="left"/>
        <w:pPr>
          <w:ind w:left="714" w:hanging="714"/>
        </w:pPr>
        <w:rPr>
          <w:rFonts w:ascii="Arial" w:hAnsi="Arial" w:hint="default"/>
          <w:sz w:val="24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1071" w:hanging="714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428" w:hanging="71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785" w:hanging="71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2142" w:hanging="71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499" w:hanging="71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856" w:hanging="71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213" w:hanging="71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570" w:hanging="714"/>
        </w:pPr>
        <w:rPr>
          <w:rFonts w:hint="default"/>
        </w:rPr>
      </w:lvl>
    </w:lvlOverride>
  </w:num>
  <w:num w:numId="38">
    <w:abstractNumId w:val="14"/>
  </w:num>
  <w:num w:numId="39">
    <w:abstractNumId w:val="8"/>
  </w:num>
  <w:num w:numId="40">
    <w:abstractNumId w:val="7"/>
  </w:num>
  <w:num w:numId="41">
    <w:abstractNumId w:val="14"/>
    <w:lvlOverride w:ilvl="0">
      <w:lvl w:ilvl="0">
        <w:start w:val="1"/>
        <w:numFmt w:val="decimal"/>
        <w:pStyle w:val="ListParagraph"/>
        <w:lvlText w:val="%1."/>
        <w:lvlJc w:val="left"/>
        <w:pPr>
          <w:ind w:left="714" w:hanging="714"/>
        </w:pPr>
        <w:rPr>
          <w:rFonts w:ascii="Arial" w:hAnsi="Arial" w:hint="default"/>
          <w:sz w:val="24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1071" w:hanging="714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428" w:hanging="714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785" w:hanging="71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2142" w:hanging="71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499" w:hanging="71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56" w:hanging="71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213" w:hanging="71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570" w:hanging="714"/>
        </w:pPr>
        <w:rPr>
          <w:rFonts w:hint="default"/>
        </w:rPr>
      </w:lvl>
    </w:lvlOverride>
  </w:num>
  <w:num w:numId="42">
    <w:abstractNumId w:val="3"/>
  </w:num>
  <w:num w:numId="43">
    <w:abstractNumId w:val="14"/>
    <w:lvlOverride w:ilvl="0">
      <w:startOverride w:val="1"/>
      <w:lvl w:ilvl="0">
        <w:start w:val="1"/>
        <w:numFmt w:val="decimal"/>
        <w:pStyle w:val="ListParagraph"/>
        <w:lvlText w:val="%1."/>
        <w:lvlJc w:val="left"/>
        <w:pPr>
          <w:ind w:left="714" w:hanging="714"/>
        </w:pPr>
        <w:rPr>
          <w:rFonts w:ascii="Arial" w:hAnsi="Arial" w:hint="default"/>
          <w:sz w:val="24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1071" w:hanging="714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428" w:hanging="71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785" w:hanging="71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2142" w:hanging="71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499" w:hanging="71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856" w:hanging="71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213" w:hanging="71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570" w:hanging="714"/>
        </w:pPr>
        <w:rPr>
          <w:rFonts w:hint="default"/>
        </w:rPr>
      </w:lvl>
    </w:lvlOverride>
  </w:num>
  <w:num w:numId="44">
    <w:abstractNumId w:val="14"/>
    <w:lvlOverride w:ilvl="0">
      <w:startOverride w:val="1"/>
      <w:lvl w:ilvl="0">
        <w:start w:val="1"/>
        <w:numFmt w:val="decimal"/>
        <w:pStyle w:val="ListParagraph"/>
        <w:lvlText w:val="%1."/>
        <w:lvlJc w:val="left"/>
        <w:pPr>
          <w:ind w:left="714" w:hanging="714"/>
        </w:pPr>
        <w:rPr>
          <w:rFonts w:ascii="Arial" w:hAnsi="Arial" w:hint="default"/>
          <w:sz w:val="24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1071" w:hanging="714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428" w:hanging="71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785" w:hanging="71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2142" w:hanging="71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499" w:hanging="71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856" w:hanging="71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213" w:hanging="71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570" w:hanging="714"/>
        </w:pPr>
        <w:rPr>
          <w:rFonts w:hint="default"/>
        </w:rPr>
      </w:lvl>
    </w:lvlOverride>
  </w:num>
  <w:num w:numId="45">
    <w:abstractNumId w:val="12"/>
  </w:num>
  <w:num w:numId="46">
    <w:abstractNumId w:val="14"/>
    <w:lvlOverride w:ilvl="0">
      <w:startOverride w:val="1"/>
      <w:lvl w:ilvl="0">
        <w:start w:val="1"/>
        <w:numFmt w:val="decimal"/>
        <w:pStyle w:val="ListParagraph"/>
        <w:lvlText w:val="%1."/>
        <w:lvlJc w:val="left"/>
        <w:pPr>
          <w:ind w:left="714" w:hanging="714"/>
        </w:pPr>
        <w:rPr>
          <w:rFonts w:ascii="Arial" w:hAnsi="Arial" w:hint="default"/>
          <w:sz w:val="24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1071" w:hanging="714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428" w:hanging="71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785" w:hanging="71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2142" w:hanging="71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499" w:hanging="71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856" w:hanging="71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213" w:hanging="71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570" w:hanging="714"/>
        </w:pPr>
        <w:rPr>
          <w:rFonts w:hint="default"/>
        </w:rPr>
      </w:lvl>
    </w:lvlOverride>
  </w:num>
  <w:num w:numId="47">
    <w:abstractNumId w:val="14"/>
    <w:lvlOverride w:ilvl="0">
      <w:startOverride w:val="1"/>
      <w:lvl w:ilvl="0">
        <w:start w:val="1"/>
        <w:numFmt w:val="decimal"/>
        <w:pStyle w:val="ListParagraph"/>
        <w:lvlText w:val="%1."/>
        <w:lvlJc w:val="left"/>
        <w:pPr>
          <w:ind w:left="714" w:hanging="714"/>
        </w:pPr>
        <w:rPr>
          <w:rFonts w:ascii="Arial" w:hAnsi="Arial" w:hint="default"/>
          <w:sz w:val="24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1071" w:hanging="714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428" w:hanging="71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785" w:hanging="71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2142" w:hanging="71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499" w:hanging="71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856" w:hanging="71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213" w:hanging="71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570" w:hanging="714"/>
        </w:pPr>
        <w:rPr>
          <w:rFonts w:hint="default"/>
        </w:rPr>
      </w:lvl>
    </w:lvlOverride>
  </w:num>
  <w:num w:numId="48">
    <w:abstractNumId w:val="14"/>
    <w:lvlOverride w:ilvl="0">
      <w:startOverride w:val="1"/>
      <w:lvl w:ilvl="0">
        <w:start w:val="1"/>
        <w:numFmt w:val="decimal"/>
        <w:pStyle w:val="ListParagraph"/>
        <w:lvlText w:val="%1."/>
        <w:lvlJc w:val="left"/>
        <w:pPr>
          <w:ind w:left="714" w:hanging="714"/>
        </w:pPr>
        <w:rPr>
          <w:rFonts w:ascii="Arial" w:hAnsi="Arial" w:hint="default"/>
          <w:sz w:val="24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1071" w:hanging="714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428" w:hanging="71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785" w:hanging="714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2142" w:hanging="714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499" w:hanging="714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856" w:hanging="714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3213" w:hanging="714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570" w:hanging="714"/>
        </w:pPr>
        <w:rPr>
          <w:rFonts w:hint="default"/>
        </w:rPr>
      </w:lvl>
    </w:lvlOverride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D5E"/>
    <w:rsid w:val="00013493"/>
    <w:rsid w:val="0003474C"/>
    <w:rsid w:val="00036185"/>
    <w:rsid w:val="0004435D"/>
    <w:rsid w:val="00045E1B"/>
    <w:rsid w:val="000738CD"/>
    <w:rsid w:val="0007409D"/>
    <w:rsid w:val="00075BB9"/>
    <w:rsid w:val="00076A18"/>
    <w:rsid w:val="0008085F"/>
    <w:rsid w:val="00091142"/>
    <w:rsid w:val="000A18B5"/>
    <w:rsid w:val="000A4206"/>
    <w:rsid w:val="000B083B"/>
    <w:rsid w:val="000C3963"/>
    <w:rsid w:val="000F0C89"/>
    <w:rsid w:val="000F11D7"/>
    <w:rsid w:val="00123764"/>
    <w:rsid w:val="001263C8"/>
    <w:rsid w:val="00140A8C"/>
    <w:rsid w:val="001447A0"/>
    <w:rsid w:val="001511D3"/>
    <w:rsid w:val="00157929"/>
    <w:rsid w:val="00163C78"/>
    <w:rsid w:val="00182FE6"/>
    <w:rsid w:val="00187057"/>
    <w:rsid w:val="00194562"/>
    <w:rsid w:val="00194714"/>
    <w:rsid w:val="001A1D5E"/>
    <w:rsid w:val="001A31A4"/>
    <w:rsid w:val="001A7601"/>
    <w:rsid w:val="001B0D01"/>
    <w:rsid w:val="001C4661"/>
    <w:rsid w:val="001D405C"/>
    <w:rsid w:val="001E6395"/>
    <w:rsid w:val="001E78F5"/>
    <w:rsid w:val="0022588B"/>
    <w:rsid w:val="0023002D"/>
    <w:rsid w:val="00236E80"/>
    <w:rsid w:val="002541D9"/>
    <w:rsid w:val="002B7FDC"/>
    <w:rsid w:val="002C0501"/>
    <w:rsid w:val="002C7731"/>
    <w:rsid w:val="00302D71"/>
    <w:rsid w:val="00320A20"/>
    <w:rsid w:val="00340198"/>
    <w:rsid w:val="00356B61"/>
    <w:rsid w:val="00362AE1"/>
    <w:rsid w:val="00376A8C"/>
    <w:rsid w:val="00381AF1"/>
    <w:rsid w:val="00382F33"/>
    <w:rsid w:val="0039101D"/>
    <w:rsid w:val="003B7A83"/>
    <w:rsid w:val="003E7CEB"/>
    <w:rsid w:val="003F022E"/>
    <w:rsid w:val="003F1D68"/>
    <w:rsid w:val="003F7CDD"/>
    <w:rsid w:val="004036D0"/>
    <w:rsid w:val="0040419D"/>
    <w:rsid w:val="00404D2E"/>
    <w:rsid w:val="00407BE6"/>
    <w:rsid w:val="00425DCE"/>
    <w:rsid w:val="0044490B"/>
    <w:rsid w:val="00460804"/>
    <w:rsid w:val="00461485"/>
    <w:rsid w:val="0046418D"/>
    <w:rsid w:val="00481C95"/>
    <w:rsid w:val="00484C52"/>
    <w:rsid w:val="00490522"/>
    <w:rsid w:val="004A00B8"/>
    <w:rsid w:val="004A6433"/>
    <w:rsid w:val="004A64F6"/>
    <w:rsid w:val="004B0079"/>
    <w:rsid w:val="004D7264"/>
    <w:rsid w:val="004E079F"/>
    <w:rsid w:val="0050125B"/>
    <w:rsid w:val="00507592"/>
    <w:rsid w:val="00514340"/>
    <w:rsid w:val="00515CCA"/>
    <w:rsid w:val="00517EC1"/>
    <w:rsid w:val="005475D9"/>
    <w:rsid w:val="005536D5"/>
    <w:rsid w:val="0055488C"/>
    <w:rsid w:val="00555111"/>
    <w:rsid w:val="00562843"/>
    <w:rsid w:val="0057271B"/>
    <w:rsid w:val="005755F0"/>
    <w:rsid w:val="005848D3"/>
    <w:rsid w:val="005937CF"/>
    <w:rsid w:val="00593A0C"/>
    <w:rsid w:val="00594E89"/>
    <w:rsid w:val="005A4F58"/>
    <w:rsid w:val="005B2038"/>
    <w:rsid w:val="005E0E3C"/>
    <w:rsid w:val="005F305D"/>
    <w:rsid w:val="00601482"/>
    <w:rsid w:val="00604173"/>
    <w:rsid w:val="00606B10"/>
    <w:rsid w:val="006123A1"/>
    <w:rsid w:val="00620397"/>
    <w:rsid w:val="00630759"/>
    <w:rsid w:val="006349A9"/>
    <w:rsid w:val="00645328"/>
    <w:rsid w:val="00660D79"/>
    <w:rsid w:val="006800E4"/>
    <w:rsid w:val="0068124E"/>
    <w:rsid w:val="00683D29"/>
    <w:rsid w:val="00685105"/>
    <w:rsid w:val="006A16AF"/>
    <w:rsid w:val="006D787F"/>
    <w:rsid w:val="006E08DF"/>
    <w:rsid w:val="006F3325"/>
    <w:rsid w:val="006F68E5"/>
    <w:rsid w:val="00704A60"/>
    <w:rsid w:val="00712904"/>
    <w:rsid w:val="00712F54"/>
    <w:rsid w:val="00712FDB"/>
    <w:rsid w:val="0071409A"/>
    <w:rsid w:val="00714B0A"/>
    <w:rsid w:val="007375C6"/>
    <w:rsid w:val="00737D0D"/>
    <w:rsid w:val="007432B5"/>
    <w:rsid w:val="007439B5"/>
    <w:rsid w:val="00747FA9"/>
    <w:rsid w:val="00784A5E"/>
    <w:rsid w:val="00791B69"/>
    <w:rsid w:val="00792F52"/>
    <w:rsid w:val="007A69F5"/>
    <w:rsid w:val="007C00A7"/>
    <w:rsid w:val="007C2ECD"/>
    <w:rsid w:val="007D3D0B"/>
    <w:rsid w:val="007E3B44"/>
    <w:rsid w:val="007E62F4"/>
    <w:rsid w:val="00802AE8"/>
    <w:rsid w:val="00805B87"/>
    <w:rsid w:val="00810FE1"/>
    <w:rsid w:val="00811341"/>
    <w:rsid w:val="00831B87"/>
    <w:rsid w:val="008361A8"/>
    <w:rsid w:val="00836C6B"/>
    <w:rsid w:val="00846CCE"/>
    <w:rsid w:val="00853C1F"/>
    <w:rsid w:val="008605B4"/>
    <w:rsid w:val="00871D38"/>
    <w:rsid w:val="008752DE"/>
    <w:rsid w:val="00895110"/>
    <w:rsid w:val="008B047F"/>
    <w:rsid w:val="008C6CD9"/>
    <w:rsid w:val="008D39C1"/>
    <w:rsid w:val="008D6F8F"/>
    <w:rsid w:val="008E0C78"/>
    <w:rsid w:val="008F2634"/>
    <w:rsid w:val="008F27FC"/>
    <w:rsid w:val="008F4362"/>
    <w:rsid w:val="00903C03"/>
    <w:rsid w:val="00906B65"/>
    <w:rsid w:val="0091766C"/>
    <w:rsid w:val="00922C35"/>
    <w:rsid w:val="00954943"/>
    <w:rsid w:val="00957694"/>
    <w:rsid w:val="009625B8"/>
    <w:rsid w:val="00975223"/>
    <w:rsid w:val="00977398"/>
    <w:rsid w:val="00985020"/>
    <w:rsid w:val="009A4CBF"/>
    <w:rsid w:val="009B2AB9"/>
    <w:rsid w:val="009C4956"/>
    <w:rsid w:val="009E1C7F"/>
    <w:rsid w:val="009E2AF6"/>
    <w:rsid w:val="009F516E"/>
    <w:rsid w:val="009F76B5"/>
    <w:rsid w:val="00A01526"/>
    <w:rsid w:val="00A1261A"/>
    <w:rsid w:val="00A20A2A"/>
    <w:rsid w:val="00A255E1"/>
    <w:rsid w:val="00A309AF"/>
    <w:rsid w:val="00A317F6"/>
    <w:rsid w:val="00A50DB0"/>
    <w:rsid w:val="00A6064A"/>
    <w:rsid w:val="00A65462"/>
    <w:rsid w:val="00A66FC5"/>
    <w:rsid w:val="00A85420"/>
    <w:rsid w:val="00A913A6"/>
    <w:rsid w:val="00A950E8"/>
    <w:rsid w:val="00AA1ECC"/>
    <w:rsid w:val="00AA3645"/>
    <w:rsid w:val="00AB4FA5"/>
    <w:rsid w:val="00AB5F45"/>
    <w:rsid w:val="00AC25D9"/>
    <w:rsid w:val="00AD1427"/>
    <w:rsid w:val="00AD56FF"/>
    <w:rsid w:val="00B0628A"/>
    <w:rsid w:val="00B115BC"/>
    <w:rsid w:val="00B16B06"/>
    <w:rsid w:val="00B3394A"/>
    <w:rsid w:val="00B36F5A"/>
    <w:rsid w:val="00B42644"/>
    <w:rsid w:val="00B43501"/>
    <w:rsid w:val="00B54D63"/>
    <w:rsid w:val="00B57B97"/>
    <w:rsid w:val="00B711CE"/>
    <w:rsid w:val="00B83E67"/>
    <w:rsid w:val="00B85E3C"/>
    <w:rsid w:val="00B863E3"/>
    <w:rsid w:val="00B916A2"/>
    <w:rsid w:val="00BC00F6"/>
    <w:rsid w:val="00BC2181"/>
    <w:rsid w:val="00BF5464"/>
    <w:rsid w:val="00C00599"/>
    <w:rsid w:val="00C05C52"/>
    <w:rsid w:val="00C07969"/>
    <w:rsid w:val="00C11AF8"/>
    <w:rsid w:val="00C14E76"/>
    <w:rsid w:val="00C16A72"/>
    <w:rsid w:val="00C16D45"/>
    <w:rsid w:val="00C2017E"/>
    <w:rsid w:val="00C22A56"/>
    <w:rsid w:val="00C42D36"/>
    <w:rsid w:val="00C52C6E"/>
    <w:rsid w:val="00C66F88"/>
    <w:rsid w:val="00C74CED"/>
    <w:rsid w:val="00C80C0E"/>
    <w:rsid w:val="00C90237"/>
    <w:rsid w:val="00C95768"/>
    <w:rsid w:val="00C95D26"/>
    <w:rsid w:val="00CA465F"/>
    <w:rsid w:val="00CD56EF"/>
    <w:rsid w:val="00CE1DBD"/>
    <w:rsid w:val="00CF35D9"/>
    <w:rsid w:val="00D01C86"/>
    <w:rsid w:val="00D02E95"/>
    <w:rsid w:val="00D37A64"/>
    <w:rsid w:val="00D555DC"/>
    <w:rsid w:val="00D70C03"/>
    <w:rsid w:val="00D87BDD"/>
    <w:rsid w:val="00D929FC"/>
    <w:rsid w:val="00D95C16"/>
    <w:rsid w:val="00DB3E31"/>
    <w:rsid w:val="00DC074D"/>
    <w:rsid w:val="00DE6686"/>
    <w:rsid w:val="00DF0012"/>
    <w:rsid w:val="00E00AC6"/>
    <w:rsid w:val="00E01831"/>
    <w:rsid w:val="00E02334"/>
    <w:rsid w:val="00E259EF"/>
    <w:rsid w:val="00E27A0E"/>
    <w:rsid w:val="00E45440"/>
    <w:rsid w:val="00E63631"/>
    <w:rsid w:val="00E85388"/>
    <w:rsid w:val="00EA3DC9"/>
    <w:rsid w:val="00EC3F22"/>
    <w:rsid w:val="00EE122E"/>
    <w:rsid w:val="00F24453"/>
    <w:rsid w:val="00F25594"/>
    <w:rsid w:val="00F41C82"/>
    <w:rsid w:val="00F44BEC"/>
    <w:rsid w:val="00F4628F"/>
    <w:rsid w:val="00F634A2"/>
    <w:rsid w:val="00F70468"/>
    <w:rsid w:val="00F8428E"/>
    <w:rsid w:val="00FD018A"/>
    <w:rsid w:val="00FF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3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C95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A66FC5"/>
    <w:pPr>
      <w:pBdr>
        <w:top w:val="single" w:sz="12" w:space="1" w:color="auto"/>
        <w:bottom w:val="single" w:sz="12" w:space="1" w:color="auto"/>
      </w:pBdr>
      <w:outlineLvl w:val="0"/>
    </w:pPr>
    <w:rPr>
      <w:b/>
      <w:color w:val="0072CE"/>
      <w:sz w:val="32"/>
    </w:rPr>
  </w:style>
  <w:style w:type="paragraph" w:styleId="Heading2">
    <w:name w:val="heading 2"/>
    <w:basedOn w:val="Heading1"/>
    <w:next w:val="Normal"/>
    <w:link w:val="Heading2Char"/>
    <w:uiPriority w:val="3"/>
    <w:qFormat/>
    <w:rsid w:val="00B863E3"/>
    <w:pPr>
      <w:pBdr>
        <w:top w:val="none" w:sz="0" w:space="0" w:color="auto"/>
        <w:bottom w:val="none" w:sz="0" w:space="0" w:color="auto"/>
      </w:pBdr>
      <w:spacing w:before="240" w:after="240"/>
      <w:outlineLvl w:val="1"/>
    </w:pPr>
  </w:style>
  <w:style w:type="paragraph" w:styleId="Heading3">
    <w:name w:val="heading 3"/>
    <w:basedOn w:val="Heading2"/>
    <w:next w:val="Normal"/>
    <w:link w:val="Heading3Char"/>
    <w:uiPriority w:val="3"/>
    <w:qFormat/>
    <w:rsid w:val="00AD1427"/>
    <w:pPr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"/>
    <w:basedOn w:val="Normal"/>
    <w:link w:val="ListParagraphChar"/>
    <w:uiPriority w:val="4"/>
    <w:qFormat/>
    <w:rsid w:val="00340198"/>
    <w:pPr>
      <w:numPr>
        <w:numId w:val="3"/>
      </w:numPr>
      <w:spacing w:line="360" w:lineRule="auto"/>
    </w:pPr>
    <w:rPr>
      <w:lang w:eastAsia="en-GB"/>
    </w:rPr>
  </w:style>
  <w:style w:type="paragraph" w:styleId="NoSpacing">
    <w:name w:val="No Spacing"/>
    <w:uiPriority w:val="1"/>
    <w:qFormat/>
    <w:rsid w:val="00AD1427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A66FC5"/>
    <w:rPr>
      <w:rFonts w:ascii="Arial" w:hAnsi="Arial" w:cs="Arial"/>
      <w:b/>
      <w:color w:val="0072CE"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481C95"/>
    <w:rPr>
      <w:rFonts w:ascii="Arial" w:hAnsi="Arial" w:cs="Arial"/>
      <w:b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3"/>
    <w:rsid w:val="00481C95"/>
    <w:rPr>
      <w:rFonts w:ascii="Arial" w:hAnsi="Arial" w:cs="Arial"/>
      <w:b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D1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427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1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427"/>
    <w:rPr>
      <w:rFonts w:ascii="Arial" w:hAnsi="Arial" w:cs="Arial"/>
      <w:sz w:val="24"/>
      <w:szCs w:val="24"/>
    </w:rPr>
  </w:style>
  <w:style w:type="paragraph" w:customStyle="1" w:styleId="TitlenotforTOC">
    <w:name w:val="Title (not for TOC)"/>
    <w:basedOn w:val="Normal"/>
    <w:next w:val="Normal"/>
    <w:uiPriority w:val="5"/>
    <w:rsid w:val="00B863E3"/>
    <w:rPr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963"/>
    <w:rPr>
      <w:rFonts w:ascii="Tahoma" w:hAnsi="Tahoma" w:cs="Tahoma"/>
      <w:sz w:val="16"/>
      <w:szCs w:val="16"/>
    </w:rPr>
  </w:style>
  <w:style w:type="paragraph" w:customStyle="1" w:styleId="GuideTitle">
    <w:name w:val="Guide Title"/>
    <w:basedOn w:val="Normal"/>
    <w:uiPriority w:val="7"/>
    <w:qFormat/>
    <w:rsid w:val="0007409D"/>
    <w:pPr>
      <w:jc w:val="center"/>
    </w:pPr>
    <w:rPr>
      <w:sz w:val="48"/>
      <w:szCs w:val="80"/>
    </w:rPr>
  </w:style>
  <w:style w:type="paragraph" w:customStyle="1" w:styleId="BulletPoints">
    <w:name w:val="Bullet Points"/>
    <w:basedOn w:val="Normal"/>
    <w:link w:val="BulletPointsChar"/>
    <w:uiPriority w:val="5"/>
    <w:qFormat/>
    <w:rsid w:val="0007409D"/>
    <w:pPr>
      <w:numPr>
        <w:numId w:val="1"/>
      </w:numPr>
      <w:ind w:left="0" w:firstLine="0"/>
    </w:pPr>
  </w:style>
  <w:style w:type="character" w:customStyle="1" w:styleId="ListParagraphChar">
    <w:name w:val="List Paragraph Char"/>
    <w:aliases w:val="Numbered List Char"/>
    <w:basedOn w:val="DefaultParagraphFont"/>
    <w:link w:val="ListParagraph"/>
    <w:uiPriority w:val="4"/>
    <w:rsid w:val="00340198"/>
    <w:rPr>
      <w:rFonts w:ascii="Arial" w:hAnsi="Arial" w:cs="Arial"/>
      <w:sz w:val="24"/>
      <w:szCs w:val="24"/>
      <w:lang w:eastAsia="en-GB"/>
    </w:rPr>
  </w:style>
  <w:style w:type="character" w:customStyle="1" w:styleId="BulletPointsChar">
    <w:name w:val="Bullet Points Char"/>
    <w:basedOn w:val="ListParagraphChar"/>
    <w:link w:val="BulletPoints"/>
    <w:uiPriority w:val="5"/>
    <w:rsid w:val="0007409D"/>
    <w:rPr>
      <w:rFonts w:ascii="Arial" w:hAnsi="Arial" w:cs="Arial"/>
      <w:sz w:val="24"/>
      <w:szCs w:val="24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82FE6"/>
    <w:pPr>
      <w:keepNext/>
      <w:keepLines/>
      <w:pBdr>
        <w:top w:val="none" w:sz="0" w:space="0" w:color="auto"/>
        <w:bottom w:val="none" w:sz="0" w:space="0" w:color="auto"/>
      </w:pBdr>
      <w:spacing w:before="120" w:after="240"/>
      <w:outlineLvl w:val="9"/>
    </w:pPr>
    <w:rPr>
      <w:rFonts w:eastAsiaTheme="majorEastAsia"/>
      <w:bCs/>
      <w:i/>
      <w:color w:val="0070C0"/>
      <w:sz w:val="40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82FE6"/>
    <w:pPr>
      <w:tabs>
        <w:tab w:val="right" w:leader="dot" w:pos="9016"/>
      </w:tabs>
      <w:spacing w:after="100" w:line="240" w:lineRule="atLeast"/>
    </w:pPr>
    <w:rPr>
      <w:sz w:val="28"/>
    </w:rPr>
  </w:style>
  <w:style w:type="character" w:styleId="Hyperlink">
    <w:name w:val="Hyperlink"/>
    <w:basedOn w:val="DefaultParagraphFont"/>
    <w:uiPriority w:val="99"/>
    <w:unhideWhenUsed/>
    <w:rsid w:val="0060417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04173"/>
    <w:pPr>
      <w:spacing w:after="0" w:line="240" w:lineRule="atLeast"/>
    </w:pPr>
    <w:rPr>
      <w:rFonts w:ascii="Arial" w:hAnsi="Arial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cPr>
      <w:vAlign w:val="center"/>
    </w:tcPr>
  </w:style>
  <w:style w:type="character" w:styleId="PlaceholderText">
    <w:name w:val="Placeholder Text"/>
    <w:basedOn w:val="DefaultParagraphFont"/>
    <w:uiPriority w:val="99"/>
    <w:semiHidden/>
    <w:rsid w:val="00B57B97"/>
    <w:rPr>
      <w:color w:val="808080"/>
    </w:rPr>
  </w:style>
  <w:style w:type="numbering" w:customStyle="1" w:styleId="Numbers">
    <w:name w:val="Numbers"/>
    <w:uiPriority w:val="99"/>
    <w:rsid w:val="00340198"/>
    <w:pPr>
      <w:numPr>
        <w:numId w:val="2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490522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182FE6"/>
    <w:pPr>
      <w:spacing w:after="100"/>
      <w:ind w:left="240"/>
    </w:pPr>
  </w:style>
  <w:style w:type="paragraph" w:styleId="Caption">
    <w:name w:val="caption"/>
    <w:basedOn w:val="Normal"/>
    <w:next w:val="Normal"/>
    <w:uiPriority w:val="35"/>
    <w:unhideWhenUsed/>
    <w:qFormat/>
    <w:rsid w:val="0046080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0347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C16A72"/>
    <w:pPr>
      <w:spacing w:after="0" w:line="240" w:lineRule="atLeast"/>
    </w:pPr>
    <w:rPr>
      <w:rFonts w:ascii="Arial" w:hAnsi="Arial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cPr>
      <w:vAlign w:val="center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3" w:qFormat="1"/>
    <w:lsdException w:name="heading 3" w:uiPriority="3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C95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2"/>
    <w:qFormat/>
    <w:rsid w:val="00A66FC5"/>
    <w:pPr>
      <w:pBdr>
        <w:top w:val="single" w:sz="12" w:space="1" w:color="auto"/>
        <w:bottom w:val="single" w:sz="12" w:space="1" w:color="auto"/>
      </w:pBdr>
      <w:outlineLvl w:val="0"/>
    </w:pPr>
    <w:rPr>
      <w:b/>
      <w:color w:val="0072CE"/>
      <w:sz w:val="32"/>
    </w:rPr>
  </w:style>
  <w:style w:type="paragraph" w:styleId="Heading2">
    <w:name w:val="heading 2"/>
    <w:basedOn w:val="Heading1"/>
    <w:next w:val="Normal"/>
    <w:link w:val="Heading2Char"/>
    <w:uiPriority w:val="3"/>
    <w:qFormat/>
    <w:rsid w:val="00B863E3"/>
    <w:pPr>
      <w:pBdr>
        <w:top w:val="none" w:sz="0" w:space="0" w:color="auto"/>
        <w:bottom w:val="none" w:sz="0" w:space="0" w:color="auto"/>
      </w:pBdr>
      <w:spacing w:before="240" w:after="240"/>
      <w:outlineLvl w:val="1"/>
    </w:pPr>
  </w:style>
  <w:style w:type="paragraph" w:styleId="Heading3">
    <w:name w:val="heading 3"/>
    <w:basedOn w:val="Heading2"/>
    <w:next w:val="Normal"/>
    <w:link w:val="Heading3Char"/>
    <w:uiPriority w:val="3"/>
    <w:qFormat/>
    <w:rsid w:val="00AD1427"/>
    <w:pPr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"/>
    <w:basedOn w:val="Normal"/>
    <w:link w:val="ListParagraphChar"/>
    <w:uiPriority w:val="4"/>
    <w:qFormat/>
    <w:rsid w:val="00340198"/>
    <w:pPr>
      <w:numPr>
        <w:numId w:val="3"/>
      </w:numPr>
      <w:spacing w:line="360" w:lineRule="auto"/>
    </w:pPr>
    <w:rPr>
      <w:lang w:eastAsia="en-GB"/>
    </w:rPr>
  </w:style>
  <w:style w:type="paragraph" w:styleId="NoSpacing">
    <w:name w:val="No Spacing"/>
    <w:uiPriority w:val="1"/>
    <w:qFormat/>
    <w:rsid w:val="00AD1427"/>
    <w:pPr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A66FC5"/>
    <w:rPr>
      <w:rFonts w:ascii="Arial" w:hAnsi="Arial" w:cs="Arial"/>
      <w:b/>
      <w:color w:val="0072CE"/>
      <w:sz w:val="32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481C95"/>
    <w:rPr>
      <w:rFonts w:ascii="Arial" w:hAnsi="Arial" w:cs="Arial"/>
      <w:b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3"/>
    <w:rsid w:val="00481C95"/>
    <w:rPr>
      <w:rFonts w:ascii="Arial" w:hAnsi="Arial" w:cs="Arial"/>
      <w:b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D1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1427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14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1427"/>
    <w:rPr>
      <w:rFonts w:ascii="Arial" w:hAnsi="Arial" w:cs="Arial"/>
      <w:sz w:val="24"/>
      <w:szCs w:val="24"/>
    </w:rPr>
  </w:style>
  <w:style w:type="paragraph" w:customStyle="1" w:styleId="TitlenotforTOC">
    <w:name w:val="Title (not for TOC)"/>
    <w:basedOn w:val="Normal"/>
    <w:next w:val="Normal"/>
    <w:uiPriority w:val="5"/>
    <w:rsid w:val="00B863E3"/>
    <w:rPr>
      <w:b/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963"/>
    <w:rPr>
      <w:rFonts w:ascii="Tahoma" w:hAnsi="Tahoma" w:cs="Tahoma"/>
      <w:sz w:val="16"/>
      <w:szCs w:val="16"/>
    </w:rPr>
  </w:style>
  <w:style w:type="paragraph" w:customStyle="1" w:styleId="GuideTitle">
    <w:name w:val="Guide Title"/>
    <w:basedOn w:val="Normal"/>
    <w:uiPriority w:val="7"/>
    <w:qFormat/>
    <w:rsid w:val="0007409D"/>
    <w:pPr>
      <w:jc w:val="center"/>
    </w:pPr>
    <w:rPr>
      <w:sz w:val="48"/>
      <w:szCs w:val="80"/>
    </w:rPr>
  </w:style>
  <w:style w:type="paragraph" w:customStyle="1" w:styleId="BulletPoints">
    <w:name w:val="Bullet Points"/>
    <w:basedOn w:val="Normal"/>
    <w:link w:val="BulletPointsChar"/>
    <w:uiPriority w:val="5"/>
    <w:qFormat/>
    <w:rsid w:val="0007409D"/>
    <w:pPr>
      <w:numPr>
        <w:numId w:val="1"/>
      </w:numPr>
      <w:ind w:left="0" w:firstLine="0"/>
    </w:pPr>
  </w:style>
  <w:style w:type="character" w:customStyle="1" w:styleId="ListParagraphChar">
    <w:name w:val="List Paragraph Char"/>
    <w:aliases w:val="Numbered List Char"/>
    <w:basedOn w:val="DefaultParagraphFont"/>
    <w:link w:val="ListParagraph"/>
    <w:uiPriority w:val="4"/>
    <w:rsid w:val="00340198"/>
    <w:rPr>
      <w:rFonts w:ascii="Arial" w:hAnsi="Arial" w:cs="Arial"/>
      <w:sz w:val="24"/>
      <w:szCs w:val="24"/>
      <w:lang w:eastAsia="en-GB"/>
    </w:rPr>
  </w:style>
  <w:style w:type="character" w:customStyle="1" w:styleId="BulletPointsChar">
    <w:name w:val="Bullet Points Char"/>
    <w:basedOn w:val="ListParagraphChar"/>
    <w:link w:val="BulletPoints"/>
    <w:uiPriority w:val="5"/>
    <w:rsid w:val="0007409D"/>
    <w:rPr>
      <w:rFonts w:ascii="Arial" w:hAnsi="Arial" w:cs="Arial"/>
      <w:sz w:val="24"/>
      <w:szCs w:val="24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182FE6"/>
    <w:pPr>
      <w:keepNext/>
      <w:keepLines/>
      <w:pBdr>
        <w:top w:val="none" w:sz="0" w:space="0" w:color="auto"/>
        <w:bottom w:val="none" w:sz="0" w:space="0" w:color="auto"/>
      </w:pBdr>
      <w:spacing w:before="120" w:after="240"/>
      <w:outlineLvl w:val="9"/>
    </w:pPr>
    <w:rPr>
      <w:rFonts w:eastAsiaTheme="majorEastAsia"/>
      <w:bCs/>
      <w:i/>
      <w:color w:val="0070C0"/>
      <w:sz w:val="40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82FE6"/>
    <w:pPr>
      <w:tabs>
        <w:tab w:val="right" w:leader="dot" w:pos="9016"/>
      </w:tabs>
      <w:spacing w:after="100" w:line="240" w:lineRule="atLeast"/>
    </w:pPr>
    <w:rPr>
      <w:sz w:val="28"/>
    </w:rPr>
  </w:style>
  <w:style w:type="character" w:styleId="Hyperlink">
    <w:name w:val="Hyperlink"/>
    <w:basedOn w:val="DefaultParagraphFont"/>
    <w:uiPriority w:val="99"/>
    <w:unhideWhenUsed/>
    <w:rsid w:val="00604173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604173"/>
    <w:pPr>
      <w:spacing w:after="0" w:line="240" w:lineRule="atLeast"/>
    </w:pPr>
    <w:rPr>
      <w:rFonts w:ascii="Arial" w:hAnsi="Arial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cPr>
      <w:vAlign w:val="center"/>
    </w:tcPr>
  </w:style>
  <w:style w:type="character" w:styleId="PlaceholderText">
    <w:name w:val="Placeholder Text"/>
    <w:basedOn w:val="DefaultParagraphFont"/>
    <w:uiPriority w:val="99"/>
    <w:semiHidden/>
    <w:rsid w:val="00B57B97"/>
    <w:rPr>
      <w:color w:val="808080"/>
    </w:rPr>
  </w:style>
  <w:style w:type="numbering" w:customStyle="1" w:styleId="Numbers">
    <w:name w:val="Numbers"/>
    <w:uiPriority w:val="99"/>
    <w:rsid w:val="00340198"/>
    <w:pPr>
      <w:numPr>
        <w:numId w:val="2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490522"/>
    <w:rPr>
      <w:color w:val="800080" w:themeColor="followed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182FE6"/>
    <w:pPr>
      <w:spacing w:after="100"/>
      <w:ind w:left="240"/>
    </w:pPr>
  </w:style>
  <w:style w:type="paragraph" w:styleId="Caption">
    <w:name w:val="caption"/>
    <w:basedOn w:val="Normal"/>
    <w:next w:val="Normal"/>
    <w:uiPriority w:val="35"/>
    <w:unhideWhenUsed/>
    <w:qFormat/>
    <w:rsid w:val="0046080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03474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C16A72"/>
    <w:pPr>
      <w:spacing w:after="0" w:line="240" w:lineRule="atLeast"/>
    </w:pPr>
    <w:rPr>
      <w:rFonts w:ascii="Arial" w:hAnsi="Arial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5.png"/><Relationship Id="rId39" Type="http://schemas.openxmlformats.org/officeDocument/2006/relationships/fontTable" Target="fontTable.xml"/><Relationship Id="rId21" Type="http://schemas.openxmlformats.org/officeDocument/2006/relationships/image" Target="media/image10.png"/><Relationship Id="rId34" Type="http://schemas.openxmlformats.org/officeDocument/2006/relationships/image" Target="media/image23.jpe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38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hyperlink" Target="https://www.nhsbsa.nhs.uk/information-services-portal-isp/isp-report-information" TargetMode="External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nhsbsa.nhs.uk/prescription-data/catalyst-public-insight-portal" TargetMode="Externa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37" Type="http://schemas.openxmlformats.org/officeDocument/2006/relationships/header" Target="header2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36" Type="http://schemas.openxmlformats.org/officeDocument/2006/relationships/hyperlink" Target="https://www.nhsbsa.nhs.uk/epact2/epact2-training" TargetMode="External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31" Type="http://schemas.openxmlformats.org/officeDocument/2006/relationships/image" Target="media/image20.pn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hyperlink" Target="https://www.nhsbsa.nhs.uk/epact2/epact2-user-guides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Information%20Services\Information%20Services%20Team\Information%20Systems%20Users%20Support\ePACT2%20Training\In%20progress\User%20Guide%20Crea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E8B31D-44BC-4F55-AA7D-B170FAC1F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User Guide Creation Template</Template>
  <TotalTime>0</TotalTime>
  <Pages>13</Pages>
  <Words>933</Words>
  <Characters>5322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6243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Westrip</dc:creator>
  <cp:lastModifiedBy>danth</cp:lastModifiedBy>
  <cp:revision>3</cp:revision>
  <cp:lastPrinted>2018-11-30T10:56:00Z</cp:lastPrinted>
  <dcterms:created xsi:type="dcterms:W3CDTF">2018-11-30T14:34:00Z</dcterms:created>
  <dcterms:modified xsi:type="dcterms:W3CDTF">2018-11-30T14:35:00Z</dcterms:modified>
</cp:coreProperties>
</file>