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BCD" w:rsidRPr="00084BCD" w:rsidRDefault="00084BCD" w:rsidP="00084BCD">
      <w:r w:rsidRPr="00084BCD">
        <w:t>Calculation</w:t>
      </w:r>
    </w:p>
    <w:p w:rsidR="00084BCD" w:rsidRPr="00084BCD" w:rsidRDefault="00084BCD" w:rsidP="00084BCD">
      <w:r w:rsidRPr="00084BCD">
        <w:t>The forecast out-turn (FO) calculation assumes that each month's expenditure for a practice is in line with the national trend for proportionate spend, ie it is assumed that a practice's cumulative spend to date is the percentage of total spend defined by the national trend. The percentages used are updated each year to reflect the latest trend information.</w:t>
      </w:r>
    </w:p>
    <w:p w:rsidR="00084BCD" w:rsidRPr="00084BCD" w:rsidRDefault="00084BCD" w:rsidP="00084BCD">
      <w:r w:rsidRPr="00084BCD">
        <w:t>The FO formula for an existing practice is:</w:t>
      </w:r>
    </w:p>
    <w:p w:rsidR="00084BCD" w:rsidRPr="00084BCD" w:rsidRDefault="00084BCD" w:rsidP="00084BCD">
      <w:r w:rsidRPr="00084BCD">
        <w:t>(CUMULATIVE ACTUAL COST X 100) / CUMULATIVE PROPORTIONATE SPEND FIGURE</w:t>
      </w:r>
    </w:p>
    <w:p w:rsidR="00084BCD" w:rsidRPr="00084BCD" w:rsidRDefault="00084BCD" w:rsidP="00084BCD">
      <w:r w:rsidRPr="00084BCD">
        <w:t>The FO will not be shown for the first two months of the financial year (relating to April and May dispensing) due to the volatility of forecasting over the beginning of the year. The first month that this will be shown, for each financial year, will be for June dispensing.</w:t>
      </w:r>
    </w:p>
    <w:p w:rsidR="00084BCD" w:rsidRPr="00084BCD" w:rsidRDefault="00084BCD" w:rsidP="00084BCD">
      <w:r w:rsidRPr="00084BCD">
        <w:t>This profile will be used to calcu</w:t>
      </w:r>
      <w:r>
        <w:t>late forecast out-turns for 2018/19</w:t>
      </w:r>
      <w:r w:rsidR="00BD5B66">
        <w:t xml:space="preserve"> prescriptions from the June 2018</w:t>
      </w:r>
      <w:r w:rsidRPr="00084BCD">
        <w:t xml:space="preserve"> PMD report onwards.</w:t>
      </w:r>
    </w:p>
    <w:p w:rsidR="00084BCD" w:rsidRPr="00084BCD" w:rsidRDefault="00084BCD" w:rsidP="00084BCD">
      <w:r w:rsidRPr="00084BCD">
        <w:t>To note:</w:t>
      </w:r>
    </w:p>
    <w:p w:rsidR="00084BCD" w:rsidRPr="00084BCD" w:rsidRDefault="00084BCD" w:rsidP="00084BCD">
      <w:pPr>
        <w:numPr>
          <w:ilvl w:val="0"/>
          <w:numId w:val="1"/>
        </w:numPr>
      </w:pPr>
      <w:r w:rsidRPr="00084BCD">
        <w:t>Profile excludes drugs costs met centrally</w:t>
      </w:r>
    </w:p>
    <w:p w:rsidR="00084BCD" w:rsidRPr="00084BCD" w:rsidRDefault="00084BCD" w:rsidP="00084BCD">
      <w:pPr>
        <w:numPr>
          <w:ilvl w:val="0"/>
          <w:numId w:val="1"/>
        </w:numPr>
      </w:pPr>
      <w:r w:rsidRPr="00084BCD">
        <w:t>Includes practice, out of hours, and community nurse prescribing</w:t>
      </w:r>
    </w:p>
    <w:p w:rsidR="00084BCD" w:rsidRPr="00084BCD" w:rsidRDefault="00084BCD" w:rsidP="00084BCD">
      <w:pPr>
        <w:numPr>
          <w:ilvl w:val="0"/>
          <w:numId w:val="1"/>
        </w:numPr>
      </w:pPr>
      <w:r w:rsidRPr="00084BCD">
        <w:t>Profile is subject to change</w:t>
      </w:r>
    </w:p>
    <w:p w:rsidR="00084BCD" w:rsidRPr="00084BCD" w:rsidRDefault="00084BCD" w:rsidP="00084BCD">
      <w:r w:rsidRPr="00084BCD">
        <w:t>The method used to calculate the forecast of primary care prescribing expenditure is:</w:t>
      </w:r>
    </w:p>
    <w:p w:rsidR="00084BCD" w:rsidRPr="00084BCD" w:rsidRDefault="00084BCD" w:rsidP="00084BCD">
      <w:pPr>
        <w:numPr>
          <w:ilvl w:val="0"/>
          <w:numId w:val="2"/>
        </w:numPr>
      </w:pPr>
      <w:r w:rsidRPr="00084BCD">
        <w:t>Considers monthly expenditure data from the last five years.</w:t>
      </w:r>
    </w:p>
    <w:p w:rsidR="00084BCD" w:rsidRPr="00084BCD" w:rsidRDefault="00084BCD" w:rsidP="00084BCD">
      <w:pPr>
        <w:numPr>
          <w:ilvl w:val="0"/>
          <w:numId w:val="2"/>
        </w:numPr>
      </w:pPr>
      <w:r w:rsidRPr="00084BCD">
        <w:t>Removes the effect of policies (that is, reductions due to PPRS and Category M) from last year's expenditure.</w:t>
      </w:r>
    </w:p>
    <w:p w:rsidR="00084BCD" w:rsidRPr="00084BCD" w:rsidRDefault="00084BCD" w:rsidP="00084BCD">
      <w:pPr>
        <w:numPr>
          <w:ilvl w:val="0"/>
          <w:numId w:val="2"/>
        </w:numPr>
      </w:pPr>
      <w:r w:rsidRPr="00084BCD">
        <w:t>Looks at the effect of the number of dispensing days, the position of the month in the year and the year of expenditure.</w:t>
      </w:r>
    </w:p>
    <w:p w:rsidR="00084BCD" w:rsidRPr="00084BCD" w:rsidRDefault="00084BCD" w:rsidP="00084BCD">
      <w:pPr>
        <w:numPr>
          <w:ilvl w:val="0"/>
          <w:numId w:val="2"/>
        </w:numPr>
      </w:pPr>
      <w:r w:rsidRPr="00084BCD">
        <w:t>This is collated to predict the monthly expenditure for this year.</w:t>
      </w:r>
    </w:p>
    <w:p w:rsidR="00084BCD" w:rsidRPr="00084BCD" w:rsidRDefault="00084BCD" w:rsidP="00084BCD">
      <w:r w:rsidRPr="00084BCD">
        <w:t>The percentage is then applied to data from the monthly Prescribing Monitoring Document.</w:t>
      </w:r>
    </w:p>
    <w:p w:rsidR="00084BCD" w:rsidRPr="00084BCD" w:rsidRDefault="00084BCD" w:rsidP="00084BCD">
      <w:r w:rsidRPr="00084BCD">
        <w:t>Revision to the In Year Forecast of Primary Care Prescribing Expenditure</w:t>
      </w:r>
    </w:p>
    <w:p w:rsidR="00084BCD" w:rsidRPr="00084BCD" w:rsidRDefault="00084BCD" w:rsidP="00084BCD">
      <w:r w:rsidRPr="00084BCD">
        <w:t>The profile for 2017/18 is subject to change and is based on the best information available at the time. The profiles will be revised accordingly as further information becomes available. </w:t>
      </w:r>
    </w:p>
    <w:p w:rsidR="00084BCD" w:rsidRPr="00084BCD" w:rsidRDefault="00084BCD" w:rsidP="00084BCD">
      <w:r w:rsidRPr="00084BCD">
        <w:t>To note:</w:t>
      </w:r>
    </w:p>
    <w:p w:rsidR="00084BCD" w:rsidRPr="00084BCD" w:rsidRDefault="00084BCD" w:rsidP="00084BCD">
      <w:pPr>
        <w:numPr>
          <w:ilvl w:val="0"/>
          <w:numId w:val="3"/>
        </w:numPr>
      </w:pPr>
      <w:r w:rsidRPr="00084BCD">
        <w:t>Department of Health finance has not been notified of any</w:t>
      </w:r>
      <w:r w:rsidR="009807FC">
        <w:t xml:space="preserve"> Category M adjustments for 2018-19</w:t>
      </w:r>
      <w:bookmarkStart w:id="0" w:name="_GoBack"/>
      <w:bookmarkEnd w:id="0"/>
      <w:r w:rsidRPr="00084BCD">
        <w:t xml:space="preserve"> and therefore the profile has not been adjusted in this year for Cat M prices.</w:t>
      </w:r>
    </w:p>
    <w:p w:rsidR="00084BCD" w:rsidRPr="00084BCD" w:rsidRDefault="00084BCD" w:rsidP="00084BCD">
      <w:pPr>
        <w:numPr>
          <w:ilvl w:val="0"/>
          <w:numId w:val="3"/>
        </w:numPr>
      </w:pPr>
      <w:r w:rsidRPr="00084BCD">
        <w:t xml:space="preserve">DH finance is receiving a number of queries on the actual content of the NHSBSA data that we are unable to answer (for example the treatment NCSO cost pressures). Grateful if these </w:t>
      </w:r>
      <w:r w:rsidRPr="00084BCD">
        <w:lastRenderedPageBreak/>
        <w:t>queries could be directed to those responsible for the actual data collection or the relevant policy contact in the NHS.</w:t>
      </w:r>
    </w:p>
    <w:p w:rsidR="00084BCD" w:rsidRPr="00084BCD" w:rsidRDefault="00084BCD" w:rsidP="00084BCD">
      <w:r w:rsidRPr="00084BCD">
        <w:t>Forecast out-turns 2018/19</w:t>
      </w:r>
    </w:p>
    <w:tbl>
      <w:tblPr>
        <w:tblW w:w="11250" w:type="dxa"/>
        <w:tblInd w:w="-1105" w:type="dxa"/>
        <w:tblBorders>
          <w:left w:val="single" w:sz="6" w:space="0" w:color="E2E2E2"/>
          <w:bottom w:val="single" w:sz="6" w:space="0" w:color="E2E2E2"/>
        </w:tblBorders>
        <w:tblCellMar>
          <w:top w:w="15" w:type="dxa"/>
          <w:left w:w="15" w:type="dxa"/>
          <w:bottom w:w="15" w:type="dxa"/>
          <w:right w:w="15" w:type="dxa"/>
        </w:tblCellMar>
        <w:tblLook w:val="04A0" w:firstRow="1" w:lastRow="0" w:firstColumn="1" w:lastColumn="0" w:noHBand="0" w:noVBand="1"/>
      </w:tblPr>
      <w:tblGrid>
        <w:gridCol w:w="1848"/>
        <w:gridCol w:w="4036"/>
        <w:gridCol w:w="5366"/>
      </w:tblGrid>
      <w:tr w:rsidR="00084BCD" w:rsidRPr="00084BCD" w:rsidTr="009807FC">
        <w:tc>
          <w:tcPr>
            <w:tcW w:w="0" w:type="auto"/>
            <w:tcBorders>
              <w:top w:val="single" w:sz="6" w:space="0" w:color="E2E2E2"/>
              <w:right w:val="single" w:sz="6" w:space="0" w:color="E2E2E2"/>
            </w:tcBorders>
            <w:shd w:val="clear" w:color="auto" w:fill="FFFFFF"/>
            <w:vAlign w:val="center"/>
            <w:hideMark/>
          </w:tcPr>
          <w:p w:rsidR="00000000" w:rsidRPr="00084BCD" w:rsidRDefault="00084BCD" w:rsidP="00084BCD">
            <w:r w:rsidRPr="00084BCD">
              <w:rPr>
                <w:b/>
                <w:bCs/>
              </w:rPr>
              <w:t>Month</w:t>
            </w:r>
          </w:p>
        </w:tc>
        <w:tc>
          <w:tcPr>
            <w:tcW w:w="0" w:type="auto"/>
            <w:tcBorders>
              <w:top w:val="single" w:sz="6" w:space="0" w:color="E2E2E2"/>
              <w:right w:val="single" w:sz="6" w:space="0" w:color="E2E2E2"/>
            </w:tcBorders>
            <w:shd w:val="clear" w:color="auto" w:fill="FFFFFF"/>
            <w:vAlign w:val="center"/>
            <w:hideMark/>
          </w:tcPr>
          <w:p w:rsidR="00000000" w:rsidRPr="00084BCD" w:rsidRDefault="00084BCD" w:rsidP="00084BCD">
            <w:r w:rsidRPr="00084BCD">
              <w:rPr>
                <w:b/>
                <w:bCs/>
              </w:rPr>
              <w:t>Practice Prescribing Monthly Profile</w:t>
            </w:r>
          </w:p>
        </w:tc>
        <w:tc>
          <w:tcPr>
            <w:tcW w:w="0" w:type="auto"/>
            <w:tcBorders>
              <w:top w:val="single" w:sz="6" w:space="0" w:color="E2E2E2"/>
              <w:right w:val="single" w:sz="6" w:space="0" w:color="E2E2E2"/>
            </w:tcBorders>
            <w:shd w:val="clear" w:color="auto" w:fill="FFFFFF"/>
            <w:vAlign w:val="center"/>
            <w:hideMark/>
          </w:tcPr>
          <w:p w:rsidR="00000000" w:rsidRPr="00084BCD" w:rsidRDefault="00084BCD" w:rsidP="00084BCD">
            <w:r w:rsidRPr="00084BCD">
              <w:rPr>
                <w:b/>
                <w:bCs/>
              </w:rPr>
              <w:t>Practice Prescribing Cumulative Monthly Profile</w:t>
            </w:r>
          </w:p>
        </w:tc>
      </w:tr>
      <w:tr w:rsidR="00084BCD" w:rsidRPr="00084BCD" w:rsidTr="009807FC">
        <w:tc>
          <w:tcPr>
            <w:tcW w:w="0" w:type="auto"/>
            <w:tcBorders>
              <w:top w:val="single" w:sz="6" w:space="0" w:color="E2E2E2"/>
              <w:right w:val="single" w:sz="6" w:space="0" w:color="E2E2E2"/>
            </w:tcBorders>
            <w:shd w:val="clear" w:color="auto" w:fill="FFFFFF"/>
            <w:vAlign w:val="center"/>
            <w:hideMark/>
          </w:tcPr>
          <w:p w:rsidR="00000000" w:rsidRPr="00084BCD" w:rsidRDefault="00084BCD" w:rsidP="00084BCD">
            <w:r w:rsidRPr="00084BCD">
              <w:t>April 2018</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8.09%</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8.09%</w:t>
            </w:r>
          </w:p>
        </w:tc>
      </w:tr>
      <w:tr w:rsidR="00084BCD" w:rsidRPr="00084BCD" w:rsidTr="009807FC">
        <w:tc>
          <w:tcPr>
            <w:tcW w:w="0" w:type="auto"/>
            <w:tcBorders>
              <w:top w:val="single" w:sz="6" w:space="0" w:color="E2E2E2"/>
              <w:right w:val="single" w:sz="6" w:space="0" w:color="E2E2E2"/>
            </w:tcBorders>
            <w:shd w:val="clear" w:color="auto" w:fill="FFFFFF"/>
            <w:vAlign w:val="center"/>
            <w:hideMark/>
          </w:tcPr>
          <w:p w:rsidR="00000000" w:rsidRPr="00084BCD" w:rsidRDefault="00084BCD" w:rsidP="00084BCD">
            <w:r w:rsidRPr="00084BCD">
              <w:t>May 2018</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8.47%</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16.56%</w:t>
            </w:r>
          </w:p>
        </w:tc>
      </w:tr>
      <w:tr w:rsidR="00084BCD" w:rsidRPr="00084BCD" w:rsidTr="009807FC">
        <w:tc>
          <w:tcPr>
            <w:tcW w:w="0" w:type="auto"/>
            <w:tcBorders>
              <w:top w:val="single" w:sz="6" w:space="0" w:color="E2E2E2"/>
              <w:right w:val="single" w:sz="6" w:space="0" w:color="E2E2E2"/>
            </w:tcBorders>
            <w:shd w:val="clear" w:color="auto" w:fill="FFFFFF"/>
            <w:vAlign w:val="center"/>
            <w:hideMark/>
          </w:tcPr>
          <w:p w:rsidR="00000000" w:rsidRPr="00084BCD" w:rsidRDefault="00084BCD" w:rsidP="00084BCD">
            <w:r w:rsidRPr="00084BCD">
              <w:t>June 2018</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8.46%</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25.02%</w:t>
            </w:r>
          </w:p>
        </w:tc>
      </w:tr>
      <w:tr w:rsidR="00084BCD" w:rsidRPr="00084BCD" w:rsidTr="009807FC">
        <w:tc>
          <w:tcPr>
            <w:tcW w:w="0" w:type="auto"/>
            <w:tcBorders>
              <w:top w:val="single" w:sz="6" w:space="0" w:color="E2E2E2"/>
              <w:right w:val="single" w:sz="6" w:space="0" w:color="E2E2E2"/>
            </w:tcBorders>
            <w:shd w:val="clear" w:color="auto" w:fill="FFFFFF"/>
            <w:vAlign w:val="center"/>
            <w:hideMark/>
          </w:tcPr>
          <w:p w:rsidR="00000000" w:rsidRPr="00084BCD" w:rsidRDefault="00084BCD" w:rsidP="00084BCD">
            <w:r w:rsidRPr="00084BCD">
              <w:t>July 2018</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8.30%</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33.32%</w:t>
            </w:r>
          </w:p>
        </w:tc>
      </w:tr>
      <w:tr w:rsidR="00084BCD" w:rsidRPr="00084BCD" w:rsidTr="009807FC">
        <w:tc>
          <w:tcPr>
            <w:tcW w:w="0" w:type="auto"/>
            <w:tcBorders>
              <w:top w:val="single" w:sz="6" w:space="0" w:color="E2E2E2"/>
              <w:right w:val="single" w:sz="6" w:space="0" w:color="E2E2E2"/>
            </w:tcBorders>
            <w:shd w:val="clear" w:color="auto" w:fill="FFFFFF"/>
            <w:vAlign w:val="center"/>
            <w:hideMark/>
          </w:tcPr>
          <w:p w:rsidR="00000000" w:rsidRPr="00084BCD" w:rsidRDefault="00084BCD" w:rsidP="00084BCD">
            <w:r w:rsidRPr="00084BCD">
              <w:t>August 2018</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8.19%</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41.51%</w:t>
            </w:r>
          </w:p>
        </w:tc>
      </w:tr>
      <w:tr w:rsidR="00084BCD" w:rsidRPr="00084BCD" w:rsidTr="009807FC">
        <w:tc>
          <w:tcPr>
            <w:tcW w:w="0" w:type="auto"/>
            <w:tcBorders>
              <w:top w:val="single" w:sz="6" w:space="0" w:color="E2E2E2"/>
              <w:right w:val="single" w:sz="6" w:space="0" w:color="E2E2E2"/>
            </w:tcBorders>
            <w:shd w:val="clear" w:color="auto" w:fill="FFFFFF"/>
            <w:vAlign w:val="center"/>
            <w:hideMark/>
          </w:tcPr>
          <w:p w:rsidR="00000000" w:rsidRPr="00084BCD" w:rsidRDefault="00084BCD" w:rsidP="00084BCD">
            <w:r w:rsidRPr="00084BCD">
              <w:t>September 2018</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8.25%</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49.76%</w:t>
            </w:r>
          </w:p>
        </w:tc>
      </w:tr>
      <w:tr w:rsidR="00084BCD" w:rsidRPr="00084BCD" w:rsidTr="009807FC">
        <w:tc>
          <w:tcPr>
            <w:tcW w:w="0" w:type="auto"/>
            <w:tcBorders>
              <w:top w:val="single" w:sz="6" w:space="0" w:color="E2E2E2"/>
              <w:right w:val="single" w:sz="6" w:space="0" w:color="E2E2E2"/>
            </w:tcBorders>
            <w:shd w:val="clear" w:color="auto" w:fill="FFFFFF"/>
            <w:vAlign w:val="center"/>
            <w:hideMark/>
          </w:tcPr>
          <w:p w:rsidR="00000000" w:rsidRPr="00084BCD" w:rsidRDefault="00084BCD" w:rsidP="00084BCD">
            <w:r w:rsidRPr="00084BCD">
              <w:t>October 2018</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8.94%</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58.70%</w:t>
            </w:r>
          </w:p>
        </w:tc>
      </w:tr>
      <w:tr w:rsidR="00084BCD" w:rsidRPr="00084BCD" w:rsidTr="009807FC">
        <w:tc>
          <w:tcPr>
            <w:tcW w:w="0" w:type="auto"/>
            <w:tcBorders>
              <w:top w:val="single" w:sz="6" w:space="0" w:color="E2E2E2"/>
              <w:right w:val="single" w:sz="6" w:space="0" w:color="E2E2E2"/>
            </w:tcBorders>
            <w:shd w:val="clear" w:color="auto" w:fill="FFFFFF"/>
            <w:vAlign w:val="center"/>
            <w:hideMark/>
          </w:tcPr>
          <w:p w:rsidR="00000000" w:rsidRPr="00084BCD" w:rsidRDefault="00084BCD" w:rsidP="00084BCD">
            <w:r w:rsidRPr="00084BCD">
              <w:t>November 2018</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8.57%</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67.27%</w:t>
            </w:r>
          </w:p>
        </w:tc>
      </w:tr>
      <w:tr w:rsidR="00084BCD" w:rsidRPr="00084BCD" w:rsidTr="009807FC">
        <w:tc>
          <w:tcPr>
            <w:tcW w:w="0" w:type="auto"/>
            <w:tcBorders>
              <w:top w:val="single" w:sz="6" w:space="0" w:color="E2E2E2"/>
              <w:right w:val="single" w:sz="6" w:space="0" w:color="E2E2E2"/>
            </w:tcBorders>
            <w:shd w:val="clear" w:color="auto" w:fill="FFFFFF"/>
            <w:vAlign w:val="center"/>
            <w:hideMark/>
          </w:tcPr>
          <w:p w:rsidR="00000000" w:rsidRPr="00084BCD" w:rsidRDefault="00084BCD" w:rsidP="00084BCD">
            <w:r w:rsidRPr="00084BCD">
              <w:t>December 2018</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8.26%</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75.53%</w:t>
            </w:r>
          </w:p>
        </w:tc>
      </w:tr>
      <w:tr w:rsidR="00084BCD" w:rsidRPr="00084BCD" w:rsidTr="009807FC">
        <w:tc>
          <w:tcPr>
            <w:tcW w:w="0" w:type="auto"/>
            <w:tcBorders>
              <w:top w:val="single" w:sz="6" w:space="0" w:color="E2E2E2"/>
              <w:right w:val="single" w:sz="6" w:space="0" w:color="E2E2E2"/>
            </w:tcBorders>
            <w:shd w:val="clear" w:color="auto" w:fill="FFFFFF"/>
            <w:vAlign w:val="center"/>
            <w:hideMark/>
          </w:tcPr>
          <w:p w:rsidR="00000000" w:rsidRPr="00084BCD" w:rsidRDefault="00084BCD" w:rsidP="00084BCD">
            <w:r w:rsidRPr="00084BCD">
              <w:t>January 2019</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8.35%</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83.88%</w:t>
            </w:r>
          </w:p>
        </w:tc>
      </w:tr>
      <w:tr w:rsidR="00084BCD" w:rsidRPr="00084BCD" w:rsidTr="009807FC">
        <w:tc>
          <w:tcPr>
            <w:tcW w:w="0" w:type="auto"/>
            <w:tcBorders>
              <w:top w:val="single" w:sz="6" w:space="0" w:color="E2E2E2"/>
              <w:right w:val="single" w:sz="6" w:space="0" w:color="E2E2E2"/>
            </w:tcBorders>
            <w:shd w:val="clear" w:color="auto" w:fill="FFFFFF"/>
            <w:vAlign w:val="center"/>
            <w:hideMark/>
          </w:tcPr>
          <w:p w:rsidR="00000000" w:rsidRPr="00084BCD" w:rsidRDefault="00084BCD" w:rsidP="00084BCD">
            <w:r w:rsidRPr="00084BCD">
              <w:t>February 2019</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7.71%</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91.59%</w:t>
            </w:r>
          </w:p>
        </w:tc>
      </w:tr>
      <w:tr w:rsidR="00084BCD" w:rsidRPr="00084BCD" w:rsidTr="009807FC">
        <w:tc>
          <w:tcPr>
            <w:tcW w:w="0" w:type="auto"/>
            <w:tcBorders>
              <w:top w:val="single" w:sz="6" w:space="0" w:color="E2E2E2"/>
              <w:right w:val="single" w:sz="6" w:space="0" w:color="E2E2E2"/>
            </w:tcBorders>
            <w:shd w:val="clear" w:color="auto" w:fill="FFFFFF"/>
            <w:vAlign w:val="center"/>
            <w:hideMark/>
          </w:tcPr>
          <w:p w:rsidR="00000000" w:rsidRPr="00084BCD" w:rsidRDefault="00084BCD" w:rsidP="00084BCD">
            <w:r w:rsidRPr="00084BCD">
              <w:t>March 2019</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8.41%</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100.00%</w:t>
            </w:r>
          </w:p>
        </w:tc>
      </w:tr>
      <w:tr w:rsidR="00084BCD" w:rsidRPr="00084BCD" w:rsidTr="009807FC">
        <w:tc>
          <w:tcPr>
            <w:tcW w:w="0" w:type="auto"/>
            <w:tcBorders>
              <w:top w:val="single" w:sz="6" w:space="0" w:color="E2E2E2"/>
              <w:right w:val="single" w:sz="6" w:space="0" w:color="E2E2E2"/>
            </w:tcBorders>
            <w:shd w:val="clear" w:color="auto" w:fill="FFFFFF"/>
            <w:vAlign w:val="center"/>
            <w:hideMark/>
          </w:tcPr>
          <w:p w:rsidR="00000000" w:rsidRPr="00084BCD" w:rsidRDefault="00084BCD" w:rsidP="00084BCD">
            <w:r w:rsidRPr="00084BCD">
              <w:rPr>
                <w:b/>
                <w:bCs/>
              </w:rPr>
              <w:t>Total</w:t>
            </w:r>
          </w:p>
        </w:tc>
        <w:tc>
          <w:tcPr>
            <w:tcW w:w="0" w:type="auto"/>
            <w:tcBorders>
              <w:top w:val="single" w:sz="6" w:space="0" w:color="E2E2E2"/>
              <w:right w:val="single" w:sz="6" w:space="0" w:color="E2E2E2"/>
            </w:tcBorders>
            <w:shd w:val="clear" w:color="auto" w:fill="FFFFFF"/>
            <w:vAlign w:val="center"/>
            <w:hideMark/>
          </w:tcPr>
          <w:p w:rsidR="00000000" w:rsidRPr="00084BCD" w:rsidRDefault="00084BCD" w:rsidP="00084BCD">
            <w:r w:rsidRPr="00084BCD">
              <w:rPr>
                <w:b/>
                <w:bCs/>
              </w:rPr>
              <w:t>100.00%</w:t>
            </w:r>
          </w:p>
        </w:tc>
        <w:tc>
          <w:tcPr>
            <w:tcW w:w="0" w:type="auto"/>
            <w:tcBorders>
              <w:top w:val="single" w:sz="6" w:space="0" w:color="E2E2E2"/>
              <w:right w:val="single" w:sz="6" w:space="0" w:color="E2E2E2"/>
            </w:tcBorders>
            <w:shd w:val="clear" w:color="auto" w:fill="FFFFFF"/>
            <w:vAlign w:val="center"/>
            <w:hideMark/>
          </w:tcPr>
          <w:p w:rsidR="00084BCD" w:rsidRPr="00084BCD" w:rsidRDefault="00084BCD" w:rsidP="00084BCD">
            <w:r w:rsidRPr="00084BCD">
              <w:t> </w:t>
            </w:r>
          </w:p>
        </w:tc>
      </w:tr>
    </w:tbl>
    <w:p w:rsidR="0013743D" w:rsidRDefault="0013743D" w:rsidP="009807FC"/>
    <w:sectPr w:rsidR="001374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652"/>
    <w:multiLevelType w:val="multilevel"/>
    <w:tmpl w:val="3814C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2B1A87"/>
    <w:multiLevelType w:val="multilevel"/>
    <w:tmpl w:val="BAB6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A14D0C"/>
    <w:multiLevelType w:val="multilevel"/>
    <w:tmpl w:val="F052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31062C"/>
    <w:multiLevelType w:val="multilevel"/>
    <w:tmpl w:val="DBAC0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BCD"/>
    <w:rsid w:val="00084BCD"/>
    <w:rsid w:val="0013743D"/>
    <w:rsid w:val="009807FC"/>
    <w:rsid w:val="00BD5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B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B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6290">
      <w:bodyDiv w:val="1"/>
      <w:marLeft w:val="0"/>
      <w:marRight w:val="0"/>
      <w:marTop w:val="0"/>
      <w:marBottom w:val="0"/>
      <w:divBdr>
        <w:top w:val="none" w:sz="0" w:space="0" w:color="auto"/>
        <w:left w:val="none" w:sz="0" w:space="0" w:color="auto"/>
        <w:bottom w:val="none" w:sz="0" w:space="0" w:color="auto"/>
        <w:right w:val="none" w:sz="0" w:space="0" w:color="auto"/>
      </w:divBdr>
      <w:divsChild>
        <w:div w:id="494105897">
          <w:marLeft w:val="0"/>
          <w:marRight w:val="0"/>
          <w:marTop w:val="0"/>
          <w:marBottom w:val="0"/>
          <w:divBdr>
            <w:top w:val="none" w:sz="0" w:space="0" w:color="auto"/>
            <w:left w:val="none" w:sz="0" w:space="0" w:color="auto"/>
            <w:bottom w:val="none" w:sz="0" w:space="0" w:color="auto"/>
            <w:right w:val="none" w:sz="0" w:space="0" w:color="auto"/>
          </w:divBdr>
          <w:divsChild>
            <w:div w:id="694504040">
              <w:marLeft w:val="0"/>
              <w:marRight w:val="0"/>
              <w:marTop w:val="0"/>
              <w:marBottom w:val="0"/>
              <w:divBdr>
                <w:top w:val="none" w:sz="0" w:space="0" w:color="auto"/>
                <w:left w:val="none" w:sz="0" w:space="0" w:color="auto"/>
                <w:bottom w:val="none" w:sz="0" w:space="0" w:color="auto"/>
                <w:right w:val="none" w:sz="0" w:space="0" w:color="auto"/>
              </w:divBdr>
              <w:divsChild>
                <w:div w:id="427584537">
                  <w:marLeft w:val="0"/>
                  <w:marRight w:val="0"/>
                  <w:marTop w:val="0"/>
                  <w:marBottom w:val="0"/>
                  <w:divBdr>
                    <w:top w:val="none" w:sz="0" w:space="0" w:color="auto"/>
                    <w:left w:val="none" w:sz="0" w:space="0" w:color="auto"/>
                    <w:bottom w:val="none" w:sz="0" w:space="0" w:color="auto"/>
                    <w:right w:val="none" w:sz="0" w:space="0" w:color="auto"/>
                  </w:divBdr>
                  <w:divsChild>
                    <w:div w:id="649285599">
                      <w:marLeft w:val="0"/>
                      <w:marRight w:val="0"/>
                      <w:marTop w:val="0"/>
                      <w:marBottom w:val="0"/>
                      <w:divBdr>
                        <w:top w:val="single" w:sz="6" w:space="0" w:color="E0E0E0"/>
                        <w:left w:val="none" w:sz="0" w:space="0" w:color="auto"/>
                        <w:bottom w:val="single" w:sz="6" w:space="0" w:color="E0E0E0"/>
                        <w:right w:val="none" w:sz="0" w:space="0" w:color="auto"/>
                      </w:divBdr>
                      <w:divsChild>
                        <w:div w:id="1226992865">
                          <w:marLeft w:val="0"/>
                          <w:marRight w:val="0"/>
                          <w:marTop w:val="150"/>
                          <w:marBottom w:val="750"/>
                          <w:divBdr>
                            <w:top w:val="none" w:sz="0" w:space="0" w:color="auto"/>
                            <w:left w:val="none" w:sz="0" w:space="0" w:color="auto"/>
                            <w:bottom w:val="none" w:sz="0" w:space="0" w:color="auto"/>
                            <w:right w:val="none" w:sz="0" w:space="0" w:color="auto"/>
                          </w:divBdr>
                        </w:div>
                      </w:divsChild>
                    </w:div>
                    <w:div w:id="277372871">
                      <w:marLeft w:val="0"/>
                      <w:marRight w:val="0"/>
                      <w:marTop w:val="0"/>
                      <w:marBottom w:val="0"/>
                      <w:divBdr>
                        <w:top w:val="single" w:sz="6" w:space="0" w:color="E0E0E0"/>
                        <w:left w:val="none" w:sz="0" w:space="0" w:color="auto"/>
                        <w:bottom w:val="single" w:sz="6" w:space="0" w:color="E0E0E0"/>
                        <w:right w:val="none" w:sz="0" w:space="0" w:color="auto"/>
                      </w:divBdr>
                      <w:divsChild>
                        <w:div w:id="1161773074">
                          <w:marLeft w:val="0"/>
                          <w:marRight w:val="0"/>
                          <w:marTop w:val="150"/>
                          <w:marBottom w:val="750"/>
                          <w:divBdr>
                            <w:top w:val="none" w:sz="0" w:space="0" w:color="auto"/>
                            <w:left w:val="none" w:sz="0" w:space="0" w:color="auto"/>
                            <w:bottom w:val="none" w:sz="0" w:space="0" w:color="auto"/>
                            <w:right w:val="none" w:sz="0" w:space="0" w:color="auto"/>
                          </w:divBdr>
                          <w:divsChild>
                            <w:div w:id="5637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4786">
                      <w:marLeft w:val="0"/>
                      <w:marRight w:val="0"/>
                      <w:marTop w:val="0"/>
                      <w:marBottom w:val="0"/>
                      <w:divBdr>
                        <w:top w:val="single" w:sz="6" w:space="0" w:color="E0E0E0"/>
                        <w:left w:val="none" w:sz="0" w:space="0" w:color="auto"/>
                        <w:bottom w:val="single" w:sz="6" w:space="0" w:color="E0E0E0"/>
                        <w:right w:val="none" w:sz="0" w:space="0" w:color="auto"/>
                      </w:divBdr>
                      <w:divsChild>
                        <w:div w:id="1768385037">
                          <w:marLeft w:val="0"/>
                          <w:marRight w:val="0"/>
                          <w:marTop w:val="150"/>
                          <w:marBottom w:val="750"/>
                          <w:divBdr>
                            <w:top w:val="none" w:sz="0" w:space="0" w:color="auto"/>
                            <w:left w:val="none" w:sz="0" w:space="0" w:color="auto"/>
                            <w:bottom w:val="none" w:sz="0" w:space="0" w:color="auto"/>
                            <w:right w:val="none" w:sz="0" w:space="0" w:color="auto"/>
                          </w:divBdr>
                        </w:div>
                      </w:divsChild>
                    </w:div>
                    <w:div w:id="1131825675">
                      <w:marLeft w:val="0"/>
                      <w:marRight w:val="0"/>
                      <w:marTop w:val="0"/>
                      <w:marBottom w:val="0"/>
                      <w:divBdr>
                        <w:top w:val="single" w:sz="6" w:space="0" w:color="E0E0E0"/>
                        <w:left w:val="none" w:sz="0" w:space="0" w:color="auto"/>
                        <w:bottom w:val="single" w:sz="6" w:space="0" w:color="E0E0E0"/>
                        <w:right w:val="none" w:sz="0" w:space="0" w:color="auto"/>
                      </w:divBdr>
                    </w:div>
                    <w:div w:id="817965737">
                      <w:marLeft w:val="0"/>
                      <w:marRight w:val="0"/>
                      <w:marTop w:val="0"/>
                      <w:marBottom w:val="0"/>
                      <w:divBdr>
                        <w:top w:val="single" w:sz="6" w:space="0" w:color="E0E0E0"/>
                        <w:left w:val="none" w:sz="0" w:space="0" w:color="auto"/>
                        <w:bottom w:val="single" w:sz="6" w:space="0" w:color="E0E0E0"/>
                        <w:right w:val="none" w:sz="0" w:space="0" w:color="auto"/>
                      </w:divBdr>
                    </w:div>
                    <w:div w:id="509299373">
                      <w:marLeft w:val="0"/>
                      <w:marRight w:val="0"/>
                      <w:marTop w:val="0"/>
                      <w:marBottom w:val="0"/>
                      <w:divBdr>
                        <w:top w:val="single" w:sz="6" w:space="0" w:color="E0E0E0"/>
                        <w:left w:val="none" w:sz="0" w:space="0" w:color="auto"/>
                        <w:bottom w:val="single" w:sz="6" w:space="0" w:color="E0E0E0"/>
                        <w:right w:val="none" w:sz="0" w:space="0" w:color="auto"/>
                      </w:divBdr>
                    </w:div>
                    <w:div w:id="2073961742">
                      <w:marLeft w:val="0"/>
                      <w:marRight w:val="0"/>
                      <w:marTop w:val="0"/>
                      <w:marBottom w:val="0"/>
                      <w:divBdr>
                        <w:top w:val="single" w:sz="6" w:space="0" w:color="E0E0E0"/>
                        <w:left w:val="none" w:sz="0" w:space="0" w:color="auto"/>
                        <w:bottom w:val="single" w:sz="6" w:space="0" w:color="E0E0E0"/>
                        <w:right w:val="none" w:sz="0" w:space="0" w:color="auto"/>
                      </w:divBdr>
                    </w:div>
                  </w:divsChild>
                </w:div>
              </w:divsChild>
            </w:div>
            <w:div w:id="120152875">
              <w:marLeft w:val="0"/>
              <w:marRight w:val="0"/>
              <w:marTop w:val="0"/>
              <w:marBottom w:val="0"/>
              <w:divBdr>
                <w:top w:val="none" w:sz="0" w:space="0" w:color="auto"/>
                <w:left w:val="none" w:sz="0" w:space="0" w:color="auto"/>
                <w:bottom w:val="none" w:sz="0" w:space="0" w:color="auto"/>
                <w:right w:val="none" w:sz="0" w:space="0" w:color="auto"/>
              </w:divBdr>
            </w:div>
          </w:divsChild>
        </w:div>
        <w:div w:id="371536116">
          <w:marLeft w:val="0"/>
          <w:marRight w:val="0"/>
          <w:marTop w:val="0"/>
          <w:marBottom w:val="0"/>
          <w:divBdr>
            <w:top w:val="none" w:sz="0" w:space="0" w:color="auto"/>
            <w:left w:val="none" w:sz="0" w:space="0" w:color="auto"/>
            <w:bottom w:val="none" w:sz="0" w:space="0" w:color="auto"/>
            <w:right w:val="none" w:sz="0" w:space="0" w:color="auto"/>
          </w:divBdr>
          <w:divsChild>
            <w:div w:id="997344598">
              <w:marLeft w:val="0"/>
              <w:marRight w:val="0"/>
              <w:marTop w:val="0"/>
              <w:marBottom w:val="0"/>
              <w:divBdr>
                <w:top w:val="none" w:sz="0" w:space="0" w:color="auto"/>
                <w:left w:val="none" w:sz="0" w:space="0" w:color="auto"/>
                <w:bottom w:val="none" w:sz="0" w:space="0" w:color="auto"/>
                <w:right w:val="none" w:sz="0" w:space="0" w:color="auto"/>
              </w:divBdr>
              <w:divsChild>
                <w:div w:id="965042104">
                  <w:marLeft w:val="0"/>
                  <w:marRight w:val="0"/>
                  <w:marTop w:val="0"/>
                  <w:marBottom w:val="0"/>
                  <w:divBdr>
                    <w:top w:val="none" w:sz="0" w:space="0" w:color="auto"/>
                    <w:left w:val="none" w:sz="0" w:space="0" w:color="auto"/>
                    <w:bottom w:val="none" w:sz="0" w:space="0" w:color="auto"/>
                    <w:right w:val="none" w:sz="0" w:space="0" w:color="auto"/>
                  </w:divBdr>
                </w:div>
                <w:div w:id="1491486694">
                  <w:marLeft w:val="0"/>
                  <w:marRight w:val="0"/>
                  <w:marTop w:val="0"/>
                  <w:marBottom w:val="0"/>
                  <w:divBdr>
                    <w:top w:val="none" w:sz="0" w:space="0" w:color="auto"/>
                    <w:left w:val="none" w:sz="0" w:space="0" w:color="auto"/>
                    <w:bottom w:val="none" w:sz="0" w:space="0" w:color="auto"/>
                    <w:right w:val="none" w:sz="0" w:space="0" w:color="auto"/>
                  </w:divBdr>
                  <w:divsChild>
                    <w:div w:id="737747936">
                      <w:marLeft w:val="0"/>
                      <w:marRight w:val="0"/>
                      <w:marTop w:val="0"/>
                      <w:marBottom w:val="0"/>
                      <w:divBdr>
                        <w:top w:val="none" w:sz="0" w:space="0" w:color="auto"/>
                        <w:left w:val="none" w:sz="0" w:space="0" w:color="auto"/>
                        <w:bottom w:val="none" w:sz="0" w:space="0" w:color="auto"/>
                        <w:right w:val="none" w:sz="0" w:space="0" w:color="auto"/>
                      </w:divBdr>
                    </w:div>
                  </w:divsChild>
                </w:div>
                <w:div w:id="142042064">
                  <w:marLeft w:val="0"/>
                  <w:marRight w:val="0"/>
                  <w:marTop w:val="0"/>
                  <w:marBottom w:val="0"/>
                  <w:divBdr>
                    <w:top w:val="none" w:sz="0" w:space="0" w:color="auto"/>
                    <w:left w:val="none" w:sz="0" w:space="0" w:color="auto"/>
                    <w:bottom w:val="none" w:sz="0" w:space="0" w:color="auto"/>
                    <w:right w:val="none" w:sz="0" w:space="0" w:color="auto"/>
                  </w:divBdr>
                  <w:divsChild>
                    <w:div w:id="13532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05888">
      <w:bodyDiv w:val="1"/>
      <w:marLeft w:val="0"/>
      <w:marRight w:val="0"/>
      <w:marTop w:val="0"/>
      <w:marBottom w:val="0"/>
      <w:divBdr>
        <w:top w:val="none" w:sz="0" w:space="0" w:color="auto"/>
        <w:left w:val="none" w:sz="0" w:space="0" w:color="auto"/>
        <w:bottom w:val="none" w:sz="0" w:space="0" w:color="auto"/>
        <w:right w:val="none" w:sz="0" w:space="0" w:color="auto"/>
      </w:divBdr>
      <w:divsChild>
        <w:div w:id="354962327">
          <w:marLeft w:val="0"/>
          <w:marRight w:val="0"/>
          <w:marTop w:val="0"/>
          <w:marBottom w:val="0"/>
          <w:divBdr>
            <w:top w:val="none" w:sz="0" w:space="0" w:color="auto"/>
            <w:left w:val="none" w:sz="0" w:space="0" w:color="auto"/>
            <w:bottom w:val="none" w:sz="0" w:space="0" w:color="auto"/>
            <w:right w:val="none" w:sz="0" w:space="0" w:color="auto"/>
          </w:divBdr>
          <w:divsChild>
            <w:div w:id="688600783">
              <w:marLeft w:val="0"/>
              <w:marRight w:val="0"/>
              <w:marTop w:val="0"/>
              <w:marBottom w:val="0"/>
              <w:divBdr>
                <w:top w:val="none" w:sz="0" w:space="0" w:color="auto"/>
                <w:left w:val="none" w:sz="0" w:space="0" w:color="auto"/>
                <w:bottom w:val="none" w:sz="0" w:space="0" w:color="auto"/>
                <w:right w:val="none" w:sz="0" w:space="0" w:color="auto"/>
              </w:divBdr>
              <w:divsChild>
                <w:div w:id="108205892">
                  <w:marLeft w:val="0"/>
                  <w:marRight w:val="0"/>
                  <w:marTop w:val="0"/>
                  <w:marBottom w:val="0"/>
                  <w:divBdr>
                    <w:top w:val="none" w:sz="0" w:space="0" w:color="auto"/>
                    <w:left w:val="none" w:sz="0" w:space="0" w:color="auto"/>
                    <w:bottom w:val="none" w:sz="0" w:space="0" w:color="auto"/>
                    <w:right w:val="none" w:sz="0" w:space="0" w:color="auto"/>
                  </w:divBdr>
                  <w:divsChild>
                    <w:div w:id="774668216">
                      <w:marLeft w:val="0"/>
                      <w:marRight w:val="0"/>
                      <w:marTop w:val="0"/>
                      <w:marBottom w:val="0"/>
                      <w:divBdr>
                        <w:top w:val="single" w:sz="6" w:space="0" w:color="E0E0E0"/>
                        <w:left w:val="none" w:sz="0" w:space="0" w:color="auto"/>
                        <w:bottom w:val="single" w:sz="6" w:space="0" w:color="E0E0E0"/>
                        <w:right w:val="none" w:sz="0" w:space="0" w:color="auto"/>
                      </w:divBdr>
                      <w:divsChild>
                        <w:div w:id="1587307368">
                          <w:marLeft w:val="0"/>
                          <w:marRight w:val="0"/>
                          <w:marTop w:val="150"/>
                          <w:marBottom w:val="750"/>
                          <w:divBdr>
                            <w:top w:val="none" w:sz="0" w:space="0" w:color="auto"/>
                            <w:left w:val="none" w:sz="0" w:space="0" w:color="auto"/>
                            <w:bottom w:val="none" w:sz="0" w:space="0" w:color="auto"/>
                            <w:right w:val="none" w:sz="0" w:space="0" w:color="auto"/>
                          </w:divBdr>
                        </w:div>
                      </w:divsChild>
                    </w:div>
                    <w:div w:id="1052266866">
                      <w:marLeft w:val="0"/>
                      <w:marRight w:val="0"/>
                      <w:marTop w:val="0"/>
                      <w:marBottom w:val="0"/>
                      <w:divBdr>
                        <w:top w:val="single" w:sz="6" w:space="0" w:color="E0E0E0"/>
                        <w:left w:val="none" w:sz="0" w:space="0" w:color="auto"/>
                        <w:bottom w:val="single" w:sz="6" w:space="0" w:color="E0E0E0"/>
                        <w:right w:val="none" w:sz="0" w:space="0" w:color="auto"/>
                      </w:divBdr>
                      <w:divsChild>
                        <w:div w:id="1398672460">
                          <w:marLeft w:val="0"/>
                          <w:marRight w:val="0"/>
                          <w:marTop w:val="150"/>
                          <w:marBottom w:val="750"/>
                          <w:divBdr>
                            <w:top w:val="none" w:sz="0" w:space="0" w:color="auto"/>
                            <w:left w:val="none" w:sz="0" w:space="0" w:color="auto"/>
                            <w:bottom w:val="none" w:sz="0" w:space="0" w:color="auto"/>
                            <w:right w:val="none" w:sz="0" w:space="0" w:color="auto"/>
                          </w:divBdr>
                          <w:divsChild>
                            <w:div w:id="4085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7787">
                      <w:marLeft w:val="0"/>
                      <w:marRight w:val="0"/>
                      <w:marTop w:val="0"/>
                      <w:marBottom w:val="0"/>
                      <w:divBdr>
                        <w:top w:val="single" w:sz="6" w:space="0" w:color="E0E0E0"/>
                        <w:left w:val="none" w:sz="0" w:space="0" w:color="auto"/>
                        <w:bottom w:val="single" w:sz="6" w:space="0" w:color="E0E0E0"/>
                        <w:right w:val="none" w:sz="0" w:space="0" w:color="auto"/>
                      </w:divBdr>
                      <w:divsChild>
                        <w:div w:id="785735676">
                          <w:marLeft w:val="0"/>
                          <w:marRight w:val="0"/>
                          <w:marTop w:val="150"/>
                          <w:marBottom w:val="750"/>
                          <w:divBdr>
                            <w:top w:val="none" w:sz="0" w:space="0" w:color="auto"/>
                            <w:left w:val="none" w:sz="0" w:space="0" w:color="auto"/>
                            <w:bottom w:val="none" w:sz="0" w:space="0" w:color="auto"/>
                            <w:right w:val="none" w:sz="0" w:space="0" w:color="auto"/>
                          </w:divBdr>
                        </w:div>
                      </w:divsChild>
                    </w:div>
                    <w:div w:id="1597204240">
                      <w:marLeft w:val="0"/>
                      <w:marRight w:val="0"/>
                      <w:marTop w:val="0"/>
                      <w:marBottom w:val="0"/>
                      <w:divBdr>
                        <w:top w:val="single" w:sz="6" w:space="0" w:color="E0E0E0"/>
                        <w:left w:val="none" w:sz="0" w:space="0" w:color="auto"/>
                        <w:bottom w:val="single" w:sz="6" w:space="0" w:color="E0E0E0"/>
                        <w:right w:val="none" w:sz="0" w:space="0" w:color="auto"/>
                      </w:divBdr>
                    </w:div>
                    <w:div w:id="1949652072">
                      <w:marLeft w:val="0"/>
                      <w:marRight w:val="0"/>
                      <w:marTop w:val="0"/>
                      <w:marBottom w:val="0"/>
                      <w:divBdr>
                        <w:top w:val="single" w:sz="6" w:space="0" w:color="E0E0E0"/>
                        <w:left w:val="none" w:sz="0" w:space="0" w:color="auto"/>
                        <w:bottom w:val="single" w:sz="6" w:space="0" w:color="E0E0E0"/>
                        <w:right w:val="none" w:sz="0" w:space="0" w:color="auto"/>
                      </w:divBdr>
                    </w:div>
                    <w:div w:id="1135827457">
                      <w:marLeft w:val="0"/>
                      <w:marRight w:val="0"/>
                      <w:marTop w:val="0"/>
                      <w:marBottom w:val="0"/>
                      <w:divBdr>
                        <w:top w:val="single" w:sz="6" w:space="0" w:color="E0E0E0"/>
                        <w:left w:val="none" w:sz="0" w:space="0" w:color="auto"/>
                        <w:bottom w:val="single" w:sz="6" w:space="0" w:color="E0E0E0"/>
                        <w:right w:val="none" w:sz="0" w:space="0" w:color="auto"/>
                      </w:divBdr>
                    </w:div>
                    <w:div w:id="2118521337">
                      <w:marLeft w:val="0"/>
                      <w:marRight w:val="0"/>
                      <w:marTop w:val="0"/>
                      <w:marBottom w:val="0"/>
                      <w:divBdr>
                        <w:top w:val="single" w:sz="6" w:space="0" w:color="E0E0E0"/>
                        <w:left w:val="none" w:sz="0" w:space="0" w:color="auto"/>
                        <w:bottom w:val="single" w:sz="6" w:space="0" w:color="E0E0E0"/>
                        <w:right w:val="none" w:sz="0" w:space="0" w:color="auto"/>
                      </w:divBdr>
                    </w:div>
                  </w:divsChild>
                </w:div>
              </w:divsChild>
            </w:div>
            <w:div w:id="1157266708">
              <w:marLeft w:val="0"/>
              <w:marRight w:val="0"/>
              <w:marTop w:val="0"/>
              <w:marBottom w:val="0"/>
              <w:divBdr>
                <w:top w:val="none" w:sz="0" w:space="0" w:color="auto"/>
                <w:left w:val="none" w:sz="0" w:space="0" w:color="auto"/>
                <w:bottom w:val="none" w:sz="0" w:space="0" w:color="auto"/>
                <w:right w:val="none" w:sz="0" w:space="0" w:color="auto"/>
              </w:divBdr>
            </w:div>
          </w:divsChild>
        </w:div>
        <w:div w:id="2017613061">
          <w:marLeft w:val="0"/>
          <w:marRight w:val="0"/>
          <w:marTop w:val="0"/>
          <w:marBottom w:val="0"/>
          <w:divBdr>
            <w:top w:val="none" w:sz="0" w:space="0" w:color="auto"/>
            <w:left w:val="none" w:sz="0" w:space="0" w:color="auto"/>
            <w:bottom w:val="none" w:sz="0" w:space="0" w:color="auto"/>
            <w:right w:val="none" w:sz="0" w:space="0" w:color="auto"/>
          </w:divBdr>
          <w:divsChild>
            <w:div w:id="2044399894">
              <w:marLeft w:val="0"/>
              <w:marRight w:val="0"/>
              <w:marTop w:val="0"/>
              <w:marBottom w:val="0"/>
              <w:divBdr>
                <w:top w:val="none" w:sz="0" w:space="0" w:color="auto"/>
                <w:left w:val="none" w:sz="0" w:space="0" w:color="auto"/>
                <w:bottom w:val="none" w:sz="0" w:space="0" w:color="auto"/>
                <w:right w:val="none" w:sz="0" w:space="0" w:color="auto"/>
              </w:divBdr>
              <w:divsChild>
                <w:div w:id="229923896">
                  <w:marLeft w:val="0"/>
                  <w:marRight w:val="0"/>
                  <w:marTop w:val="0"/>
                  <w:marBottom w:val="0"/>
                  <w:divBdr>
                    <w:top w:val="none" w:sz="0" w:space="0" w:color="auto"/>
                    <w:left w:val="none" w:sz="0" w:space="0" w:color="auto"/>
                    <w:bottom w:val="none" w:sz="0" w:space="0" w:color="auto"/>
                    <w:right w:val="none" w:sz="0" w:space="0" w:color="auto"/>
                  </w:divBdr>
                </w:div>
                <w:div w:id="540360577">
                  <w:marLeft w:val="0"/>
                  <w:marRight w:val="0"/>
                  <w:marTop w:val="0"/>
                  <w:marBottom w:val="0"/>
                  <w:divBdr>
                    <w:top w:val="none" w:sz="0" w:space="0" w:color="auto"/>
                    <w:left w:val="none" w:sz="0" w:space="0" w:color="auto"/>
                    <w:bottom w:val="none" w:sz="0" w:space="0" w:color="auto"/>
                    <w:right w:val="none" w:sz="0" w:space="0" w:color="auto"/>
                  </w:divBdr>
                  <w:divsChild>
                    <w:div w:id="1876262591">
                      <w:marLeft w:val="0"/>
                      <w:marRight w:val="0"/>
                      <w:marTop w:val="0"/>
                      <w:marBottom w:val="0"/>
                      <w:divBdr>
                        <w:top w:val="none" w:sz="0" w:space="0" w:color="auto"/>
                        <w:left w:val="none" w:sz="0" w:space="0" w:color="auto"/>
                        <w:bottom w:val="none" w:sz="0" w:space="0" w:color="auto"/>
                        <w:right w:val="none" w:sz="0" w:space="0" w:color="auto"/>
                      </w:divBdr>
                    </w:div>
                  </w:divsChild>
                </w:div>
                <w:div w:id="390690868">
                  <w:marLeft w:val="0"/>
                  <w:marRight w:val="0"/>
                  <w:marTop w:val="0"/>
                  <w:marBottom w:val="0"/>
                  <w:divBdr>
                    <w:top w:val="none" w:sz="0" w:space="0" w:color="auto"/>
                    <w:left w:val="none" w:sz="0" w:space="0" w:color="auto"/>
                    <w:bottom w:val="none" w:sz="0" w:space="0" w:color="auto"/>
                    <w:right w:val="none" w:sz="0" w:space="0" w:color="auto"/>
                  </w:divBdr>
                  <w:divsChild>
                    <w:div w:id="16995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38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Adamson</dc:creator>
  <cp:lastModifiedBy>Ann Adamson</cp:lastModifiedBy>
  <cp:revision>3</cp:revision>
  <dcterms:created xsi:type="dcterms:W3CDTF">2019-02-06T09:09:00Z</dcterms:created>
  <dcterms:modified xsi:type="dcterms:W3CDTF">2019-02-06T09:15:00Z</dcterms:modified>
</cp:coreProperties>
</file>