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EAC3" w14:textId="248D3429" w:rsidR="00CB5072" w:rsidRDefault="001B3452" w:rsidP="001B3452">
      <w:pPr>
        <w:jc w:val="center"/>
        <w:rPr>
          <w:rFonts w:ascii="Arial" w:hAnsi="Arial" w:cs="Arial"/>
          <w:b/>
          <w:sz w:val="28"/>
          <w:szCs w:val="28"/>
        </w:rPr>
      </w:pPr>
      <w:r w:rsidRPr="001B3452">
        <w:rPr>
          <w:rFonts w:ascii="Arial" w:hAnsi="Arial" w:cs="Arial"/>
          <w:b/>
          <w:sz w:val="28"/>
          <w:szCs w:val="28"/>
        </w:rPr>
        <w:t>Glossary</w:t>
      </w:r>
    </w:p>
    <w:p w14:paraId="5816D4CC" w14:textId="77777777" w:rsidR="001B3452" w:rsidRDefault="001B3452" w:rsidP="001B3452">
      <w:pPr>
        <w:jc w:val="center"/>
        <w:rPr>
          <w:rFonts w:ascii="Arial" w:hAnsi="Arial" w:cs="Arial"/>
          <w:b/>
          <w:sz w:val="28"/>
          <w:szCs w:val="28"/>
        </w:rPr>
      </w:pPr>
    </w:p>
    <w:p w14:paraId="58278441" w14:textId="63A03BB0" w:rsidR="001B3452" w:rsidRDefault="001B3452" w:rsidP="001B3452">
      <w:pPr>
        <w:pStyle w:val="Default"/>
        <w:rPr>
          <w:b/>
          <w:color w:val="auto"/>
        </w:rPr>
      </w:pPr>
    </w:p>
    <w:p w14:paraId="7F099A36" w14:textId="77777777" w:rsidR="001B3452" w:rsidRDefault="001B3452" w:rsidP="001B3452">
      <w:pPr>
        <w:pStyle w:val="Default"/>
        <w:rPr>
          <w:b/>
          <w:color w:val="auto"/>
          <w:sz w:val="20"/>
          <w:szCs w:val="20"/>
        </w:rPr>
      </w:pPr>
    </w:p>
    <w:p w14:paraId="2E6DF956" w14:textId="77777777" w:rsidR="001B3452" w:rsidRDefault="001B3452" w:rsidP="001B3452">
      <w:pPr>
        <w:pStyle w:val="Default"/>
        <w:rPr>
          <w:b/>
          <w:color w:val="auto"/>
          <w:sz w:val="20"/>
          <w:szCs w:val="20"/>
        </w:rPr>
      </w:pPr>
      <w:r>
        <w:rPr>
          <w:b/>
          <w:color w:val="auto"/>
          <w:sz w:val="20"/>
          <w:szCs w:val="20"/>
        </w:rPr>
        <w:t>BNF Code:</w:t>
      </w:r>
    </w:p>
    <w:p w14:paraId="4C032B7D" w14:textId="77777777" w:rsidR="001B3452" w:rsidRDefault="001B3452" w:rsidP="001B3452">
      <w:pPr>
        <w:pStyle w:val="Default"/>
        <w:rPr>
          <w:color w:val="auto"/>
          <w:sz w:val="20"/>
          <w:szCs w:val="20"/>
        </w:rPr>
      </w:pPr>
      <w:r>
        <w:rPr>
          <w:color w:val="auto"/>
          <w:sz w:val="20"/>
          <w:szCs w:val="20"/>
        </w:rPr>
        <w:t>The BNF Code is a 15 digit code in which the first seven digits are allocated according to the categories in the BNF and the last 8 digits represent the medicinal product, form, strength and the link to the generic equivalent product. The digits in the code represent the following information:</w:t>
      </w:r>
    </w:p>
    <w:p w14:paraId="30A82CAF" w14:textId="77777777" w:rsidR="001B3452" w:rsidRDefault="001B3452" w:rsidP="001B3452">
      <w:pPr>
        <w:pStyle w:val="Default"/>
        <w:rPr>
          <w:color w:val="auto"/>
          <w:sz w:val="20"/>
          <w:szCs w:val="20"/>
        </w:rPr>
      </w:pPr>
    </w:p>
    <w:p w14:paraId="3EC6F9FC" w14:textId="77777777" w:rsidR="001B3452" w:rsidRDefault="001B3452" w:rsidP="001B3452">
      <w:pPr>
        <w:pStyle w:val="Default"/>
        <w:rPr>
          <w:color w:val="auto"/>
          <w:sz w:val="20"/>
          <w:szCs w:val="20"/>
        </w:rPr>
      </w:pPr>
      <w:r>
        <w:rPr>
          <w:color w:val="auto"/>
          <w:sz w:val="20"/>
          <w:szCs w:val="20"/>
        </w:rPr>
        <w:t>1 &amp; 2</w:t>
      </w:r>
      <w:r>
        <w:rPr>
          <w:color w:val="auto"/>
          <w:sz w:val="20"/>
          <w:szCs w:val="20"/>
        </w:rPr>
        <w:tab/>
      </w:r>
      <w:r>
        <w:rPr>
          <w:color w:val="auto"/>
          <w:sz w:val="20"/>
          <w:szCs w:val="20"/>
        </w:rPr>
        <w:tab/>
        <w:t>BNF Chapter</w:t>
      </w:r>
    </w:p>
    <w:p w14:paraId="72710C2A" w14:textId="77777777" w:rsidR="001B3452" w:rsidRDefault="001B3452" w:rsidP="001B3452">
      <w:pPr>
        <w:pStyle w:val="Default"/>
        <w:rPr>
          <w:color w:val="auto"/>
          <w:sz w:val="20"/>
          <w:szCs w:val="20"/>
        </w:rPr>
      </w:pPr>
      <w:r>
        <w:rPr>
          <w:color w:val="auto"/>
          <w:sz w:val="20"/>
          <w:szCs w:val="20"/>
        </w:rPr>
        <w:t xml:space="preserve">3 &amp; 4 </w:t>
      </w:r>
      <w:r>
        <w:rPr>
          <w:color w:val="auto"/>
          <w:sz w:val="20"/>
          <w:szCs w:val="20"/>
        </w:rPr>
        <w:tab/>
      </w:r>
      <w:r>
        <w:rPr>
          <w:color w:val="auto"/>
          <w:sz w:val="20"/>
          <w:szCs w:val="20"/>
        </w:rPr>
        <w:tab/>
        <w:t>BNF Section</w:t>
      </w:r>
    </w:p>
    <w:p w14:paraId="75EC9C5E" w14:textId="77777777" w:rsidR="001B3452" w:rsidRDefault="001B3452" w:rsidP="001B3452">
      <w:pPr>
        <w:pStyle w:val="Default"/>
        <w:rPr>
          <w:color w:val="auto"/>
          <w:sz w:val="20"/>
          <w:szCs w:val="20"/>
        </w:rPr>
      </w:pPr>
      <w:r>
        <w:rPr>
          <w:color w:val="auto"/>
          <w:sz w:val="20"/>
          <w:szCs w:val="20"/>
        </w:rPr>
        <w:t>5 &amp; 6</w:t>
      </w:r>
      <w:r>
        <w:rPr>
          <w:color w:val="auto"/>
          <w:sz w:val="20"/>
          <w:szCs w:val="20"/>
        </w:rPr>
        <w:tab/>
      </w:r>
      <w:r>
        <w:rPr>
          <w:color w:val="auto"/>
          <w:sz w:val="20"/>
          <w:szCs w:val="20"/>
        </w:rPr>
        <w:tab/>
        <w:t>BNF Paragraph</w:t>
      </w:r>
    </w:p>
    <w:p w14:paraId="1137BEC2" w14:textId="77777777" w:rsidR="001B3452" w:rsidRDefault="001B3452" w:rsidP="001B3452">
      <w:pPr>
        <w:pStyle w:val="Default"/>
        <w:rPr>
          <w:color w:val="auto"/>
          <w:sz w:val="20"/>
          <w:szCs w:val="20"/>
        </w:rPr>
      </w:pPr>
      <w:r>
        <w:rPr>
          <w:color w:val="auto"/>
          <w:sz w:val="20"/>
          <w:szCs w:val="20"/>
        </w:rPr>
        <w:t>7</w:t>
      </w:r>
      <w:r>
        <w:rPr>
          <w:color w:val="auto"/>
          <w:sz w:val="20"/>
          <w:szCs w:val="20"/>
        </w:rPr>
        <w:tab/>
      </w:r>
      <w:r>
        <w:rPr>
          <w:color w:val="auto"/>
          <w:sz w:val="20"/>
          <w:szCs w:val="20"/>
        </w:rPr>
        <w:tab/>
        <w:t>BNF Sub-Paragraph</w:t>
      </w:r>
    </w:p>
    <w:p w14:paraId="229DCEA7" w14:textId="77777777" w:rsidR="001B3452" w:rsidRDefault="001B3452" w:rsidP="001B3452">
      <w:pPr>
        <w:pStyle w:val="Default"/>
        <w:rPr>
          <w:color w:val="auto"/>
          <w:sz w:val="20"/>
          <w:szCs w:val="20"/>
        </w:rPr>
      </w:pPr>
      <w:r>
        <w:rPr>
          <w:color w:val="auto"/>
          <w:sz w:val="20"/>
          <w:szCs w:val="20"/>
        </w:rPr>
        <w:t>8 &amp; 9</w:t>
      </w:r>
      <w:r>
        <w:rPr>
          <w:color w:val="auto"/>
          <w:sz w:val="20"/>
          <w:szCs w:val="20"/>
        </w:rPr>
        <w:tab/>
      </w:r>
      <w:r>
        <w:rPr>
          <w:color w:val="auto"/>
          <w:sz w:val="20"/>
          <w:szCs w:val="20"/>
        </w:rPr>
        <w:tab/>
        <w:t>Chemical substance</w:t>
      </w:r>
    </w:p>
    <w:p w14:paraId="1B0D9CA9" w14:textId="77777777" w:rsidR="001B3452" w:rsidRDefault="001B3452" w:rsidP="001B3452">
      <w:pPr>
        <w:pStyle w:val="Default"/>
        <w:rPr>
          <w:color w:val="auto"/>
          <w:sz w:val="20"/>
          <w:szCs w:val="20"/>
        </w:rPr>
      </w:pPr>
      <w:r>
        <w:rPr>
          <w:color w:val="auto"/>
          <w:sz w:val="20"/>
          <w:szCs w:val="20"/>
        </w:rPr>
        <w:t>10 &amp; 11</w:t>
      </w:r>
      <w:r>
        <w:rPr>
          <w:color w:val="auto"/>
          <w:sz w:val="20"/>
          <w:szCs w:val="20"/>
        </w:rPr>
        <w:tab/>
      </w:r>
      <w:r>
        <w:rPr>
          <w:color w:val="auto"/>
          <w:sz w:val="20"/>
          <w:szCs w:val="20"/>
        </w:rPr>
        <w:tab/>
        <w:t>Product</w:t>
      </w:r>
    </w:p>
    <w:p w14:paraId="743FB783" w14:textId="77777777" w:rsidR="001B3452" w:rsidRDefault="001B3452" w:rsidP="001B3452">
      <w:pPr>
        <w:pStyle w:val="Default"/>
        <w:rPr>
          <w:color w:val="auto"/>
          <w:sz w:val="20"/>
          <w:szCs w:val="20"/>
        </w:rPr>
      </w:pPr>
      <w:r>
        <w:rPr>
          <w:color w:val="auto"/>
          <w:sz w:val="20"/>
          <w:szCs w:val="20"/>
        </w:rPr>
        <w:t>12 &amp; 13</w:t>
      </w:r>
      <w:r>
        <w:rPr>
          <w:color w:val="auto"/>
          <w:sz w:val="20"/>
          <w:szCs w:val="20"/>
        </w:rPr>
        <w:tab/>
      </w:r>
      <w:r>
        <w:rPr>
          <w:color w:val="auto"/>
          <w:sz w:val="20"/>
          <w:szCs w:val="20"/>
        </w:rPr>
        <w:tab/>
        <w:t>Strength / Formulation</w:t>
      </w:r>
    </w:p>
    <w:p w14:paraId="4B701EAA" w14:textId="77777777" w:rsidR="001B3452" w:rsidRDefault="001B3452" w:rsidP="001B3452">
      <w:pPr>
        <w:pStyle w:val="Default"/>
        <w:rPr>
          <w:color w:val="auto"/>
          <w:sz w:val="20"/>
          <w:szCs w:val="20"/>
        </w:rPr>
      </w:pPr>
      <w:proofErr w:type="gramStart"/>
      <w:r>
        <w:rPr>
          <w:color w:val="auto"/>
          <w:sz w:val="20"/>
          <w:szCs w:val="20"/>
        </w:rPr>
        <w:t>14 &amp; 15</w:t>
      </w:r>
      <w:r>
        <w:rPr>
          <w:color w:val="auto"/>
          <w:sz w:val="20"/>
          <w:szCs w:val="20"/>
        </w:rPr>
        <w:tab/>
      </w:r>
      <w:r>
        <w:rPr>
          <w:color w:val="auto"/>
          <w:sz w:val="20"/>
          <w:szCs w:val="20"/>
        </w:rPr>
        <w:tab/>
        <w:t>Link to the generic equivalent product.</w:t>
      </w:r>
      <w:proofErr w:type="gramEnd"/>
      <w:r>
        <w:rPr>
          <w:color w:val="auto"/>
          <w:sz w:val="20"/>
          <w:szCs w:val="20"/>
        </w:rPr>
        <w:t xml:space="preserve">  A is used when there is no linking record.</w:t>
      </w:r>
    </w:p>
    <w:p w14:paraId="27554630" w14:textId="77777777" w:rsidR="001B3452" w:rsidRDefault="001B3452" w:rsidP="001B3452">
      <w:pPr>
        <w:pStyle w:val="Default"/>
        <w:rPr>
          <w:color w:val="auto"/>
          <w:sz w:val="20"/>
          <w:szCs w:val="20"/>
        </w:rPr>
      </w:pPr>
    </w:p>
    <w:p w14:paraId="0D725E88" w14:textId="77777777" w:rsidR="001B3452" w:rsidRDefault="001B3452" w:rsidP="001B3452">
      <w:pPr>
        <w:pStyle w:val="Default"/>
        <w:ind w:left="360"/>
        <w:rPr>
          <w:color w:val="auto"/>
          <w:sz w:val="20"/>
          <w:szCs w:val="20"/>
        </w:rPr>
      </w:pPr>
    </w:p>
    <w:p w14:paraId="77A138A2" w14:textId="77777777" w:rsidR="001B3452" w:rsidRDefault="001B3452" w:rsidP="001B3452">
      <w:pPr>
        <w:pStyle w:val="Default"/>
        <w:rPr>
          <w:b/>
          <w:color w:val="auto"/>
          <w:sz w:val="20"/>
          <w:szCs w:val="20"/>
        </w:rPr>
      </w:pPr>
      <w:r>
        <w:rPr>
          <w:b/>
          <w:color w:val="auto"/>
          <w:sz w:val="20"/>
          <w:szCs w:val="20"/>
        </w:rPr>
        <w:t>BNF Section Name:</w:t>
      </w:r>
    </w:p>
    <w:p w14:paraId="7F0685A6" w14:textId="77777777" w:rsidR="001B3452" w:rsidRDefault="001B3452" w:rsidP="001B3452">
      <w:pPr>
        <w:pStyle w:val="Default"/>
        <w:rPr>
          <w:color w:val="auto"/>
          <w:sz w:val="20"/>
          <w:szCs w:val="20"/>
        </w:rPr>
      </w:pPr>
      <w:r>
        <w:rPr>
          <w:color w:val="auto"/>
          <w:sz w:val="20"/>
          <w:szCs w:val="20"/>
        </w:rPr>
        <w:t>The primary therapeutic area based on BNF classification for which a drug is used.</w:t>
      </w:r>
    </w:p>
    <w:p w14:paraId="3842399A" w14:textId="77777777" w:rsidR="001B3452" w:rsidRDefault="001B3452" w:rsidP="001B3452">
      <w:pPr>
        <w:pStyle w:val="Default"/>
        <w:rPr>
          <w:color w:val="auto"/>
          <w:sz w:val="20"/>
          <w:szCs w:val="20"/>
        </w:rPr>
      </w:pPr>
    </w:p>
    <w:p w14:paraId="20B133E3" w14:textId="77777777" w:rsidR="001B3452" w:rsidRDefault="001B3452" w:rsidP="001B3452">
      <w:pPr>
        <w:pStyle w:val="Default"/>
        <w:rPr>
          <w:b/>
          <w:color w:val="auto"/>
          <w:sz w:val="20"/>
          <w:szCs w:val="20"/>
        </w:rPr>
      </w:pPr>
      <w:r>
        <w:rPr>
          <w:b/>
          <w:color w:val="auto"/>
          <w:sz w:val="20"/>
          <w:szCs w:val="20"/>
        </w:rPr>
        <w:t>BNF Chemical Name:</w:t>
      </w:r>
    </w:p>
    <w:p w14:paraId="4920539F" w14:textId="77777777" w:rsidR="001B3452" w:rsidRDefault="001B3452" w:rsidP="001B3452">
      <w:pPr>
        <w:pStyle w:val="Default"/>
        <w:rPr>
          <w:color w:val="auto"/>
          <w:sz w:val="20"/>
          <w:szCs w:val="20"/>
        </w:rPr>
      </w:pPr>
      <w:r>
        <w:rPr>
          <w:color w:val="auto"/>
          <w:sz w:val="20"/>
          <w:szCs w:val="20"/>
        </w:rPr>
        <w:t>PCA data is based on the therapeutic grouping used in the British National Formulary.  The classification is stated in each of the reports and is based on the relevant BNF edition. While the therapeutic classification of drugs occasionally changes, all PCA publications reflect the classification in use at the time of publication.</w:t>
      </w:r>
    </w:p>
    <w:p w14:paraId="7834D187" w14:textId="77777777" w:rsidR="001B3452" w:rsidRDefault="001B3452" w:rsidP="001B3452">
      <w:pPr>
        <w:pStyle w:val="Default"/>
        <w:rPr>
          <w:color w:val="auto"/>
          <w:sz w:val="20"/>
          <w:szCs w:val="20"/>
        </w:rPr>
      </w:pPr>
    </w:p>
    <w:p w14:paraId="1D570EEC" w14:textId="77777777" w:rsidR="001B3452" w:rsidRDefault="001B3452" w:rsidP="001B3452">
      <w:pPr>
        <w:pStyle w:val="Default"/>
        <w:rPr>
          <w:color w:val="auto"/>
          <w:sz w:val="20"/>
          <w:szCs w:val="20"/>
        </w:rPr>
      </w:pPr>
      <w:r>
        <w:rPr>
          <w:color w:val="auto"/>
          <w:sz w:val="20"/>
          <w:szCs w:val="20"/>
        </w:rPr>
        <w:t>The NHS Prescription Services has created pseudo BNF chapters, which are not published, for items not included in BNF chapters 1 to 15. The majority of such items are dressings and appliances, which the NHS Prescription Services has classified into four pseudo BNF chapters (20 to 23).</w:t>
      </w:r>
    </w:p>
    <w:p w14:paraId="5310FAD0" w14:textId="77777777" w:rsidR="002B5901" w:rsidRDefault="002B5901" w:rsidP="001B3452">
      <w:pPr>
        <w:pStyle w:val="Default"/>
        <w:rPr>
          <w:color w:val="auto"/>
          <w:sz w:val="20"/>
          <w:szCs w:val="20"/>
        </w:rPr>
      </w:pPr>
    </w:p>
    <w:p w14:paraId="27B7E8A2" w14:textId="77777777" w:rsidR="002B5901" w:rsidRPr="002B5901" w:rsidRDefault="002B5901" w:rsidP="002B5901">
      <w:pPr>
        <w:pStyle w:val="Default"/>
        <w:rPr>
          <w:b/>
          <w:color w:val="auto"/>
          <w:sz w:val="20"/>
          <w:szCs w:val="20"/>
        </w:rPr>
      </w:pPr>
      <w:r w:rsidRPr="002B5901">
        <w:rPr>
          <w:b/>
          <w:color w:val="auto"/>
          <w:sz w:val="20"/>
          <w:szCs w:val="20"/>
        </w:rPr>
        <w:t xml:space="preserve">Drug name: </w:t>
      </w:r>
    </w:p>
    <w:p w14:paraId="2FE43659" w14:textId="55646757" w:rsidR="001B3452" w:rsidRDefault="002B5901" w:rsidP="002B5901">
      <w:pPr>
        <w:pStyle w:val="Default"/>
        <w:rPr>
          <w:color w:val="auto"/>
          <w:sz w:val="20"/>
          <w:szCs w:val="20"/>
        </w:rPr>
      </w:pPr>
      <w:r w:rsidRPr="002B5901">
        <w:rPr>
          <w:color w:val="auto"/>
          <w:sz w:val="20"/>
          <w:szCs w:val="20"/>
        </w:rPr>
        <w:t>Medicines are shown by individual preparation name, which may be proprietary or generic, followed by form and strength. The names used are often presented in an abbreviated form.</w:t>
      </w:r>
    </w:p>
    <w:p w14:paraId="07DD624E" w14:textId="77777777" w:rsidR="002B5901" w:rsidRDefault="002B5901" w:rsidP="002B5901">
      <w:pPr>
        <w:pStyle w:val="Default"/>
        <w:rPr>
          <w:color w:val="auto"/>
          <w:sz w:val="20"/>
          <w:szCs w:val="20"/>
        </w:rPr>
      </w:pPr>
    </w:p>
    <w:p w14:paraId="6105BA2A" w14:textId="77777777" w:rsidR="001B3452" w:rsidRDefault="001B3452" w:rsidP="001B3452">
      <w:pPr>
        <w:pStyle w:val="Default"/>
        <w:rPr>
          <w:color w:val="auto"/>
          <w:sz w:val="20"/>
          <w:szCs w:val="20"/>
        </w:rPr>
      </w:pPr>
      <w:r>
        <w:rPr>
          <w:b/>
          <w:bCs/>
          <w:color w:val="auto"/>
          <w:sz w:val="20"/>
          <w:szCs w:val="20"/>
        </w:rPr>
        <w:t xml:space="preserve">Class of preparation (Prep Class): </w:t>
      </w:r>
    </w:p>
    <w:p w14:paraId="33C3C230" w14:textId="77777777" w:rsidR="001B3452" w:rsidRDefault="001B3452" w:rsidP="001B3452">
      <w:pPr>
        <w:pStyle w:val="Default"/>
        <w:rPr>
          <w:color w:val="auto"/>
          <w:sz w:val="20"/>
          <w:szCs w:val="20"/>
        </w:rPr>
      </w:pPr>
      <w:r>
        <w:rPr>
          <w:color w:val="auto"/>
          <w:sz w:val="20"/>
          <w:szCs w:val="20"/>
        </w:rPr>
        <w:t>PCA data classifies drugs in four ways:</w:t>
      </w:r>
    </w:p>
    <w:p w14:paraId="77FD789C" w14:textId="77777777" w:rsidR="001B3452" w:rsidRDefault="001B3452" w:rsidP="001B3452">
      <w:pPr>
        <w:pStyle w:val="Default"/>
        <w:rPr>
          <w:bCs/>
          <w:color w:val="auto"/>
          <w:sz w:val="20"/>
          <w:szCs w:val="20"/>
        </w:rPr>
      </w:pPr>
      <w:r>
        <w:rPr>
          <w:b/>
          <w:bCs/>
          <w:color w:val="auto"/>
          <w:sz w:val="20"/>
          <w:szCs w:val="20"/>
        </w:rPr>
        <w:t xml:space="preserve">Class 1 - </w:t>
      </w:r>
      <w:r>
        <w:rPr>
          <w:bCs/>
          <w:color w:val="auto"/>
          <w:sz w:val="20"/>
          <w:szCs w:val="20"/>
        </w:rPr>
        <w:t xml:space="preserve">Drugs prescribed and available generically </w:t>
      </w:r>
    </w:p>
    <w:p w14:paraId="5208FC52" w14:textId="77777777" w:rsidR="001B3452" w:rsidRDefault="001B3452" w:rsidP="001B3452">
      <w:pPr>
        <w:pStyle w:val="Default"/>
        <w:rPr>
          <w:color w:val="auto"/>
          <w:sz w:val="20"/>
          <w:szCs w:val="20"/>
        </w:rPr>
      </w:pPr>
      <w:r>
        <w:rPr>
          <w:b/>
          <w:bCs/>
          <w:color w:val="auto"/>
          <w:sz w:val="20"/>
          <w:szCs w:val="20"/>
        </w:rPr>
        <w:t xml:space="preserve">Class 2 </w:t>
      </w:r>
      <w:r>
        <w:rPr>
          <w:color w:val="auto"/>
          <w:sz w:val="20"/>
          <w:szCs w:val="20"/>
        </w:rPr>
        <w:t xml:space="preserve">- Drugs prescribed generically but only available as a proprietary product </w:t>
      </w:r>
    </w:p>
    <w:p w14:paraId="3DC4B52C" w14:textId="77777777" w:rsidR="001B3452" w:rsidRDefault="001B3452" w:rsidP="001B3452">
      <w:pPr>
        <w:pStyle w:val="Default"/>
        <w:rPr>
          <w:color w:val="auto"/>
          <w:sz w:val="20"/>
          <w:szCs w:val="20"/>
        </w:rPr>
      </w:pPr>
      <w:r>
        <w:rPr>
          <w:b/>
          <w:bCs/>
          <w:color w:val="auto"/>
          <w:sz w:val="20"/>
          <w:szCs w:val="20"/>
        </w:rPr>
        <w:t xml:space="preserve">Class 3 </w:t>
      </w:r>
      <w:r>
        <w:rPr>
          <w:color w:val="auto"/>
          <w:sz w:val="20"/>
          <w:szCs w:val="20"/>
        </w:rPr>
        <w:t xml:space="preserve">- Drugs prescribed and dispensed by proprietary brand name </w:t>
      </w:r>
    </w:p>
    <w:p w14:paraId="3E673B97" w14:textId="77777777" w:rsidR="001B3452" w:rsidRDefault="001B3452" w:rsidP="001B3452">
      <w:pPr>
        <w:pStyle w:val="Default"/>
        <w:rPr>
          <w:color w:val="auto"/>
          <w:sz w:val="20"/>
          <w:szCs w:val="20"/>
        </w:rPr>
      </w:pPr>
      <w:r>
        <w:rPr>
          <w:b/>
          <w:bCs/>
          <w:color w:val="auto"/>
          <w:sz w:val="20"/>
          <w:szCs w:val="20"/>
        </w:rPr>
        <w:t xml:space="preserve">Class 4 </w:t>
      </w:r>
      <w:r>
        <w:rPr>
          <w:color w:val="auto"/>
          <w:sz w:val="20"/>
          <w:szCs w:val="20"/>
        </w:rPr>
        <w:t xml:space="preserve">- Dressings and appliances </w:t>
      </w:r>
    </w:p>
    <w:p w14:paraId="1965EB32" w14:textId="77777777" w:rsidR="001B3452" w:rsidRDefault="001B3452" w:rsidP="001B3452">
      <w:pPr>
        <w:pStyle w:val="Default"/>
        <w:rPr>
          <w:color w:val="auto"/>
          <w:sz w:val="20"/>
          <w:szCs w:val="20"/>
        </w:rPr>
      </w:pPr>
    </w:p>
    <w:p w14:paraId="677BFB99" w14:textId="77777777" w:rsidR="001B3452" w:rsidRDefault="001B3452" w:rsidP="001B3452">
      <w:pPr>
        <w:pStyle w:val="Default"/>
        <w:rPr>
          <w:b/>
          <w:bCs/>
          <w:color w:val="auto"/>
          <w:sz w:val="20"/>
          <w:szCs w:val="20"/>
        </w:rPr>
      </w:pPr>
      <w:r>
        <w:rPr>
          <w:b/>
          <w:bCs/>
          <w:color w:val="auto"/>
          <w:sz w:val="20"/>
          <w:szCs w:val="20"/>
        </w:rPr>
        <w:t>Items dispensed:</w:t>
      </w:r>
    </w:p>
    <w:p w14:paraId="1A701D29" w14:textId="472D8818" w:rsidR="001B3452" w:rsidRDefault="001B3452" w:rsidP="001B3452">
      <w:pPr>
        <w:pStyle w:val="Default"/>
        <w:rPr>
          <w:color w:val="auto"/>
          <w:sz w:val="20"/>
          <w:szCs w:val="20"/>
        </w:rPr>
      </w:pPr>
      <w:r>
        <w:rPr>
          <w:color w:val="auto"/>
          <w:sz w:val="20"/>
          <w:szCs w:val="20"/>
        </w:rPr>
        <w:t xml:space="preserve">A prescription item refers to a single medicine prescribed by a doctor (or dentist/nurse/etc.) on a </w:t>
      </w:r>
      <w:r>
        <w:rPr>
          <w:bCs/>
          <w:color w:val="auto"/>
          <w:sz w:val="20"/>
          <w:szCs w:val="20"/>
        </w:rPr>
        <w:t>prescription form</w:t>
      </w:r>
      <w:r>
        <w:rPr>
          <w:color w:val="auto"/>
          <w:sz w:val="20"/>
          <w:szCs w:val="20"/>
        </w:rPr>
        <w:t>. This is different to quantity i.e. if salbutam</w:t>
      </w:r>
      <w:r w:rsidR="004203A1">
        <w:rPr>
          <w:color w:val="auto"/>
          <w:sz w:val="20"/>
          <w:szCs w:val="20"/>
        </w:rPr>
        <w:t>ol inhaler x 2 is</w:t>
      </w:r>
      <w:r w:rsidR="00294F05">
        <w:rPr>
          <w:color w:val="auto"/>
          <w:sz w:val="20"/>
          <w:szCs w:val="20"/>
        </w:rPr>
        <w:t xml:space="preserve"> prescribed. T</w:t>
      </w:r>
      <w:r>
        <w:rPr>
          <w:color w:val="auto"/>
          <w:sz w:val="20"/>
          <w:szCs w:val="20"/>
        </w:rPr>
        <w:t>his is one item with a quantity of two.</w:t>
      </w:r>
    </w:p>
    <w:p w14:paraId="084E03D5" w14:textId="77777777" w:rsidR="00E838C1" w:rsidRDefault="00E838C1" w:rsidP="001B3452">
      <w:pPr>
        <w:pStyle w:val="Default"/>
        <w:rPr>
          <w:color w:val="auto"/>
          <w:sz w:val="20"/>
          <w:szCs w:val="20"/>
        </w:rPr>
      </w:pPr>
    </w:p>
    <w:p w14:paraId="6B729D24" w14:textId="77777777" w:rsidR="001B3452" w:rsidRDefault="001B3452" w:rsidP="001B3452">
      <w:pPr>
        <w:pStyle w:val="Default"/>
        <w:rPr>
          <w:b/>
          <w:bCs/>
          <w:color w:val="auto"/>
          <w:sz w:val="20"/>
          <w:szCs w:val="20"/>
        </w:rPr>
      </w:pPr>
      <w:r>
        <w:rPr>
          <w:b/>
          <w:bCs/>
          <w:color w:val="auto"/>
          <w:sz w:val="20"/>
          <w:szCs w:val="20"/>
        </w:rPr>
        <w:t>Quantity (QTY):</w:t>
      </w:r>
    </w:p>
    <w:p w14:paraId="2703648B" w14:textId="4A001741" w:rsidR="001B3452" w:rsidRDefault="001B3452" w:rsidP="001B3452">
      <w:pPr>
        <w:pStyle w:val="Default"/>
        <w:rPr>
          <w:color w:val="auto"/>
          <w:sz w:val="20"/>
          <w:szCs w:val="20"/>
        </w:rPr>
      </w:pPr>
      <w:r>
        <w:rPr>
          <w:color w:val="auto"/>
          <w:sz w:val="20"/>
          <w:szCs w:val="20"/>
        </w:rPr>
        <w:t>The quantity of a drug dispensed is measured in units depending on</w:t>
      </w:r>
      <w:r w:rsidR="003A7CCA">
        <w:rPr>
          <w:color w:val="auto"/>
          <w:sz w:val="20"/>
          <w:szCs w:val="20"/>
        </w:rPr>
        <w:t xml:space="preserve"> the formulation of the product.</w:t>
      </w:r>
      <w:r>
        <w:rPr>
          <w:color w:val="auto"/>
          <w:sz w:val="20"/>
          <w:szCs w:val="20"/>
        </w:rPr>
        <w:t xml:space="preserve"> Quantities are not added together across preparations because of different strengths and formulations. </w:t>
      </w:r>
    </w:p>
    <w:p w14:paraId="4834E2B7" w14:textId="77777777" w:rsidR="001B3452" w:rsidRDefault="001B3452" w:rsidP="001B3452">
      <w:pPr>
        <w:pStyle w:val="Default"/>
        <w:rPr>
          <w:color w:val="auto"/>
          <w:sz w:val="20"/>
          <w:szCs w:val="20"/>
        </w:rPr>
      </w:pPr>
    </w:p>
    <w:p w14:paraId="2FEA657E" w14:textId="77777777" w:rsidR="001B3452" w:rsidRDefault="001B3452" w:rsidP="001B3452">
      <w:pPr>
        <w:pStyle w:val="Default"/>
        <w:rPr>
          <w:color w:val="auto"/>
          <w:sz w:val="20"/>
          <w:szCs w:val="20"/>
        </w:rPr>
      </w:pPr>
      <w:r>
        <w:rPr>
          <w:b/>
          <w:bCs/>
          <w:color w:val="auto"/>
          <w:sz w:val="20"/>
          <w:szCs w:val="20"/>
        </w:rPr>
        <w:t xml:space="preserve">Net Ingredient Cost (NIC): </w:t>
      </w:r>
    </w:p>
    <w:p w14:paraId="4E445289" w14:textId="189A0F17" w:rsidR="001B3452" w:rsidRDefault="001B3452" w:rsidP="001B3452">
      <w:pPr>
        <w:pStyle w:val="Default"/>
        <w:rPr>
          <w:color w:val="auto"/>
          <w:sz w:val="20"/>
          <w:szCs w:val="20"/>
        </w:rPr>
      </w:pPr>
      <w:r>
        <w:rPr>
          <w:color w:val="auto"/>
          <w:sz w:val="20"/>
          <w:szCs w:val="20"/>
        </w:rPr>
        <w:t xml:space="preserve">Net Ingredient Cost is the basic price of the medicine, i.e. the price listed in Part VIII or IX of the Drug Tariff </w:t>
      </w:r>
      <w:hyperlink r:id="rId12" w:history="1">
        <w:r w:rsidR="00124AF0" w:rsidRPr="00124AF0">
          <w:rPr>
            <w:rStyle w:val="Hyperlink"/>
            <w:sz w:val="20"/>
            <w:szCs w:val="20"/>
          </w:rPr>
          <w:t>https://www.nhsbsa.nhs.uk/pharmacies-gp-practices-and-appliance-contractors/drug-tariff</w:t>
        </w:r>
      </w:hyperlink>
      <w:r>
        <w:rPr>
          <w:color w:val="auto"/>
          <w:sz w:val="20"/>
          <w:szCs w:val="20"/>
        </w:rPr>
        <w:t xml:space="preserve"> or for drugs not listed in the Drug Tariff, the list price published by the manufacturer, wholesaler or supplier (See Drug Tariff </w:t>
      </w:r>
      <w:r>
        <w:rPr>
          <w:color w:val="auto"/>
          <w:sz w:val="20"/>
          <w:szCs w:val="20"/>
        </w:rPr>
        <w:lastRenderedPageBreak/>
        <w:t xml:space="preserve">Part II clause 8). This is the cost of the drug before any discounts are applied and does not include any dispensing costs or fees. It also does not include any adjustment for income obtained where a prescription charge is paid at the time the prescription is dispensed or where the patient has purchased a pre-payment certificate. </w:t>
      </w:r>
    </w:p>
    <w:p w14:paraId="21670FCA" w14:textId="77777777" w:rsidR="00ED2C3F" w:rsidRDefault="00ED2C3F" w:rsidP="001B3452">
      <w:pPr>
        <w:pStyle w:val="Default"/>
        <w:rPr>
          <w:color w:val="auto"/>
          <w:sz w:val="20"/>
          <w:szCs w:val="20"/>
        </w:rPr>
      </w:pPr>
    </w:p>
    <w:p w14:paraId="2E1F41B7" w14:textId="71B5255A" w:rsidR="001B3452" w:rsidRPr="006B61E3" w:rsidRDefault="00ED2C3F" w:rsidP="001B3452">
      <w:pPr>
        <w:pStyle w:val="Default"/>
        <w:rPr>
          <w:color w:val="auto"/>
          <w:sz w:val="20"/>
          <w:szCs w:val="20"/>
        </w:rPr>
      </w:pPr>
      <w:r w:rsidRPr="006B61E3">
        <w:rPr>
          <w:color w:val="auto"/>
          <w:sz w:val="20"/>
          <w:szCs w:val="20"/>
        </w:rPr>
        <w:t>NIC is produced to three decimal places and shown in (£) where prior to December 2018 this was in (p).</w:t>
      </w:r>
    </w:p>
    <w:p w14:paraId="175549E2" w14:textId="77777777" w:rsidR="00515597" w:rsidRDefault="00515597" w:rsidP="001B3452">
      <w:pPr>
        <w:pStyle w:val="Default"/>
        <w:rPr>
          <w:color w:val="auto"/>
          <w:sz w:val="20"/>
          <w:szCs w:val="20"/>
        </w:rPr>
      </w:pPr>
    </w:p>
    <w:p w14:paraId="0028CB32" w14:textId="77777777" w:rsidR="001B3452" w:rsidRDefault="001B3452" w:rsidP="001B3452">
      <w:pPr>
        <w:pStyle w:val="Default"/>
        <w:rPr>
          <w:b/>
          <w:color w:val="auto"/>
          <w:sz w:val="20"/>
          <w:szCs w:val="20"/>
        </w:rPr>
      </w:pPr>
      <w:r>
        <w:rPr>
          <w:b/>
          <w:color w:val="auto"/>
          <w:sz w:val="20"/>
          <w:szCs w:val="20"/>
        </w:rPr>
        <w:t>Of Which Class 2:</w:t>
      </w:r>
    </w:p>
    <w:p w14:paraId="3807FC1B" w14:textId="32BA230F" w:rsidR="001B3452" w:rsidRPr="006D6804" w:rsidRDefault="004203A1" w:rsidP="001B3452">
      <w:pPr>
        <w:pStyle w:val="Default"/>
        <w:rPr>
          <w:color w:val="auto"/>
          <w:sz w:val="20"/>
          <w:szCs w:val="20"/>
        </w:rPr>
      </w:pPr>
      <w:r>
        <w:rPr>
          <w:color w:val="auto"/>
          <w:sz w:val="20"/>
          <w:szCs w:val="20"/>
        </w:rPr>
        <w:t>This s</w:t>
      </w:r>
      <w:r w:rsidR="001B3452">
        <w:rPr>
          <w:color w:val="auto"/>
          <w:sz w:val="20"/>
          <w:szCs w:val="20"/>
        </w:rPr>
        <w:t xml:space="preserve">hows the number of items which have been prescribed generically that have been dispensed and reimbursed using a proprietary product because a generic version of the drug is not available. The dispenser can choose any suitable proprietary drug to meet the generic order and does not necessarily have to provide information to show what </w:t>
      </w:r>
      <w:r w:rsidR="00BF625E">
        <w:rPr>
          <w:color w:val="auto"/>
          <w:sz w:val="20"/>
          <w:szCs w:val="20"/>
        </w:rPr>
        <w:t>t</w:t>
      </w:r>
      <w:r w:rsidR="001B3452">
        <w:rPr>
          <w:color w:val="auto"/>
          <w:sz w:val="20"/>
          <w:szCs w:val="20"/>
        </w:rPr>
        <w:t>he</w:t>
      </w:r>
      <w:r w:rsidR="00BF625E">
        <w:rPr>
          <w:color w:val="auto"/>
          <w:sz w:val="20"/>
          <w:szCs w:val="20"/>
        </w:rPr>
        <w:t>y have</w:t>
      </w:r>
      <w:r w:rsidR="001B3452">
        <w:rPr>
          <w:color w:val="auto"/>
          <w:sz w:val="20"/>
          <w:szCs w:val="20"/>
        </w:rPr>
        <w:t xml:space="preserve"> supplied. In this situation the data is defined as class 2 but is reported in PCA against the class 3 (proprietary) form of the drug. To make this allocation </w:t>
      </w:r>
      <w:r w:rsidR="001B3452" w:rsidRPr="006D6804">
        <w:rPr>
          <w:color w:val="auto"/>
          <w:sz w:val="20"/>
          <w:szCs w:val="20"/>
        </w:rPr>
        <w:t xml:space="preserve">NHS </w:t>
      </w:r>
      <w:r w:rsidR="0081545B" w:rsidRPr="006D6804">
        <w:rPr>
          <w:color w:val="auto"/>
          <w:sz w:val="20"/>
          <w:szCs w:val="20"/>
        </w:rPr>
        <w:t>B</w:t>
      </w:r>
      <w:r w:rsidR="006D6804" w:rsidRPr="006D6804">
        <w:rPr>
          <w:color w:val="auto"/>
          <w:sz w:val="20"/>
          <w:szCs w:val="20"/>
        </w:rPr>
        <w:t xml:space="preserve">usiness </w:t>
      </w:r>
      <w:r w:rsidR="0081545B" w:rsidRPr="006D6804">
        <w:rPr>
          <w:color w:val="auto"/>
          <w:sz w:val="20"/>
          <w:szCs w:val="20"/>
        </w:rPr>
        <w:t>S</w:t>
      </w:r>
      <w:r w:rsidR="006D6804" w:rsidRPr="006D6804">
        <w:rPr>
          <w:color w:val="auto"/>
          <w:sz w:val="20"/>
          <w:szCs w:val="20"/>
        </w:rPr>
        <w:t>ervices Authority</w:t>
      </w:r>
      <w:r w:rsidR="001B3452" w:rsidRPr="006D6804">
        <w:rPr>
          <w:color w:val="auto"/>
          <w:sz w:val="20"/>
          <w:szCs w:val="20"/>
        </w:rPr>
        <w:t xml:space="preserve"> </w:t>
      </w:r>
      <w:proofErr w:type="gramStart"/>
      <w:r w:rsidR="006D6804" w:rsidRPr="006D6804">
        <w:rPr>
          <w:color w:val="auto"/>
          <w:sz w:val="20"/>
          <w:szCs w:val="20"/>
        </w:rPr>
        <w:t>apply</w:t>
      </w:r>
      <w:proofErr w:type="gramEnd"/>
      <w:r w:rsidR="006D6804" w:rsidRPr="006D6804">
        <w:rPr>
          <w:color w:val="auto"/>
          <w:sz w:val="20"/>
          <w:szCs w:val="20"/>
        </w:rPr>
        <w:t xml:space="preserve"> the following rules</w:t>
      </w:r>
      <w:r w:rsidR="001B3452" w:rsidRPr="006D6804">
        <w:rPr>
          <w:color w:val="auto"/>
          <w:sz w:val="20"/>
          <w:szCs w:val="20"/>
        </w:rPr>
        <w:t>:</w:t>
      </w:r>
    </w:p>
    <w:p w14:paraId="09A79A2B" w14:textId="77777777" w:rsidR="004203A1" w:rsidRDefault="004203A1" w:rsidP="001B3452">
      <w:pPr>
        <w:pStyle w:val="Default"/>
        <w:rPr>
          <w:color w:val="auto"/>
          <w:sz w:val="20"/>
          <w:szCs w:val="20"/>
        </w:rPr>
      </w:pPr>
    </w:p>
    <w:p w14:paraId="7DEFC138" w14:textId="77777777" w:rsidR="004203A1" w:rsidRDefault="001B3452" w:rsidP="001B3452">
      <w:pPr>
        <w:pStyle w:val="Default"/>
        <w:rPr>
          <w:color w:val="auto"/>
          <w:sz w:val="20"/>
          <w:szCs w:val="20"/>
        </w:rPr>
      </w:pPr>
      <w:r>
        <w:rPr>
          <w:color w:val="auto"/>
          <w:sz w:val="20"/>
          <w:szCs w:val="20"/>
        </w:rPr>
        <w:t>If there is only one proprietary equivalent</w:t>
      </w:r>
      <w:r w:rsidR="004203A1">
        <w:rPr>
          <w:color w:val="auto"/>
          <w:sz w:val="20"/>
          <w:szCs w:val="20"/>
        </w:rPr>
        <w:t>,</w:t>
      </w:r>
      <w:r>
        <w:rPr>
          <w:color w:val="auto"/>
          <w:sz w:val="20"/>
          <w:szCs w:val="20"/>
        </w:rPr>
        <w:t xml:space="preserve"> the generic prescribing is attributed to that product.</w:t>
      </w:r>
    </w:p>
    <w:p w14:paraId="7F723580" w14:textId="77777777" w:rsidR="004203A1" w:rsidRPr="0061277F" w:rsidRDefault="004203A1" w:rsidP="001B3452">
      <w:pPr>
        <w:pStyle w:val="Default"/>
        <w:rPr>
          <w:color w:val="000000" w:themeColor="text1"/>
          <w:sz w:val="20"/>
          <w:szCs w:val="20"/>
        </w:rPr>
      </w:pPr>
    </w:p>
    <w:p w14:paraId="12AFCE43" w14:textId="34F8C247" w:rsidR="00662368" w:rsidRPr="0061277F" w:rsidRDefault="001B3452" w:rsidP="001B3452">
      <w:pPr>
        <w:pStyle w:val="Default"/>
        <w:rPr>
          <w:color w:val="000000" w:themeColor="text1"/>
          <w:sz w:val="20"/>
          <w:szCs w:val="20"/>
        </w:rPr>
      </w:pPr>
      <w:r w:rsidRPr="0061277F">
        <w:rPr>
          <w:color w:val="000000" w:themeColor="text1"/>
          <w:sz w:val="20"/>
          <w:szCs w:val="20"/>
        </w:rPr>
        <w:t xml:space="preserve">If there is more than one </w:t>
      </w:r>
      <w:bookmarkStart w:id="0" w:name="OLE_LINK1"/>
      <w:r w:rsidRPr="0061277F">
        <w:rPr>
          <w:color w:val="000000" w:themeColor="text1"/>
          <w:sz w:val="20"/>
          <w:szCs w:val="20"/>
        </w:rPr>
        <w:t>equivalent proprietary</w:t>
      </w:r>
      <w:bookmarkEnd w:id="0"/>
      <w:r w:rsidRPr="0061277F">
        <w:rPr>
          <w:color w:val="000000" w:themeColor="text1"/>
          <w:sz w:val="20"/>
          <w:szCs w:val="20"/>
        </w:rPr>
        <w:t xml:space="preserve">, the data is </w:t>
      </w:r>
      <w:r w:rsidR="005E5621" w:rsidRPr="0061277F">
        <w:rPr>
          <w:color w:val="000000" w:themeColor="text1"/>
          <w:sz w:val="20"/>
          <w:szCs w:val="20"/>
        </w:rPr>
        <w:t xml:space="preserve">apportioned </w:t>
      </w:r>
      <w:r w:rsidRPr="0061277F">
        <w:rPr>
          <w:color w:val="000000" w:themeColor="text1"/>
          <w:sz w:val="20"/>
          <w:szCs w:val="20"/>
        </w:rPr>
        <w:t xml:space="preserve">across all the equivalent products based on the proprietary prescribing of the drug. </w:t>
      </w:r>
    </w:p>
    <w:p w14:paraId="690EA2E0" w14:textId="77777777" w:rsidR="007A29C9" w:rsidRPr="00DF0A49" w:rsidRDefault="00662368" w:rsidP="001B3452">
      <w:pPr>
        <w:pStyle w:val="Default"/>
        <w:rPr>
          <w:color w:val="auto"/>
          <w:sz w:val="20"/>
          <w:szCs w:val="20"/>
        </w:rPr>
      </w:pPr>
      <w:r w:rsidRPr="00DF0A49">
        <w:rPr>
          <w:color w:val="auto"/>
          <w:sz w:val="20"/>
          <w:szCs w:val="20"/>
        </w:rPr>
        <w:t>Prior to December 2018, a</w:t>
      </w:r>
      <w:r w:rsidR="001B3452" w:rsidRPr="00DF0A49">
        <w:rPr>
          <w:color w:val="auto"/>
          <w:sz w:val="20"/>
          <w:szCs w:val="20"/>
        </w:rPr>
        <w:t xml:space="preserve">ny remainder from the </w:t>
      </w:r>
      <w:r w:rsidR="000906C8" w:rsidRPr="00DF0A49">
        <w:rPr>
          <w:color w:val="auto"/>
          <w:sz w:val="20"/>
          <w:szCs w:val="20"/>
        </w:rPr>
        <w:t>apportioned</w:t>
      </w:r>
      <w:r w:rsidR="001B3452" w:rsidRPr="00DF0A49">
        <w:rPr>
          <w:color w:val="auto"/>
          <w:sz w:val="20"/>
          <w:szCs w:val="20"/>
        </w:rPr>
        <w:t xml:space="preserve"> calculation is added to the first proprietary equivalent as it appears on NHS Prescription Services database. This is to ensure that the amount shared between the proprietary equivalents is exactly equal to the class 2 product dispensed. </w:t>
      </w:r>
      <w:r w:rsidR="007A29C9" w:rsidRPr="00DF0A49">
        <w:rPr>
          <w:color w:val="auto"/>
          <w:sz w:val="20"/>
          <w:szCs w:val="20"/>
        </w:rPr>
        <w:t xml:space="preserve">The apportioned calculation for each of the elements items, quantity and NIC is calculated independently. </w:t>
      </w:r>
    </w:p>
    <w:p w14:paraId="7C08C5AE" w14:textId="055A0347" w:rsidR="00662368" w:rsidRPr="00DF0A49" w:rsidRDefault="007A29C9" w:rsidP="001B3452">
      <w:pPr>
        <w:pStyle w:val="Default"/>
        <w:rPr>
          <w:color w:val="auto"/>
          <w:sz w:val="20"/>
          <w:szCs w:val="20"/>
        </w:rPr>
      </w:pPr>
      <w:r w:rsidRPr="00DF0A49">
        <w:rPr>
          <w:color w:val="auto"/>
          <w:sz w:val="20"/>
          <w:szCs w:val="20"/>
        </w:rPr>
        <w:t xml:space="preserve">From December 2018 onwards, </w:t>
      </w:r>
      <w:r w:rsidR="00A1416C" w:rsidRPr="00DF0A49">
        <w:rPr>
          <w:color w:val="auto"/>
          <w:sz w:val="20"/>
          <w:szCs w:val="20"/>
        </w:rPr>
        <w:t xml:space="preserve">instead of any </w:t>
      </w:r>
      <w:r w:rsidRPr="00DF0A49">
        <w:rPr>
          <w:color w:val="auto"/>
          <w:sz w:val="20"/>
          <w:szCs w:val="20"/>
        </w:rPr>
        <w:t>remainder being allocated to one proprietary equivalent, this is now apportioned between available pr</w:t>
      </w:r>
      <w:r w:rsidR="0081545B" w:rsidRPr="00DF0A49">
        <w:rPr>
          <w:color w:val="auto"/>
          <w:sz w:val="20"/>
          <w:szCs w:val="20"/>
        </w:rPr>
        <w:t>oprietary equivalents with more</w:t>
      </w:r>
      <w:r w:rsidR="006B61E3" w:rsidRPr="00DF0A49">
        <w:rPr>
          <w:color w:val="auto"/>
          <w:sz w:val="20"/>
          <w:szCs w:val="20"/>
        </w:rPr>
        <w:t xml:space="preserve"> precision</w:t>
      </w:r>
      <w:r w:rsidR="0081545B" w:rsidRPr="00DF0A49">
        <w:rPr>
          <w:color w:val="auto"/>
          <w:sz w:val="20"/>
          <w:szCs w:val="20"/>
        </w:rPr>
        <w:t>.</w:t>
      </w:r>
    </w:p>
    <w:p w14:paraId="255F6177" w14:textId="49831797" w:rsidR="001B3452" w:rsidRPr="0061277F" w:rsidRDefault="007A29C9" w:rsidP="001B3452">
      <w:pPr>
        <w:pStyle w:val="Default"/>
        <w:rPr>
          <w:color w:val="000000" w:themeColor="text1"/>
          <w:sz w:val="20"/>
          <w:szCs w:val="20"/>
        </w:rPr>
      </w:pPr>
      <w:r w:rsidRPr="0061277F">
        <w:rPr>
          <w:color w:val="000000" w:themeColor="text1"/>
          <w:sz w:val="20"/>
          <w:szCs w:val="20"/>
        </w:rPr>
        <w:t>As t</w:t>
      </w:r>
      <w:r w:rsidR="001B3452" w:rsidRPr="0061277F">
        <w:rPr>
          <w:color w:val="000000" w:themeColor="text1"/>
          <w:sz w:val="20"/>
          <w:szCs w:val="20"/>
        </w:rPr>
        <w:t xml:space="preserve">he </w:t>
      </w:r>
      <w:r w:rsidR="005E5621" w:rsidRPr="0061277F">
        <w:rPr>
          <w:color w:val="000000" w:themeColor="text1"/>
          <w:sz w:val="20"/>
          <w:szCs w:val="20"/>
        </w:rPr>
        <w:t>apportioned</w:t>
      </w:r>
      <w:r w:rsidR="001B3452" w:rsidRPr="0061277F">
        <w:rPr>
          <w:color w:val="000000" w:themeColor="text1"/>
          <w:sz w:val="20"/>
          <w:szCs w:val="20"/>
        </w:rPr>
        <w:t xml:space="preserve"> calculation for</w:t>
      </w:r>
      <w:r w:rsidR="004B4A2A" w:rsidRPr="0061277F">
        <w:rPr>
          <w:color w:val="000000" w:themeColor="text1"/>
          <w:sz w:val="20"/>
          <w:szCs w:val="20"/>
        </w:rPr>
        <w:t xml:space="preserve"> </w:t>
      </w:r>
      <w:r w:rsidR="001B3452" w:rsidRPr="0061277F">
        <w:rPr>
          <w:color w:val="000000" w:themeColor="text1"/>
          <w:sz w:val="20"/>
          <w:szCs w:val="20"/>
        </w:rPr>
        <w:t xml:space="preserve">items, quantity and NIC </w:t>
      </w:r>
      <w:r w:rsidRPr="0061277F">
        <w:rPr>
          <w:color w:val="000000" w:themeColor="text1"/>
          <w:sz w:val="20"/>
          <w:szCs w:val="20"/>
        </w:rPr>
        <w:t>are</w:t>
      </w:r>
      <w:r w:rsidR="00E838C1">
        <w:rPr>
          <w:color w:val="000000" w:themeColor="text1"/>
          <w:sz w:val="20"/>
          <w:szCs w:val="20"/>
        </w:rPr>
        <w:t xml:space="preserve"> calculated independently</w:t>
      </w:r>
      <w:r w:rsidR="00D7604B">
        <w:rPr>
          <w:color w:val="000000" w:themeColor="text1"/>
          <w:sz w:val="20"/>
          <w:szCs w:val="20"/>
        </w:rPr>
        <w:t xml:space="preserve"> </w:t>
      </w:r>
      <w:r w:rsidR="001B3452" w:rsidRPr="0061277F">
        <w:rPr>
          <w:color w:val="000000" w:themeColor="text1"/>
          <w:sz w:val="20"/>
          <w:szCs w:val="20"/>
        </w:rPr>
        <w:t>some preparations may show data for quantity</w:t>
      </w:r>
      <w:r w:rsidR="004B4A2A" w:rsidRPr="0061277F">
        <w:rPr>
          <w:color w:val="000000" w:themeColor="text1"/>
          <w:sz w:val="20"/>
          <w:szCs w:val="20"/>
        </w:rPr>
        <w:t xml:space="preserve"> </w:t>
      </w:r>
      <w:r w:rsidR="00024A27" w:rsidRPr="0061277F">
        <w:rPr>
          <w:color w:val="000000" w:themeColor="text1"/>
          <w:sz w:val="20"/>
          <w:szCs w:val="20"/>
        </w:rPr>
        <w:t xml:space="preserve">and/or </w:t>
      </w:r>
      <w:r w:rsidR="001B3452" w:rsidRPr="0061277F">
        <w:rPr>
          <w:color w:val="000000" w:themeColor="text1"/>
          <w:sz w:val="20"/>
          <w:szCs w:val="20"/>
        </w:rPr>
        <w:t>NIC but have no data for items</w:t>
      </w:r>
      <w:r w:rsidR="00024A27" w:rsidRPr="0061277F">
        <w:rPr>
          <w:color w:val="000000" w:themeColor="text1"/>
          <w:sz w:val="20"/>
          <w:szCs w:val="20"/>
        </w:rPr>
        <w:t>.  This may occur</w:t>
      </w:r>
      <w:r w:rsidR="0061277F">
        <w:rPr>
          <w:color w:val="000000" w:themeColor="text1"/>
          <w:sz w:val="20"/>
          <w:szCs w:val="20"/>
        </w:rPr>
        <w:t xml:space="preserve"> </w:t>
      </w:r>
      <w:r w:rsidR="00024A27" w:rsidRPr="0061277F">
        <w:rPr>
          <w:color w:val="000000" w:themeColor="text1"/>
          <w:sz w:val="20"/>
          <w:szCs w:val="20"/>
        </w:rPr>
        <w:t>where</w:t>
      </w:r>
      <w:r w:rsidR="001B3452" w:rsidRPr="0061277F">
        <w:rPr>
          <w:color w:val="000000" w:themeColor="text1"/>
          <w:sz w:val="20"/>
          <w:szCs w:val="20"/>
        </w:rPr>
        <w:t xml:space="preserve"> the </w:t>
      </w:r>
      <w:r w:rsidR="000906C8" w:rsidRPr="0061277F">
        <w:rPr>
          <w:color w:val="000000" w:themeColor="text1"/>
          <w:sz w:val="20"/>
          <w:szCs w:val="20"/>
        </w:rPr>
        <w:t>apportioned</w:t>
      </w:r>
      <w:r w:rsidR="0061277F">
        <w:rPr>
          <w:color w:val="000000" w:themeColor="text1"/>
          <w:sz w:val="20"/>
          <w:szCs w:val="20"/>
        </w:rPr>
        <w:t xml:space="preserve"> </w:t>
      </w:r>
      <w:r w:rsidR="001B3452" w:rsidRPr="0061277F">
        <w:rPr>
          <w:color w:val="000000" w:themeColor="text1"/>
          <w:sz w:val="20"/>
          <w:szCs w:val="20"/>
        </w:rPr>
        <w:t xml:space="preserve">allocation is </w:t>
      </w:r>
      <w:r w:rsidR="00024A27" w:rsidRPr="0061277F">
        <w:rPr>
          <w:color w:val="000000" w:themeColor="text1"/>
          <w:sz w:val="20"/>
          <w:szCs w:val="20"/>
        </w:rPr>
        <w:t>very</w:t>
      </w:r>
      <w:r w:rsidR="001B3452" w:rsidRPr="0061277F">
        <w:rPr>
          <w:color w:val="000000" w:themeColor="text1"/>
          <w:sz w:val="20"/>
          <w:szCs w:val="20"/>
        </w:rPr>
        <w:t xml:space="preserve"> small. </w:t>
      </w:r>
    </w:p>
    <w:p w14:paraId="72E60844" w14:textId="77777777" w:rsidR="00842F1B" w:rsidRPr="0061277F" w:rsidRDefault="00842F1B" w:rsidP="001B3452">
      <w:pPr>
        <w:pStyle w:val="Default"/>
        <w:rPr>
          <w:color w:val="000000" w:themeColor="text1"/>
          <w:sz w:val="20"/>
          <w:szCs w:val="20"/>
        </w:rPr>
      </w:pPr>
    </w:p>
    <w:p w14:paraId="572AE94C" w14:textId="5D6F11D1" w:rsidR="001B3452" w:rsidRPr="0061277F" w:rsidRDefault="001B3452" w:rsidP="001B3452">
      <w:pPr>
        <w:pStyle w:val="Default"/>
        <w:rPr>
          <w:color w:val="000000" w:themeColor="text1"/>
          <w:sz w:val="20"/>
          <w:szCs w:val="20"/>
        </w:rPr>
      </w:pPr>
      <w:r w:rsidRPr="0061277F">
        <w:rPr>
          <w:color w:val="000000" w:themeColor="text1"/>
          <w:sz w:val="20"/>
          <w:szCs w:val="20"/>
        </w:rPr>
        <w:t>If there is no proprietary prescribing of the equivalent proprietary products during the processing period</w:t>
      </w:r>
      <w:r w:rsidR="00A1416C" w:rsidRPr="0061277F">
        <w:rPr>
          <w:color w:val="000000" w:themeColor="text1"/>
          <w:sz w:val="20"/>
          <w:szCs w:val="20"/>
        </w:rPr>
        <w:t>,</w:t>
      </w:r>
      <w:r w:rsidRPr="0061277F">
        <w:rPr>
          <w:color w:val="000000" w:themeColor="text1"/>
          <w:sz w:val="20"/>
          <w:szCs w:val="20"/>
        </w:rPr>
        <w:t xml:space="preserve"> the class 2 prescribing is </w:t>
      </w:r>
      <w:r w:rsidR="00A1416C" w:rsidRPr="0061277F">
        <w:rPr>
          <w:color w:val="000000" w:themeColor="text1"/>
          <w:sz w:val="20"/>
          <w:szCs w:val="20"/>
        </w:rPr>
        <w:t>apportioned</w:t>
      </w:r>
      <w:r w:rsidRPr="0061277F">
        <w:rPr>
          <w:color w:val="000000" w:themeColor="text1"/>
          <w:sz w:val="20"/>
          <w:szCs w:val="20"/>
        </w:rPr>
        <w:t xml:space="preserve"> across all equivalent proprietary products.</w:t>
      </w:r>
    </w:p>
    <w:p w14:paraId="2DF12641" w14:textId="77777777" w:rsidR="00515597" w:rsidRPr="0061277F" w:rsidRDefault="00515597" w:rsidP="001B3452">
      <w:pPr>
        <w:pStyle w:val="Default"/>
        <w:rPr>
          <w:color w:val="000000" w:themeColor="text1"/>
          <w:sz w:val="20"/>
          <w:szCs w:val="20"/>
        </w:rPr>
      </w:pPr>
    </w:p>
    <w:p w14:paraId="262D14BD" w14:textId="77777777" w:rsidR="0060183A" w:rsidRPr="0061277F" w:rsidRDefault="0060183A" w:rsidP="001B3452">
      <w:pPr>
        <w:pStyle w:val="Default"/>
        <w:rPr>
          <w:color w:val="000000" w:themeColor="text1"/>
          <w:sz w:val="20"/>
          <w:szCs w:val="20"/>
        </w:rPr>
      </w:pPr>
    </w:p>
    <w:p w14:paraId="7EEEB1EF" w14:textId="47F75F9C" w:rsidR="0060183A" w:rsidRPr="0061277F" w:rsidRDefault="0060183A" w:rsidP="0060183A">
      <w:pPr>
        <w:pStyle w:val="Default"/>
        <w:rPr>
          <w:b/>
          <w:bCs/>
          <w:color w:val="000000" w:themeColor="text1"/>
          <w:sz w:val="20"/>
          <w:szCs w:val="20"/>
        </w:rPr>
      </w:pPr>
      <w:r w:rsidRPr="0061277F">
        <w:rPr>
          <w:b/>
          <w:bCs/>
          <w:color w:val="000000" w:themeColor="text1"/>
          <w:sz w:val="20"/>
          <w:szCs w:val="20"/>
        </w:rPr>
        <w:t>Standard quantity unit (SQU) is no longer included in the PCA data</w:t>
      </w:r>
    </w:p>
    <w:p w14:paraId="2BE8D3A7" w14:textId="56DE4AAE" w:rsidR="0060183A" w:rsidRPr="0061277F" w:rsidRDefault="0060183A" w:rsidP="0060183A">
      <w:pPr>
        <w:pStyle w:val="Default"/>
        <w:rPr>
          <w:b/>
          <w:bCs/>
          <w:color w:val="000000" w:themeColor="text1"/>
          <w:sz w:val="20"/>
          <w:szCs w:val="20"/>
        </w:rPr>
      </w:pPr>
      <w:r w:rsidRPr="0061277F">
        <w:rPr>
          <w:b/>
          <w:bCs/>
          <w:color w:val="000000" w:themeColor="text1"/>
          <w:sz w:val="20"/>
          <w:szCs w:val="20"/>
        </w:rPr>
        <w:t>Av</w:t>
      </w:r>
      <w:r w:rsidR="005446B0">
        <w:rPr>
          <w:b/>
          <w:bCs/>
          <w:color w:val="000000" w:themeColor="text1"/>
          <w:sz w:val="20"/>
          <w:szCs w:val="20"/>
        </w:rPr>
        <w:t>ailable prior to December 2018 SQU</w:t>
      </w:r>
      <w:bookmarkStart w:id="1" w:name="_GoBack"/>
      <w:bookmarkEnd w:id="1"/>
      <w:r w:rsidRPr="0061277F">
        <w:rPr>
          <w:b/>
          <w:bCs/>
          <w:color w:val="000000" w:themeColor="text1"/>
          <w:sz w:val="20"/>
          <w:szCs w:val="20"/>
        </w:rPr>
        <w:t xml:space="preserve">: </w:t>
      </w:r>
    </w:p>
    <w:p w14:paraId="1E0C80D7" w14:textId="77777777" w:rsidR="0060183A" w:rsidRPr="0061277F" w:rsidRDefault="0060183A" w:rsidP="0060183A">
      <w:pPr>
        <w:pStyle w:val="Default"/>
        <w:rPr>
          <w:color w:val="000000" w:themeColor="text1"/>
          <w:sz w:val="20"/>
          <w:szCs w:val="20"/>
        </w:rPr>
      </w:pPr>
      <w:r w:rsidRPr="0061277F">
        <w:rPr>
          <w:color w:val="000000" w:themeColor="text1"/>
          <w:sz w:val="20"/>
          <w:szCs w:val="20"/>
        </w:rPr>
        <w:t xml:space="preserve">This code indicates the form of the drug and the units in which quantity is measured: </w:t>
      </w:r>
    </w:p>
    <w:p w14:paraId="60B78368" w14:textId="77777777" w:rsidR="0060183A" w:rsidRDefault="0060183A" w:rsidP="0060183A">
      <w:pPr>
        <w:pStyle w:val="Default"/>
        <w:rPr>
          <w:color w:val="auto"/>
          <w:sz w:val="20"/>
          <w:szCs w:val="20"/>
        </w:rPr>
      </w:pPr>
      <w:r>
        <w:rPr>
          <w:color w:val="auto"/>
          <w:sz w:val="20"/>
          <w:szCs w:val="20"/>
        </w:rPr>
        <w:t xml:space="preserve">Code 1 - a unit (e.g. one tablet, capsule, pack, aerosol etc) </w:t>
      </w:r>
    </w:p>
    <w:p w14:paraId="7B391BAC" w14:textId="77777777" w:rsidR="0060183A" w:rsidRDefault="0060183A" w:rsidP="0060183A">
      <w:pPr>
        <w:pStyle w:val="Default"/>
        <w:rPr>
          <w:color w:val="auto"/>
          <w:sz w:val="20"/>
          <w:szCs w:val="20"/>
        </w:rPr>
      </w:pPr>
      <w:r>
        <w:rPr>
          <w:color w:val="auto"/>
          <w:sz w:val="20"/>
          <w:szCs w:val="20"/>
        </w:rPr>
        <w:t xml:space="preserve">Code 3 - millilitres </w:t>
      </w:r>
    </w:p>
    <w:p w14:paraId="58E78F18" w14:textId="77777777" w:rsidR="0060183A" w:rsidRDefault="0060183A" w:rsidP="0060183A">
      <w:pPr>
        <w:pStyle w:val="Default"/>
        <w:rPr>
          <w:color w:val="auto"/>
          <w:sz w:val="20"/>
          <w:szCs w:val="20"/>
        </w:rPr>
      </w:pPr>
      <w:r>
        <w:rPr>
          <w:color w:val="auto"/>
          <w:sz w:val="20"/>
          <w:szCs w:val="20"/>
        </w:rPr>
        <w:t xml:space="preserve">Code 6 - </w:t>
      </w:r>
      <w:proofErr w:type="spellStart"/>
      <w:r>
        <w:rPr>
          <w:color w:val="auto"/>
          <w:sz w:val="20"/>
          <w:szCs w:val="20"/>
        </w:rPr>
        <w:t>grammes</w:t>
      </w:r>
      <w:proofErr w:type="spellEnd"/>
      <w:r>
        <w:rPr>
          <w:color w:val="auto"/>
          <w:sz w:val="20"/>
          <w:szCs w:val="20"/>
        </w:rPr>
        <w:t xml:space="preserve"> </w:t>
      </w:r>
    </w:p>
    <w:p w14:paraId="46695E11" w14:textId="77777777" w:rsidR="0060183A" w:rsidRDefault="0060183A" w:rsidP="0060183A">
      <w:pPr>
        <w:pStyle w:val="Default"/>
        <w:rPr>
          <w:color w:val="auto"/>
          <w:sz w:val="20"/>
          <w:szCs w:val="20"/>
        </w:rPr>
      </w:pPr>
      <w:r>
        <w:rPr>
          <w:color w:val="auto"/>
          <w:sz w:val="20"/>
          <w:szCs w:val="20"/>
        </w:rPr>
        <w:t xml:space="preserve">Code 0 - individually formulated (unit varies) </w:t>
      </w:r>
    </w:p>
    <w:p w14:paraId="3B79C42E" w14:textId="77777777" w:rsidR="008000B8" w:rsidRDefault="008000B8" w:rsidP="0060183A">
      <w:pPr>
        <w:pStyle w:val="Default"/>
        <w:rPr>
          <w:color w:val="auto"/>
          <w:sz w:val="20"/>
          <w:szCs w:val="20"/>
        </w:rPr>
      </w:pPr>
    </w:p>
    <w:p w14:paraId="4967E2F7" w14:textId="77777777" w:rsidR="008000B8" w:rsidRDefault="008000B8" w:rsidP="0060183A">
      <w:pPr>
        <w:pStyle w:val="Default"/>
        <w:rPr>
          <w:color w:val="auto"/>
          <w:sz w:val="20"/>
          <w:szCs w:val="20"/>
        </w:rPr>
      </w:pPr>
    </w:p>
    <w:p w14:paraId="317AF7CC" w14:textId="77777777" w:rsidR="008000B8" w:rsidRDefault="008000B8" w:rsidP="0060183A">
      <w:pPr>
        <w:pStyle w:val="Default"/>
        <w:rPr>
          <w:color w:val="auto"/>
          <w:sz w:val="20"/>
          <w:szCs w:val="20"/>
        </w:rPr>
      </w:pPr>
    </w:p>
    <w:p w14:paraId="3F719E94" w14:textId="77777777" w:rsidR="0060183A" w:rsidRDefault="0060183A" w:rsidP="0060183A">
      <w:pPr>
        <w:pStyle w:val="Default"/>
        <w:rPr>
          <w:color w:val="auto"/>
          <w:sz w:val="20"/>
          <w:szCs w:val="20"/>
        </w:rPr>
      </w:pPr>
    </w:p>
    <w:p w14:paraId="4B78A3A5" w14:textId="54AB500E" w:rsidR="00DF0A49" w:rsidRDefault="00DF0A49" w:rsidP="00DF0A49">
      <w:pPr>
        <w:pStyle w:val="Default"/>
        <w:rPr>
          <w:color w:val="auto"/>
          <w:sz w:val="20"/>
          <w:szCs w:val="20"/>
        </w:rPr>
      </w:pPr>
      <w:r w:rsidRPr="00DF0A49">
        <w:rPr>
          <w:sz w:val="20"/>
          <w:szCs w:val="20"/>
        </w:rPr>
        <w:t>For fu</w:t>
      </w:r>
      <w:r>
        <w:rPr>
          <w:sz w:val="20"/>
          <w:szCs w:val="20"/>
        </w:rPr>
        <w:t xml:space="preserve">rther information about </w:t>
      </w:r>
      <w:r>
        <w:rPr>
          <w:color w:val="auto"/>
          <w:sz w:val="20"/>
          <w:szCs w:val="20"/>
        </w:rPr>
        <w:t>methodology c</w:t>
      </w:r>
      <w:r w:rsidRPr="00DF0A49">
        <w:rPr>
          <w:color w:val="auto"/>
          <w:sz w:val="20"/>
          <w:szCs w:val="20"/>
        </w:rPr>
        <w:t>hanges to PCA</w:t>
      </w:r>
      <w:r>
        <w:rPr>
          <w:color w:val="auto"/>
          <w:sz w:val="20"/>
          <w:szCs w:val="20"/>
        </w:rPr>
        <w:t xml:space="preserve"> data</w:t>
      </w:r>
      <w:r w:rsidRPr="00DF0A49">
        <w:rPr>
          <w:color w:val="auto"/>
          <w:sz w:val="20"/>
          <w:szCs w:val="20"/>
        </w:rPr>
        <w:t xml:space="preserve"> </w:t>
      </w:r>
      <w:r>
        <w:rPr>
          <w:color w:val="auto"/>
          <w:sz w:val="20"/>
          <w:szCs w:val="20"/>
        </w:rPr>
        <w:t>from December 2018 please click on the following link:</w:t>
      </w:r>
    </w:p>
    <w:p w14:paraId="56C82629" w14:textId="77777777" w:rsidR="00DF0A49" w:rsidRPr="008000B8" w:rsidRDefault="005446B0" w:rsidP="00DF0A49">
      <w:pPr>
        <w:rPr>
          <w:rFonts w:ascii="Arial" w:hAnsi="Arial" w:cs="Arial"/>
          <w:sz w:val="20"/>
          <w:szCs w:val="20"/>
        </w:rPr>
      </w:pPr>
      <w:hyperlink r:id="rId13" w:history="1">
        <w:r w:rsidR="00DF0A49" w:rsidRPr="008000B8">
          <w:rPr>
            <w:rStyle w:val="Hyperlink"/>
            <w:rFonts w:ascii="Arial" w:hAnsi="Arial" w:cs="Arial"/>
            <w:sz w:val="20"/>
            <w:szCs w:val="20"/>
          </w:rPr>
          <w:t>https://files.digital.nhs.uk/E5/A014A5/PCA-eng-2018-report.pdf</w:t>
        </w:r>
      </w:hyperlink>
    </w:p>
    <w:p w14:paraId="1D2AA101" w14:textId="77777777" w:rsidR="00DF0A49" w:rsidRPr="00DF0A49" w:rsidRDefault="00DF0A49" w:rsidP="00DF0A49">
      <w:pPr>
        <w:pStyle w:val="Default"/>
        <w:rPr>
          <w:color w:val="auto"/>
          <w:sz w:val="20"/>
          <w:szCs w:val="20"/>
        </w:rPr>
      </w:pPr>
    </w:p>
    <w:p w14:paraId="484576BC" w14:textId="29CD7E72" w:rsidR="0060183A" w:rsidRPr="00DF0A49" w:rsidRDefault="0060183A" w:rsidP="00DF0A49">
      <w:pPr>
        <w:pStyle w:val="Default"/>
        <w:rPr>
          <w:color w:val="auto"/>
          <w:sz w:val="20"/>
          <w:szCs w:val="20"/>
        </w:rPr>
      </w:pPr>
    </w:p>
    <w:sectPr w:rsidR="0060183A" w:rsidRPr="00DF0A49" w:rsidSect="00BD561F">
      <w:headerReference w:type="default" r:id="rId14"/>
      <w:footerReference w:type="default" r:id="rId15"/>
      <w:headerReference w:type="first" r:id="rId16"/>
      <w:footerReference w:type="first" r:id="rId17"/>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A088" w14:textId="77777777" w:rsidR="006D6804" w:rsidRDefault="006D6804" w:rsidP="00D023EC">
      <w:r>
        <w:separator/>
      </w:r>
    </w:p>
  </w:endnote>
  <w:endnote w:type="continuationSeparator" w:id="0">
    <w:p w14:paraId="591BA089" w14:textId="77777777" w:rsidR="006D6804" w:rsidRDefault="006D6804"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C14F" w14:textId="5EBCD015" w:rsidR="006D6804" w:rsidRDefault="00752A70">
    <w:pPr>
      <w:pStyle w:val="Footer"/>
    </w:pPr>
    <w:r>
      <w:t>V3 02/04/2019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60A3" w14:textId="7B9D5B19" w:rsidR="006D6804" w:rsidRDefault="006D6804">
    <w:pPr>
      <w:pStyle w:val="Footer"/>
    </w:pPr>
    <w:r>
      <w:t xml:space="preserve">V3 </w:t>
    </w:r>
    <w:r w:rsidR="005B69CF">
      <w:t>02/</w:t>
    </w:r>
    <w:r w:rsidR="00752A70">
      <w:t>0</w:t>
    </w:r>
    <w:r w:rsidR="005B69CF">
      <w:t>4</w:t>
    </w:r>
    <w: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BA086" w14:textId="77777777" w:rsidR="006D6804" w:rsidRDefault="006D6804" w:rsidP="00D023EC">
      <w:r>
        <w:separator/>
      </w:r>
    </w:p>
  </w:footnote>
  <w:footnote w:type="continuationSeparator" w:id="0">
    <w:p w14:paraId="591BA087" w14:textId="77777777" w:rsidR="006D6804" w:rsidRDefault="006D6804"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A08A" w14:textId="77777777" w:rsidR="006D6804" w:rsidRDefault="006D6804"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A08B" w14:textId="77777777" w:rsidR="006D6804" w:rsidRDefault="006D6804">
    <w:pPr>
      <w:pStyle w:val="Header"/>
    </w:pPr>
    <w:r>
      <w:rPr>
        <w:noProof/>
        <w:lang w:eastAsia="en-GB"/>
      </w:rPr>
      <w:drawing>
        <wp:anchor distT="0" distB="0" distL="114300" distR="114300" simplePos="0" relativeHeight="251659264" behindDoc="1" locked="0" layoutInCell="1" allowOverlap="1" wp14:anchorId="591BA08C" wp14:editId="591BA08D">
          <wp:simplePos x="0" y="0"/>
          <wp:positionH relativeFrom="column">
            <wp:posOffset>-720090</wp:posOffset>
          </wp:positionH>
          <wp:positionV relativeFrom="paragraph">
            <wp:posOffset>-41275</wp:posOffset>
          </wp:positionV>
          <wp:extent cx="7560310" cy="1736725"/>
          <wp:effectExtent l="0" t="0" r="2540" b="0"/>
          <wp:wrapTight wrapText="bothSides">
            <wp:wrapPolygon edited="0">
              <wp:start x="0" y="0"/>
              <wp:lineTo x="0" y="21324"/>
              <wp:lineTo x="21553" y="21324"/>
              <wp:lineTo x="21553" y="0"/>
              <wp:lineTo x="0" y="0"/>
            </wp:wrapPolygon>
          </wp:wrapTight>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CE2"/>
    <w:multiLevelType w:val="hybridMultilevel"/>
    <w:tmpl w:val="C21C2E7C"/>
    <w:lvl w:ilvl="0" w:tplc="B802B488">
      <w:start w:val="1"/>
      <w:numFmt w:val="decimal"/>
      <w:lvlText w:val="%1."/>
      <w:lvlJc w:val="left"/>
      <w:pPr>
        <w:ind w:left="927" w:hanging="360"/>
      </w:pPr>
      <w:rPr>
        <w:rFonts w:ascii="Calibri" w:eastAsiaTheme="minorHAnsi" w:hAnsi="Calibri" w:cs="Calibr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48B63E60"/>
    <w:multiLevelType w:val="hybridMultilevel"/>
    <w:tmpl w:val="584E173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nsid w:val="6F625E24"/>
    <w:multiLevelType w:val="hybridMultilevel"/>
    <w:tmpl w:val="584E173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24A27"/>
    <w:rsid w:val="00080904"/>
    <w:rsid w:val="000906C8"/>
    <w:rsid w:val="00124AF0"/>
    <w:rsid w:val="00136D79"/>
    <w:rsid w:val="00160ED5"/>
    <w:rsid w:val="001B3452"/>
    <w:rsid w:val="001F2FBF"/>
    <w:rsid w:val="00232DB0"/>
    <w:rsid w:val="0028475E"/>
    <w:rsid w:val="00294F05"/>
    <w:rsid w:val="002A4C73"/>
    <w:rsid w:val="002B0DF7"/>
    <w:rsid w:val="002B5692"/>
    <w:rsid w:val="002B5901"/>
    <w:rsid w:val="002B702C"/>
    <w:rsid w:val="00315952"/>
    <w:rsid w:val="00350100"/>
    <w:rsid w:val="00372ADC"/>
    <w:rsid w:val="00373977"/>
    <w:rsid w:val="00386F12"/>
    <w:rsid w:val="00391EE2"/>
    <w:rsid w:val="003A7CCA"/>
    <w:rsid w:val="004018D7"/>
    <w:rsid w:val="004074DA"/>
    <w:rsid w:val="00414891"/>
    <w:rsid w:val="004203A1"/>
    <w:rsid w:val="004B4A2A"/>
    <w:rsid w:val="004D1566"/>
    <w:rsid w:val="004F602F"/>
    <w:rsid w:val="004F7882"/>
    <w:rsid w:val="00515597"/>
    <w:rsid w:val="00527F40"/>
    <w:rsid w:val="005446B0"/>
    <w:rsid w:val="0054755D"/>
    <w:rsid w:val="00553507"/>
    <w:rsid w:val="005939AB"/>
    <w:rsid w:val="005B69CF"/>
    <w:rsid w:val="005D1138"/>
    <w:rsid w:val="005D1555"/>
    <w:rsid w:val="005E5621"/>
    <w:rsid w:val="0060183A"/>
    <w:rsid w:val="0061277F"/>
    <w:rsid w:val="00613C34"/>
    <w:rsid w:val="0063459D"/>
    <w:rsid w:val="00662368"/>
    <w:rsid w:val="006B61E3"/>
    <w:rsid w:val="006D6804"/>
    <w:rsid w:val="0070180D"/>
    <w:rsid w:val="00752A70"/>
    <w:rsid w:val="007A29C9"/>
    <w:rsid w:val="007A2E5D"/>
    <w:rsid w:val="007E6974"/>
    <w:rsid w:val="008000B8"/>
    <w:rsid w:val="0081545B"/>
    <w:rsid w:val="00842F1B"/>
    <w:rsid w:val="00853CE4"/>
    <w:rsid w:val="008A4F37"/>
    <w:rsid w:val="008A6CBF"/>
    <w:rsid w:val="008D30C5"/>
    <w:rsid w:val="00901BBA"/>
    <w:rsid w:val="00933DE2"/>
    <w:rsid w:val="009A4104"/>
    <w:rsid w:val="009F1AC1"/>
    <w:rsid w:val="00A1416C"/>
    <w:rsid w:val="00A17486"/>
    <w:rsid w:val="00A42E0E"/>
    <w:rsid w:val="00AA3310"/>
    <w:rsid w:val="00B55301"/>
    <w:rsid w:val="00B67C44"/>
    <w:rsid w:val="00BD561F"/>
    <w:rsid w:val="00BF625E"/>
    <w:rsid w:val="00C46460"/>
    <w:rsid w:val="00C65736"/>
    <w:rsid w:val="00CA5B95"/>
    <w:rsid w:val="00CB5072"/>
    <w:rsid w:val="00CC3046"/>
    <w:rsid w:val="00CF7227"/>
    <w:rsid w:val="00D023EC"/>
    <w:rsid w:val="00D159A0"/>
    <w:rsid w:val="00D55061"/>
    <w:rsid w:val="00D7604B"/>
    <w:rsid w:val="00D94E3F"/>
    <w:rsid w:val="00DA2BBD"/>
    <w:rsid w:val="00DF0559"/>
    <w:rsid w:val="00DF0A49"/>
    <w:rsid w:val="00E602DA"/>
    <w:rsid w:val="00E838C1"/>
    <w:rsid w:val="00E967CC"/>
    <w:rsid w:val="00ED2C3F"/>
    <w:rsid w:val="00F65DFB"/>
    <w:rsid w:val="00F9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591B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CB5072"/>
    <w:pPr>
      <w:ind w:left="720"/>
      <w:contextualSpacing/>
    </w:pPr>
    <w:rPr>
      <w:rFonts w:ascii="Calibri" w:eastAsiaTheme="minorHAnsi" w:hAnsi="Calibri" w:cs="Calibri"/>
      <w:sz w:val="22"/>
      <w:szCs w:val="22"/>
    </w:rPr>
  </w:style>
  <w:style w:type="paragraph" w:customStyle="1" w:styleId="Default">
    <w:name w:val="Default"/>
    <w:rsid w:val="001B3452"/>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24A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CB5072"/>
    <w:pPr>
      <w:ind w:left="720"/>
      <w:contextualSpacing/>
    </w:pPr>
    <w:rPr>
      <w:rFonts w:ascii="Calibri" w:eastAsiaTheme="minorHAnsi" w:hAnsi="Calibri" w:cs="Calibri"/>
      <w:sz w:val="22"/>
      <w:szCs w:val="22"/>
    </w:rPr>
  </w:style>
  <w:style w:type="paragraph" w:customStyle="1" w:styleId="Default">
    <w:name w:val="Default"/>
    <w:rsid w:val="001B3452"/>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24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3544">
      <w:bodyDiv w:val="1"/>
      <w:marLeft w:val="0"/>
      <w:marRight w:val="0"/>
      <w:marTop w:val="0"/>
      <w:marBottom w:val="0"/>
      <w:divBdr>
        <w:top w:val="none" w:sz="0" w:space="0" w:color="auto"/>
        <w:left w:val="none" w:sz="0" w:space="0" w:color="auto"/>
        <w:bottom w:val="none" w:sz="0" w:space="0" w:color="auto"/>
        <w:right w:val="none" w:sz="0" w:space="0" w:color="auto"/>
      </w:divBdr>
    </w:div>
    <w:div w:id="742606498">
      <w:bodyDiv w:val="1"/>
      <w:marLeft w:val="0"/>
      <w:marRight w:val="0"/>
      <w:marTop w:val="0"/>
      <w:marBottom w:val="0"/>
      <w:divBdr>
        <w:top w:val="none" w:sz="0" w:space="0" w:color="auto"/>
        <w:left w:val="none" w:sz="0" w:space="0" w:color="auto"/>
        <w:bottom w:val="none" w:sz="0" w:space="0" w:color="auto"/>
        <w:right w:val="none" w:sz="0" w:space="0" w:color="auto"/>
      </w:divBdr>
    </w:div>
    <w:div w:id="1155687631">
      <w:bodyDiv w:val="1"/>
      <w:marLeft w:val="0"/>
      <w:marRight w:val="0"/>
      <w:marTop w:val="0"/>
      <w:marBottom w:val="0"/>
      <w:divBdr>
        <w:top w:val="none" w:sz="0" w:space="0" w:color="auto"/>
        <w:left w:val="none" w:sz="0" w:space="0" w:color="auto"/>
        <w:bottom w:val="none" w:sz="0" w:space="0" w:color="auto"/>
        <w:right w:val="none" w:sz="0" w:space="0" w:color="auto"/>
      </w:divBdr>
    </w:div>
    <w:div w:id="1693653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les.digital.nhs.uk/E5/A014A5/PCA-eng-2018-repo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nhsbsa.nhs.uk/pharmacies-gp-practices-and-appliance-contractors/drug-tarif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2017-09-30T23:00:00+00:00</PublishingExpirationDate>
    <_RetentionPeriod xmlns="a796cea8-fdf0-4c8c-8ef9-88ab01145e5c">7 Years</_RetentionPeriod>
    <PublishingStartDate xmlns="http://schemas.microsoft.com/sharepoint/v3">2016-10-13T23:00:00+00:00</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53E1-A057-4058-A17C-967E6E0E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A9111-9767-469E-A2F4-E4D3B866D966}">
  <ds:schemaRefs>
    <ds:schemaRef ds:uri="http://schemas.microsoft.com/sharepoint/v3/contenttype/forms"/>
  </ds:schemaRefs>
</ds:datastoreItem>
</file>

<file path=customXml/itemProps3.xml><?xml version="1.0" encoding="utf-8"?>
<ds:datastoreItem xmlns:ds="http://schemas.openxmlformats.org/officeDocument/2006/customXml" ds:itemID="{CCFA9D77-46C5-4372-B43E-761451F515CB}">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bb23f8f2-6f06-4ec7-b253-39f9dd04490a"/>
    <ds:schemaRef ds:uri="a796cea8-fdf0-4c8c-8ef9-88ab01145e5c"/>
    <ds:schemaRef ds:uri="http://schemas.microsoft.com/sharepoint/v3"/>
    <ds:schemaRef ds:uri="http://purl.org/dc/dcmitype/"/>
  </ds:schemaRefs>
</ds:datastoreItem>
</file>

<file path=customXml/itemProps4.xml><?xml version="1.0" encoding="utf-8"?>
<ds:datastoreItem xmlns:ds="http://schemas.openxmlformats.org/officeDocument/2006/customXml" ds:itemID="{ADD42F76-2DBD-4FE5-944D-0EE20425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872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NHSBSA Corporate Factsheet (V2) 10/2016</vt:lpstr>
    </vt:vector>
  </TitlesOfParts>
  <Company>CDS</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Factsheet (V2) 10/2016</dc:title>
  <dc:creator>Margaret Jones</dc:creator>
  <cp:keywords>Corporate, factsheet</cp:keywords>
  <cp:lastModifiedBy>Carol McAuley</cp:lastModifiedBy>
  <cp:revision>15</cp:revision>
  <cp:lastPrinted>2019-04-02T13:44:00Z</cp:lastPrinted>
  <dcterms:created xsi:type="dcterms:W3CDTF">2019-04-02T11:48:00Z</dcterms:created>
  <dcterms:modified xsi:type="dcterms:W3CDTF">2019-04-03T06:33:00Z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