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9C" w:rsidRDefault="001B3438" w:rsidP="001B3438">
      <w:pPr>
        <w:pStyle w:val="Heading1"/>
        <w:jc w:val="center"/>
        <w:rPr>
          <w:rFonts w:cs="Arial"/>
          <w:sz w:val="56"/>
          <w:szCs w:val="56"/>
        </w:rPr>
      </w:pPr>
      <w:bookmarkStart w:id="0" w:name="_Toc31793884"/>
      <w:r>
        <w:rPr>
          <w:rFonts w:cs="Arial"/>
          <w:sz w:val="56"/>
          <w:szCs w:val="56"/>
        </w:rPr>
        <w:t>eOPS User Guide</w:t>
      </w:r>
      <w:bookmarkEnd w:id="0"/>
    </w:p>
    <w:p w:rsidR="00293107" w:rsidRDefault="00293107" w:rsidP="00293107">
      <w:pPr>
        <w:pStyle w:val="Heading2"/>
        <w:jc w:val="center"/>
        <w:rPr>
          <w:rFonts w:cs="Arial"/>
          <w:color w:val="auto"/>
          <w:sz w:val="48"/>
          <w:szCs w:val="48"/>
        </w:rPr>
      </w:pPr>
      <w:r>
        <w:rPr>
          <w:rFonts w:cs="Arial"/>
          <w:color w:val="auto"/>
          <w:sz w:val="48"/>
          <w:szCs w:val="48"/>
        </w:rPr>
        <w:t>Glossary</w:t>
      </w:r>
    </w:p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p w:rsidR="00293107" w:rsidRDefault="00293107" w:rsidP="002931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701"/>
        <w:gridCol w:w="3628"/>
      </w:tblGrid>
      <w:tr w:rsidR="000B60C9" w:rsidTr="00472719">
        <w:tc>
          <w:tcPr>
            <w:tcW w:w="1809" w:type="dxa"/>
          </w:tcPr>
          <w:p w:rsidR="000B60C9" w:rsidRDefault="000B60C9" w:rsidP="00472719">
            <w:r>
              <w:t>Created Date:</w:t>
            </w:r>
          </w:p>
        </w:tc>
        <w:tc>
          <w:tcPr>
            <w:tcW w:w="3544" w:type="dxa"/>
          </w:tcPr>
          <w:p w:rsidR="000B60C9" w:rsidRDefault="000B60C9" w:rsidP="00472719">
            <w:r>
              <w:t>04/02/2020</w:t>
            </w:r>
          </w:p>
        </w:tc>
        <w:tc>
          <w:tcPr>
            <w:tcW w:w="1701" w:type="dxa"/>
          </w:tcPr>
          <w:p w:rsidR="000B60C9" w:rsidRDefault="000B60C9" w:rsidP="00472719">
            <w:r>
              <w:t xml:space="preserve">Reviewed On: </w:t>
            </w:r>
          </w:p>
        </w:tc>
        <w:tc>
          <w:tcPr>
            <w:tcW w:w="3628" w:type="dxa"/>
          </w:tcPr>
          <w:p w:rsidR="000B60C9" w:rsidRDefault="000B60C9" w:rsidP="00472719">
            <w:r>
              <w:t>10/02/2020</w:t>
            </w:r>
          </w:p>
        </w:tc>
      </w:tr>
      <w:tr w:rsidR="000B60C9" w:rsidTr="00472719">
        <w:tc>
          <w:tcPr>
            <w:tcW w:w="1809" w:type="dxa"/>
          </w:tcPr>
          <w:p w:rsidR="000B60C9" w:rsidRDefault="000B60C9" w:rsidP="00472719">
            <w:r>
              <w:t>Author:</w:t>
            </w:r>
          </w:p>
        </w:tc>
        <w:tc>
          <w:tcPr>
            <w:tcW w:w="3544" w:type="dxa"/>
          </w:tcPr>
          <w:p w:rsidR="000B60C9" w:rsidRDefault="000B60C9" w:rsidP="00472719">
            <w:r>
              <w:t>Rob Haynes</w:t>
            </w:r>
          </w:p>
        </w:tc>
        <w:tc>
          <w:tcPr>
            <w:tcW w:w="1701" w:type="dxa"/>
          </w:tcPr>
          <w:p w:rsidR="000B60C9" w:rsidRDefault="000B60C9" w:rsidP="00472719">
            <w:r>
              <w:t xml:space="preserve">Reviewed By: </w:t>
            </w:r>
          </w:p>
        </w:tc>
        <w:tc>
          <w:tcPr>
            <w:tcW w:w="3628" w:type="dxa"/>
          </w:tcPr>
          <w:p w:rsidR="000B60C9" w:rsidRDefault="000B60C9" w:rsidP="00472719">
            <w:r>
              <w:t xml:space="preserve">Wilma </w:t>
            </w:r>
            <w:proofErr w:type="spellStart"/>
            <w:r>
              <w:t>Harvey-Reid</w:t>
            </w:r>
            <w:proofErr w:type="spellEnd"/>
          </w:p>
        </w:tc>
      </w:tr>
      <w:tr w:rsidR="000B60C9" w:rsidTr="00472719">
        <w:tc>
          <w:tcPr>
            <w:tcW w:w="1809" w:type="dxa"/>
          </w:tcPr>
          <w:p w:rsidR="000B60C9" w:rsidRDefault="000B60C9" w:rsidP="00472719">
            <w:r>
              <w:t>Department:</w:t>
            </w:r>
          </w:p>
        </w:tc>
        <w:tc>
          <w:tcPr>
            <w:tcW w:w="8873" w:type="dxa"/>
            <w:gridSpan w:val="3"/>
          </w:tcPr>
          <w:p w:rsidR="000B60C9" w:rsidRDefault="000B60C9" w:rsidP="00472719">
            <w:r>
              <w:t>Ophthalmic Information Services</w:t>
            </w:r>
          </w:p>
        </w:tc>
      </w:tr>
      <w:tr w:rsidR="000B60C9" w:rsidTr="00472719">
        <w:tc>
          <w:tcPr>
            <w:tcW w:w="1809" w:type="dxa"/>
          </w:tcPr>
          <w:p w:rsidR="000B60C9" w:rsidRDefault="000B60C9" w:rsidP="00472719">
            <w:r>
              <w:t>Owner:</w:t>
            </w:r>
          </w:p>
        </w:tc>
        <w:tc>
          <w:tcPr>
            <w:tcW w:w="8873" w:type="dxa"/>
            <w:gridSpan w:val="3"/>
          </w:tcPr>
          <w:p w:rsidR="000B60C9" w:rsidRDefault="000B60C9" w:rsidP="00472719">
            <w:r>
              <w:t>Jason Harper</w:t>
            </w:r>
          </w:p>
        </w:tc>
      </w:tr>
    </w:tbl>
    <w:p w:rsidR="001B3438" w:rsidRDefault="001B3438"/>
    <w:p w:rsidR="001B3438" w:rsidRDefault="001B3438" w:rsidP="001B3438"/>
    <w:p w:rsidR="0013562F" w:rsidRDefault="006C7CFD" w:rsidP="0013562F">
      <w:pPr>
        <w:pStyle w:val="Heading1"/>
      </w:pPr>
      <w:bookmarkStart w:id="1" w:name="_Toc31793886"/>
      <w:r>
        <w:lastRenderedPageBreak/>
        <w:t>N</w:t>
      </w:r>
      <w:r w:rsidR="00F42D28">
        <w:t>HSBSA eOPS Dashboard Guid</w:t>
      </w:r>
      <w:r w:rsidR="0013562F">
        <w:t>e</w:t>
      </w:r>
      <w:bookmarkEnd w:id="1"/>
    </w:p>
    <w:p w:rsidR="0013562F" w:rsidRDefault="0013562F" w:rsidP="0013562F">
      <w:pPr>
        <w:pStyle w:val="Heading2"/>
      </w:pPr>
      <w:bookmarkStart w:id="2" w:name="_Toc31793887"/>
      <w:r>
        <w:t>Dashboard Name</w:t>
      </w:r>
      <w:bookmarkEnd w:id="2"/>
    </w:p>
    <w:p w:rsidR="0013562F" w:rsidRDefault="00DC5F21" w:rsidP="00135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 England </w:t>
      </w:r>
      <w:r w:rsidR="0013562F" w:rsidRPr="00FB1245">
        <w:rPr>
          <w:rFonts w:ascii="Arial" w:hAnsi="Arial" w:cs="Arial"/>
          <w:sz w:val="24"/>
          <w:szCs w:val="24"/>
        </w:rPr>
        <w:t>Ophthalmic Dashboard</w:t>
      </w:r>
      <w:r w:rsidR="000B60C9">
        <w:rPr>
          <w:rFonts w:ascii="Arial" w:hAnsi="Arial" w:cs="Arial"/>
          <w:sz w:val="24"/>
          <w:szCs w:val="24"/>
        </w:rPr>
        <w:t xml:space="preserve"> v1. </w:t>
      </w:r>
    </w:p>
    <w:p w:rsidR="000B60C9" w:rsidRPr="00FB1245" w:rsidRDefault="000B60C9" w:rsidP="00135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also referred to as eOPS.</w:t>
      </w:r>
    </w:p>
    <w:p w:rsidR="00DC5F21" w:rsidRDefault="00DC5F21" w:rsidP="0013562F">
      <w:pPr>
        <w:pStyle w:val="Heading2"/>
      </w:pPr>
      <w:bookmarkStart w:id="3" w:name="_Toc31793888"/>
    </w:p>
    <w:p w:rsidR="0013562F" w:rsidRDefault="0013562F" w:rsidP="0013562F">
      <w:pPr>
        <w:pStyle w:val="Heading2"/>
      </w:pPr>
      <w:r>
        <w:t>About this document</w:t>
      </w:r>
      <w:bookmarkEnd w:id="3"/>
    </w:p>
    <w:p w:rsidR="00487B5E" w:rsidRDefault="0013562F" w:rsidP="0013562F">
      <w:pPr>
        <w:rPr>
          <w:rFonts w:ascii="Arial" w:hAnsi="Arial" w:cs="Arial"/>
          <w:sz w:val="24"/>
          <w:szCs w:val="24"/>
        </w:rPr>
      </w:pPr>
      <w:r w:rsidRPr="00FB1245">
        <w:rPr>
          <w:rFonts w:ascii="Arial" w:hAnsi="Arial" w:cs="Arial"/>
          <w:sz w:val="24"/>
          <w:szCs w:val="24"/>
        </w:rPr>
        <w:t>This document is designed to sit alongside the NHSBSA eOPS Dashboard content</w:t>
      </w:r>
      <w:r w:rsidR="00293107">
        <w:rPr>
          <w:rFonts w:ascii="Arial" w:hAnsi="Arial" w:cs="Arial"/>
          <w:sz w:val="24"/>
          <w:szCs w:val="24"/>
        </w:rPr>
        <w:t xml:space="preserve"> &amp; eOPS Dashboard Guide,</w:t>
      </w:r>
      <w:r w:rsidRPr="00FB1245">
        <w:rPr>
          <w:rFonts w:ascii="Arial" w:hAnsi="Arial" w:cs="Arial"/>
          <w:sz w:val="24"/>
          <w:szCs w:val="24"/>
        </w:rPr>
        <w:t xml:space="preserve"> to provide some context around the different types of analyses &amp; information presented.</w:t>
      </w:r>
      <w:r w:rsidR="005E3B7C">
        <w:rPr>
          <w:rFonts w:ascii="Arial" w:hAnsi="Arial" w:cs="Arial"/>
          <w:sz w:val="24"/>
          <w:szCs w:val="24"/>
        </w:rPr>
        <w:t xml:space="preserve"> </w:t>
      </w:r>
    </w:p>
    <w:p w:rsidR="00487B5E" w:rsidRDefault="00DC5F21" w:rsidP="00135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document </w:t>
      </w:r>
      <w:r w:rsidR="00487B5E">
        <w:rPr>
          <w:rFonts w:ascii="Arial" w:hAnsi="Arial" w:cs="Arial"/>
          <w:sz w:val="24"/>
          <w:szCs w:val="24"/>
        </w:rPr>
        <w:t xml:space="preserve">does not attempt to replace </w:t>
      </w:r>
      <w:r>
        <w:rPr>
          <w:rFonts w:ascii="Arial" w:hAnsi="Arial" w:cs="Arial"/>
          <w:sz w:val="24"/>
          <w:szCs w:val="24"/>
        </w:rPr>
        <w:t xml:space="preserve">the definitions of </w:t>
      </w:r>
      <w:r w:rsidR="00487B5E">
        <w:rPr>
          <w:rFonts w:ascii="Arial" w:hAnsi="Arial" w:cs="Arial"/>
          <w:sz w:val="24"/>
          <w:szCs w:val="24"/>
        </w:rPr>
        <w:t>any legally defined words, or those found in technical publications</w:t>
      </w:r>
      <w:r>
        <w:rPr>
          <w:rFonts w:ascii="Arial" w:hAnsi="Arial" w:cs="Arial"/>
          <w:sz w:val="24"/>
          <w:szCs w:val="24"/>
        </w:rPr>
        <w:t>,</w:t>
      </w:r>
      <w:r w:rsidR="00487B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authored </w:t>
      </w:r>
      <w:r w:rsidR="00487B5E">
        <w:rPr>
          <w:rFonts w:ascii="Arial" w:hAnsi="Arial" w:cs="Arial"/>
          <w:sz w:val="24"/>
          <w:szCs w:val="24"/>
        </w:rPr>
        <w:t xml:space="preserve">by clinically </w:t>
      </w:r>
      <w:r w:rsidR="000B60C9">
        <w:rPr>
          <w:rFonts w:ascii="Arial" w:hAnsi="Arial" w:cs="Arial"/>
          <w:sz w:val="24"/>
          <w:szCs w:val="24"/>
        </w:rPr>
        <w:t>trained professionals,</w:t>
      </w:r>
      <w:r>
        <w:rPr>
          <w:rFonts w:ascii="Arial" w:hAnsi="Arial" w:cs="Arial"/>
          <w:sz w:val="24"/>
          <w:szCs w:val="24"/>
        </w:rPr>
        <w:t xml:space="preserve"> acting in their professional capacity. The following terms should only be used in conjunction with eOPS &amp; are those that </w:t>
      </w:r>
      <w:r w:rsidR="00AF6C7A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found </w:t>
      </w:r>
      <w:r w:rsidR="00AF6C7A">
        <w:rPr>
          <w:rFonts w:ascii="Arial" w:hAnsi="Arial" w:cs="Arial"/>
          <w:sz w:val="24"/>
          <w:szCs w:val="24"/>
        </w:rPr>
        <w:t xml:space="preserve">or used </w:t>
      </w:r>
      <w:r>
        <w:rPr>
          <w:rFonts w:ascii="Arial" w:hAnsi="Arial" w:cs="Arial"/>
          <w:sz w:val="24"/>
          <w:szCs w:val="24"/>
        </w:rPr>
        <w:t xml:space="preserve">most frequently. </w:t>
      </w:r>
    </w:p>
    <w:p w:rsidR="0013562F" w:rsidRDefault="00AF6C7A" w:rsidP="00135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aim</w:t>
      </w:r>
      <w:r w:rsidR="005E3B7C">
        <w:rPr>
          <w:rFonts w:ascii="Arial" w:hAnsi="Arial" w:cs="Arial"/>
          <w:sz w:val="24"/>
          <w:szCs w:val="24"/>
        </w:rPr>
        <w:t xml:space="preserve"> for all our publications to be as accurate</w:t>
      </w:r>
      <w:r>
        <w:rPr>
          <w:rFonts w:ascii="Arial" w:hAnsi="Arial" w:cs="Arial"/>
          <w:sz w:val="24"/>
          <w:szCs w:val="24"/>
        </w:rPr>
        <w:t>, relevant &amp;</w:t>
      </w:r>
      <w:r w:rsidR="005E3B7C">
        <w:rPr>
          <w:rFonts w:ascii="Arial" w:hAnsi="Arial" w:cs="Arial"/>
          <w:sz w:val="24"/>
          <w:szCs w:val="24"/>
        </w:rPr>
        <w:t xml:space="preserve"> up to date as possible,</w:t>
      </w:r>
      <w:r w:rsidR="000B60C9">
        <w:rPr>
          <w:rFonts w:ascii="Arial" w:hAnsi="Arial" w:cs="Arial"/>
          <w:sz w:val="24"/>
          <w:szCs w:val="24"/>
        </w:rPr>
        <w:t xml:space="preserve"> however errors can sometimes creep in</w:t>
      </w:r>
      <w:r>
        <w:rPr>
          <w:rFonts w:ascii="Arial" w:hAnsi="Arial" w:cs="Arial"/>
          <w:sz w:val="24"/>
          <w:szCs w:val="24"/>
        </w:rPr>
        <w:t>, should you</w:t>
      </w:r>
      <w:r w:rsidR="00DC5F21">
        <w:rPr>
          <w:rFonts w:ascii="Arial" w:hAnsi="Arial" w:cs="Arial"/>
          <w:sz w:val="24"/>
          <w:szCs w:val="24"/>
        </w:rPr>
        <w:t xml:space="preserve"> happen to</w:t>
      </w:r>
      <w:r w:rsidR="005E3B7C">
        <w:rPr>
          <w:rFonts w:ascii="Arial" w:hAnsi="Arial" w:cs="Arial"/>
          <w:sz w:val="24"/>
          <w:szCs w:val="24"/>
        </w:rPr>
        <w:t xml:space="preserve"> spot anything</w:t>
      </w:r>
      <w:r w:rsidR="00487B5E">
        <w:rPr>
          <w:rFonts w:ascii="Arial" w:hAnsi="Arial" w:cs="Arial"/>
          <w:sz w:val="24"/>
          <w:szCs w:val="24"/>
        </w:rPr>
        <w:t xml:space="preserve"> blatant or otherwise</w:t>
      </w:r>
      <w:r w:rsidR="005E3B7C">
        <w:rPr>
          <w:rFonts w:ascii="Arial" w:hAnsi="Arial" w:cs="Arial"/>
          <w:sz w:val="24"/>
          <w:szCs w:val="24"/>
        </w:rPr>
        <w:t>, please</w:t>
      </w:r>
      <w:r w:rsidR="00487B5E">
        <w:rPr>
          <w:rFonts w:ascii="Arial" w:hAnsi="Arial" w:cs="Arial"/>
          <w:sz w:val="24"/>
          <w:szCs w:val="24"/>
        </w:rPr>
        <w:t xml:space="preserve"> do</w:t>
      </w:r>
      <w:r w:rsidR="005E3B7C">
        <w:rPr>
          <w:rFonts w:ascii="Arial" w:hAnsi="Arial" w:cs="Arial"/>
          <w:sz w:val="24"/>
          <w:szCs w:val="24"/>
        </w:rPr>
        <w:t xml:space="preserve"> highlight the error</w:t>
      </w:r>
      <w:r>
        <w:rPr>
          <w:rFonts w:ascii="Arial" w:hAnsi="Arial" w:cs="Arial"/>
          <w:sz w:val="24"/>
          <w:szCs w:val="24"/>
        </w:rPr>
        <w:t xml:space="preserve"> to</w:t>
      </w:r>
      <w:r w:rsidR="005E3B7C">
        <w:rPr>
          <w:rFonts w:ascii="Arial" w:hAnsi="Arial" w:cs="Arial"/>
          <w:sz w:val="24"/>
          <w:szCs w:val="24"/>
        </w:rPr>
        <w:t xml:space="preserve"> us via </w:t>
      </w:r>
      <w:r w:rsidR="00487B5E">
        <w:rPr>
          <w:rFonts w:ascii="Arial" w:hAnsi="Arial" w:cs="Arial"/>
          <w:sz w:val="24"/>
          <w:szCs w:val="24"/>
        </w:rPr>
        <w:t xml:space="preserve">an email </w:t>
      </w:r>
      <w:r w:rsidR="00DC5F21">
        <w:rPr>
          <w:rFonts w:ascii="Arial" w:hAnsi="Arial" w:cs="Arial"/>
          <w:sz w:val="24"/>
          <w:szCs w:val="24"/>
        </w:rPr>
        <w:t xml:space="preserve">sent </w:t>
      </w:r>
      <w:r w:rsidR="00487B5E">
        <w:rPr>
          <w:rFonts w:ascii="Arial" w:hAnsi="Arial" w:cs="Arial"/>
          <w:sz w:val="24"/>
          <w:szCs w:val="24"/>
        </w:rPr>
        <w:t xml:space="preserve">to </w:t>
      </w:r>
      <w:r w:rsidR="005E3B7C">
        <w:rPr>
          <w:rFonts w:ascii="Arial" w:hAnsi="Arial" w:cs="Arial"/>
          <w:sz w:val="24"/>
          <w:szCs w:val="24"/>
        </w:rPr>
        <w:t>the address below &amp; we will endeavour to correct it</w:t>
      </w:r>
      <w:r w:rsidR="00DC5F21">
        <w:rPr>
          <w:rFonts w:ascii="Arial" w:hAnsi="Arial" w:cs="Arial"/>
          <w:sz w:val="24"/>
          <w:szCs w:val="24"/>
        </w:rPr>
        <w:t xml:space="preserve"> as soon as we can</w:t>
      </w:r>
      <w:r w:rsidR="00487B5E">
        <w:rPr>
          <w:rFonts w:ascii="Arial" w:hAnsi="Arial" w:cs="Arial"/>
          <w:sz w:val="24"/>
          <w:szCs w:val="24"/>
        </w:rPr>
        <w:t>.</w:t>
      </w:r>
    </w:p>
    <w:p w:rsidR="00DC5F21" w:rsidRDefault="00DC5F21" w:rsidP="0013562F">
      <w:pPr>
        <w:rPr>
          <w:rFonts w:ascii="Arial" w:hAnsi="Arial" w:cs="Arial"/>
          <w:sz w:val="24"/>
          <w:szCs w:val="24"/>
        </w:rPr>
      </w:pPr>
    </w:p>
    <w:p w:rsidR="0013562F" w:rsidRDefault="0013562F" w:rsidP="0013562F">
      <w:pPr>
        <w:pStyle w:val="Heading2"/>
      </w:pPr>
      <w:bookmarkStart w:id="4" w:name="_Toc31793889"/>
      <w:r>
        <w:t xml:space="preserve">General </w:t>
      </w:r>
      <w:r w:rsidR="00F42D28">
        <w:t>Hints &amp;</w:t>
      </w:r>
      <w:r w:rsidR="005E3B7C">
        <w:t xml:space="preserve"> </w:t>
      </w:r>
      <w:bookmarkStart w:id="5" w:name="_GoBack"/>
      <w:bookmarkEnd w:id="5"/>
      <w:r w:rsidR="005E3B7C">
        <w:t>Tips</w:t>
      </w:r>
      <w:bookmarkEnd w:id="4"/>
    </w:p>
    <w:p w:rsidR="0013562F" w:rsidRPr="00FB1245" w:rsidRDefault="00AA2F10" w:rsidP="001356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245">
        <w:rPr>
          <w:rFonts w:ascii="Arial" w:hAnsi="Arial" w:cs="Arial"/>
          <w:sz w:val="24"/>
          <w:szCs w:val="24"/>
        </w:rPr>
        <w:t>The Practice Profile Report &amp; Monthly Expenditure Report by Practice is</w:t>
      </w:r>
      <w:r w:rsidR="0013562F" w:rsidRPr="00FB1245">
        <w:rPr>
          <w:rFonts w:ascii="Arial" w:hAnsi="Arial" w:cs="Arial"/>
          <w:sz w:val="24"/>
          <w:szCs w:val="24"/>
        </w:rPr>
        <w:t xml:space="preserve"> extracted once </w:t>
      </w:r>
      <w:r w:rsidR="00E216EE">
        <w:rPr>
          <w:rFonts w:ascii="Arial" w:hAnsi="Arial" w:cs="Arial"/>
          <w:sz w:val="24"/>
          <w:szCs w:val="24"/>
        </w:rPr>
        <w:t xml:space="preserve">a </w:t>
      </w:r>
      <w:r w:rsidR="0013562F" w:rsidRPr="00FB1245">
        <w:rPr>
          <w:rFonts w:ascii="Arial" w:hAnsi="Arial" w:cs="Arial"/>
          <w:sz w:val="24"/>
          <w:szCs w:val="24"/>
        </w:rPr>
        <w:t>mont</w:t>
      </w:r>
      <w:r w:rsidR="00E216EE">
        <w:rPr>
          <w:rFonts w:ascii="Arial" w:hAnsi="Arial" w:cs="Arial"/>
          <w:sz w:val="24"/>
          <w:szCs w:val="24"/>
        </w:rPr>
        <w:t>h</w:t>
      </w:r>
      <w:r w:rsidR="0013562F" w:rsidRPr="00FB1245">
        <w:rPr>
          <w:rFonts w:ascii="Arial" w:hAnsi="Arial" w:cs="Arial"/>
          <w:sz w:val="24"/>
          <w:szCs w:val="24"/>
        </w:rPr>
        <w:t xml:space="preserve"> from Open Exeter</w:t>
      </w:r>
      <w:r w:rsidR="00DC5F21">
        <w:rPr>
          <w:rFonts w:ascii="Arial" w:hAnsi="Arial" w:cs="Arial"/>
          <w:sz w:val="24"/>
          <w:szCs w:val="24"/>
        </w:rPr>
        <w:t xml:space="preserve"> &amp; </w:t>
      </w:r>
      <w:r w:rsidRPr="00FB1245">
        <w:rPr>
          <w:rFonts w:ascii="Arial" w:hAnsi="Arial" w:cs="Arial"/>
          <w:sz w:val="24"/>
          <w:szCs w:val="24"/>
        </w:rPr>
        <w:t xml:space="preserve">both are used to drive the content </w:t>
      </w:r>
      <w:r w:rsidR="003D3EAD">
        <w:rPr>
          <w:rFonts w:ascii="Arial" w:hAnsi="Arial" w:cs="Arial"/>
          <w:sz w:val="24"/>
          <w:szCs w:val="24"/>
        </w:rPr>
        <w:t>with</w:t>
      </w:r>
      <w:r w:rsidRPr="00FB1245">
        <w:rPr>
          <w:rFonts w:ascii="Arial" w:hAnsi="Arial" w:cs="Arial"/>
          <w:sz w:val="24"/>
          <w:szCs w:val="24"/>
        </w:rPr>
        <w:t>in eOPS.</w:t>
      </w:r>
    </w:p>
    <w:p w:rsidR="00AA2F10" w:rsidRPr="00FB1245" w:rsidRDefault="00E216EE" w:rsidP="001356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</w:t>
      </w:r>
      <w:r w:rsidR="00623BEA">
        <w:rPr>
          <w:rFonts w:ascii="Arial" w:hAnsi="Arial" w:cs="Arial"/>
          <w:sz w:val="24"/>
          <w:szCs w:val="24"/>
        </w:rPr>
        <w:t>ctivity analysi</w:t>
      </w:r>
      <w:r w:rsidR="00AA2F10" w:rsidRPr="00FB1245">
        <w:rPr>
          <w:rFonts w:ascii="Arial" w:hAnsi="Arial" w:cs="Arial"/>
          <w:sz w:val="24"/>
          <w:szCs w:val="24"/>
        </w:rPr>
        <w:t>s is</w:t>
      </w:r>
      <w:r>
        <w:rPr>
          <w:rFonts w:ascii="Arial" w:hAnsi="Arial" w:cs="Arial"/>
          <w:sz w:val="24"/>
          <w:szCs w:val="24"/>
        </w:rPr>
        <w:t xml:space="preserve"> solely</w:t>
      </w:r>
      <w:r w:rsidR="00AA2F10" w:rsidRPr="00FB1245">
        <w:rPr>
          <w:rFonts w:ascii="Arial" w:hAnsi="Arial" w:cs="Arial"/>
          <w:sz w:val="24"/>
          <w:szCs w:val="24"/>
        </w:rPr>
        <w:t xml:space="preserve"> derived from the Practice Profile Report</w:t>
      </w:r>
      <w:r w:rsidR="00170DAB">
        <w:rPr>
          <w:rFonts w:ascii="Arial" w:hAnsi="Arial" w:cs="Arial"/>
          <w:sz w:val="24"/>
          <w:szCs w:val="24"/>
        </w:rPr>
        <w:t xml:space="preserve"> (PPR)</w:t>
      </w:r>
      <w:r w:rsidR="006C7CFD">
        <w:rPr>
          <w:rFonts w:ascii="Arial" w:hAnsi="Arial" w:cs="Arial"/>
          <w:sz w:val="24"/>
          <w:szCs w:val="24"/>
        </w:rPr>
        <w:t xml:space="preserve"> – Finance data comes from the Monthly Expenditure Report by Practice (MERP) only.</w:t>
      </w:r>
    </w:p>
    <w:p w:rsidR="006C7CFD" w:rsidRPr="006C7CFD" w:rsidRDefault="003C6698" w:rsidP="003C6698">
      <w:pPr>
        <w:pStyle w:val="ListParagraph"/>
        <w:numPr>
          <w:ilvl w:val="0"/>
          <w:numId w:val="1"/>
        </w:numPr>
        <w:tabs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Within the dashboard, t</w:t>
      </w:r>
      <w:r w:rsidR="00E216EE">
        <w:rPr>
          <w:rFonts w:ascii="Arial" w:hAnsi="Arial" w:cs="Arial"/>
          <w:sz w:val="24"/>
          <w:szCs w:val="24"/>
        </w:rPr>
        <w:t>here are</w:t>
      </w:r>
      <w:r w:rsidR="00170DAB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wo views available for most of</w:t>
      </w:r>
      <w:r w:rsidR="00F8579E">
        <w:rPr>
          <w:rFonts w:ascii="Arial" w:hAnsi="Arial" w:cs="Arial"/>
          <w:sz w:val="24"/>
          <w:szCs w:val="24"/>
        </w:rPr>
        <w:t xml:space="preserve"> the</w:t>
      </w:r>
      <w:r w:rsidR="00170DAB">
        <w:rPr>
          <w:rFonts w:ascii="Arial" w:hAnsi="Arial" w:cs="Arial"/>
          <w:sz w:val="24"/>
          <w:szCs w:val="24"/>
        </w:rPr>
        <w:t xml:space="preserve"> </w:t>
      </w:r>
      <w:r w:rsidR="00F8579E">
        <w:rPr>
          <w:rFonts w:ascii="Arial" w:hAnsi="Arial" w:cs="Arial"/>
          <w:sz w:val="24"/>
          <w:szCs w:val="24"/>
        </w:rPr>
        <w:t xml:space="preserve">non-textual visualisations </w:t>
      </w:r>
      <w:r w:rsidR="00170DA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</w:t>
      </w:r>
      <w:r w:rsidR="00170DAB">
        <w:rPr>
          <w:rFonts w:ascii="Arial" w:hAnsi="Arial" w:cs="Arial"/>
          <w:sz w:val="24"/>
          <w:szCs w:val="24"/>
        </w:rPr>
        <w:t xml:space="preserve"> graph </w:t>
      </w:r>
      <w:r w:rsidR="00E216EE">
        <w:rPr>
          <w:rFonts w:ascii="Arial" w:hAnsi="Arial" w:cs="Arial"/>
          <w:sz w:val="24"/>
          <w:szCs w:val="24"/>
        </w:rPr>
        <w:t xml:space="preserve">view or </w:t>
      </w:r>
      <w:r>
        <w:rPr>
          <w:rFonts w:ascii="Arial" w:hAnsi="Arial" w:cs="Arial"/>
          <w:sz w:val="24"/>
          <w:szCs w:val="24"/>
        </w:rPr>
        <w:t xml:space="preserve">a </w:t>
      </w:r>
      <w:r w:rsidR="00F8579E">
        <w:rPr>
          <w:rFonts w:ascii="Arial" w:hAnsi="Arial" w:cs="Arial"/>
          <w:sz w:val="24"/>
          <w:szCs w:val="24"/>
        </w:rPr>
        <w:t>table view.</w:t>
      </w:r>
      <w:r>
        <w:rPr>
          <w:rFonts w:ascii="Arial" w:hAnsi="Arial" w:cs="Arial"/>
          <w:sz w:val="24"/>
          <w:szCs w:val="24"/>
        </w:rPr>
        <w:t xml:space="preserve"> </w:t>
      </w:r>
      <w:r w:rsidR="00F8579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se the drop down immediately above a graph</w:t>
      </w:r>
      <w:r w:rsidR="006C7CFD">
        <w:rPr>
          <w:rFonts w:ascii="Arial" w:hAnsi="Arial" w:cs="Arial"/>
          <w:sz w:val="24"/>
          <w:szCs w:val="24"/>
        </w:rPr>
        <w:t xml:space="preserve"> to switch</w:t>
      </w:r>
      <w:r>
        <w:rPr>
          <w:rFonts w:ascii="Arial" w:hAnsi="Arial" w:cs="Arial"/>
          <w:sz w:val="24"/>
          <w:szCs w:val="24"/>
        </w:rPr>
        <w:t xml:space="preserve"> between</w:t>
      </w:r>
      <w:r w:rsidR="006C7CFD">
        <w:rPr>
          <w:rFonts w:ascii="Arial" w:hAnsi="Arial" w:cs="Arial"/>
          <w:sz w:val="24"/>
          <w:szCs w:val="24"/>
        </w:rPr>
        <w:t xml:space="preserve"> </w:t>
      </w:r>
      <w:r w:rsidR="00F8579E">
        <w:rPr>
          <w:rFonts w:ascii="Arial" w:hAnsi="Arial" w:cs="Arial"/>
          <w:sz w:val="24"/>
          <w:szCs w:val="24"/>
        </w:rPr>
        <w:t xml:space="preserve">these </w:t>
      </w:r>
      <w:r w:rsidR="006C7CFD">
        <w:rPr>
          <w:rFonts w:ascii="Arial" w:hAnsi="Arial" w:cs="Arial"/>
          <w:sz w:val="24"/>
          <w:szCs w:val="24"/>
        </w:rPr>
        <w:t>views.</w:t>
      </w:r>
    </w:p>
    <w:p w:rsidR="00EE644C" w:rsidRPr="00623BEA" w:rsidRDefault="00EE644C" w:rsidP="00623B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BEA">
        <w:rPr>
          <w:rFonts w:ascii="Arial" w:hAnsi="Arial" w:cs="Arial"/>
          <w:sz w:val="24"/>
          <w:szCs w:val="24"/>
        </w:rPr>
        <w:t xml:space="preserve">Do make use of </w:t>
      </w:r>
      <w:r w:rsidR="00F8579E">
        <w:rPr>
          <w:rFonts w:ascii="Arial" w:hAnsi="Arial" w:cs="Arial"/>
          <w:sz w:val="24"/>
          <w:szCs w:val="24"/>
        </w:rPr>
        <w:t xml:space="preserve">the </w:t>
      </w:r>
      <w:r w:rsidRPr="00623BEA">
        <w:rPr>
          <w:rFonts w:ascii="Arial" w:hAnsi="Arial" w:cs="Arial"/>
          <w:sz w:val="24"/>
          <w:szCs w:val="24"/>
        </w:rPr>
        <w:t>hover text inside of graphs &amp; other anal</w:t>
      </w:r>
      <w:r w:rsidR="00F8579E">
        <w:rPr>
          <w:rFonts w:ascii="Arial" w:hAnsi="Arial" w:cs="Arial"/>
          <w:sz w:val="24"/>
          <w:szCs w:val="24"/>
        </w:rPr>
        <w:t>ysis. They are</w:t>
      </w:r>
      <w:r w:rsidR="003C6698">
        <w:rPr>
          <w:rFonts w:ascii="Arial" w:hAnsi="Arial" w:cs="Arial"/>
          <w:sz w:val="24"/>
          <w:szCs w:val="24"/>
        </w:rPr>
        <w:t xml:space="preserve"> a real handy way of seeing exactly</w:t>
      </w:r>
      <w:r w:rsidRPr="00623BEA">
        <w:rPr>
          <w:rFonts w:ascii="Arial" w:hAnsi="Arial" w:cs="Arial"/>
          <w:sz w:val="24"/>
          <w:szCs w:val="24"/>
        </w:rPr>
        <w:t xml:space="preserve"> where that </w:t>
      </w:r>
      <w:r w:rsidRPr="00487B5E">
        <w:rPr>
          <w:rFonts w:ascii="Arial" w:hAnsi="Arial" w:cs="Arial"/>
          <w:sz w:val="24"/>
          <w:szCs w:val="24"/>
        </w:rPr>
        <w:t>data point</w:t>
      </w:r>
      <w:r w:rsidR="003C6698">
        <w:rPr>
          <w:rFonts w:ascii="Arial" w:hAnsi="Arial" w:cs="Arial"/>
          <w:sz w:val="24"/>
          <w:szCs w:val="24"/>
        </w:rPr>
        <w:t xml:space="preserve"> is lying on the</w:t>
      </w:r>
      <w:r w:rsidRPr="00623BEA">
        <w:rPr>
          <w:rFonts w:ascii="Arial" w:hAnsi="Arial" w:cs="Arial"/>
          <w:sz w:val="24"/>
          <w:szCs w:val="24"/>
        </w:rPr>
        <w:t xml:space="preserve"> axis</w:t>
      </w:r>
      <w:r w:rsidR="00E77CD2">
        <w:rPr>
          <w:rFonts w:ascii="Arial" w:hAnsi="Arial" w:cs="Arial"/>
          <w:sz w:val="24"/>
          <w:szCs w:val="24"/>
        </w:rPr>
        <w:t xml:space="preserve">. Depending on the analysis type, there may be other values available that’s not been possible to display </w:t>
      </w:r>
      <w:r w:rsidR="00F8579E">
        <w:rPr>
          <w:rFonts w:ascii="Arial" w:hAnsi="Arial" w:cs="Arial"/>
          <w:sz w:val="24"/>
          <w:szCs w:val="24"/>
        </w:rPr>
        <w:t>with</w:t>
      </w:r>
      <w:r w:rsidR="00E77CD2">
        <w:rPr>
          <w:rFonts w:ascii="Arial" w:hAnsi="Arial" w:cs="Arial"/>
          <w:sz w:val="24"/>
          <w:szCs w:val="24"/>
        </w:rPr>
        <w:t>in the graph.</w:t>
      </w:r>
    </w:p>
    <w:p w:rsidR="00AF6C7A" w:rsidRPr="000B60C9" w:rsidRDefault="00A05465" w:rsidP="00C70A7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B60C9">
        <w:rPr>
          <w:rFonts w:ascii="Arial" w:hAnsi="Arial" w:cs="Arial"/>
          <w:sz w:val="24"/>
          <w:szCs w:val="24"/>
        </w:rPr>
        <w:t>T</w:t>
      </w:r>
      <w:r w:rsidR="00293107" w:rsidRPr="000B60C9">
        <w:rPr>
          <w:rFonts w:ascii="Arial" w:hAnsi="Arial" w:cs="Arial"/>
          <w:sz w:val="24"/>
          <w:szCs w:val="24"/>
        </w:rPr>
        <w:t>he</w:t>
      </w:r>
      <w:r w:rsidR="00EE644C" w:rsidRPr="000B60C9">
        <w:rPr>
          <w:rFonts w:ascii="Arial" w:hAnsi="Arial" w:cs="Arial"/>
          <w:sz w:val="24"/>
          <w:szCs w:val="24"/>
        </w:rPr>
        <w:t xml:space="preserve"> guidance doesn’t display every graph</w:t>
      </w:r>
      <w:r w:rsidR="00623BEA" w:rsidRPr="000B60C9">
        <w:rPr>
          <w:rFonts w:ascii="Arial" w:hAnsi="Arial" w:cs="Arial"/>
          <w:sz w:val="24"/>
          <w:szCs w:val="24"/>
        </w:rPr>
        <w:t>ic</w:t>
      </w:r>
      <w:r w:rsidR="00EE644C" w:rsidRPr="000B60C9">
        <w:rPr>
          <w:rFonts w:ascii="Arial" w:hAnsi="Arial" w:cs="Arial"/>
          <w:sz w:val="24"/>
          <w:szCs w:val="24"/>
        </w:rPr>
        <w:t xml:space="preserve"> or analysis available within eOPS,</w:t>
      </w:r>
      <w:r w:rsidR="008F2A41" w:rsidRPr="000B60C9">
        <w:rPr>
          <w:rFonts w:ascii="Arial" w:hAnsi="Arial" w:cs="Arial"/>
          <w:sz w:val="24"/>
          <w:szCs w:val="24"/>
        </w:rPr>
        <w:t xml:space="preserve"> for instance Repairs</w:t>
      </w:r>
      <w:r w:rsidR="00EE644C" w:rsidRPr="000B60C9">
        <w:rPr>
          <w:rFonts w:ascii="Arial" w:hAnsi="Arial" w:cs="Arial"/>
          <w:sz w:val="24"/>
          <w:szCs w:val="24"/>
        </w:rPr>
        <w:t xml:space="preserve"> have </w:t>
      </w:r>
      <w:r w:rsidR="008F2A41" w:rsidRPr="000B60C9">
        <w:rPr>
          <w:rFonts w:ascii="Arial" w:hAnsi="Arial" w:cs="Arial"/>
          <w:sz w:val="24"/>
          <w:szCs w:val="24"/>
        </w:rPr>
        <w:t>been described but additional graphs &amp; tables for</w:t>
      </w:r>
      <w:r w:rsidR="00EE644C" w:rsidRPr="000B60C9">
        <w:rPr>
          <w:rFonts w:ascii="Arial" w:hAnsi="Arial" w:cs="Arial"/>
          <w:sz w:val="24"/>
          <w:szCs w:val="24"/>
        </w:rPr>
        <w:t xml:space="preserve"> Replacements &amp; Small Glasses</w:t>
      </w:r>
      <w:r w:rsidR="008F2A41" w:rsidRPr="000B60C9">
        <w:rPr>
          <w:rFonts w:ascii="Arial" w:hAnsi="Arial" w:cs="Arial"/>
          <w:sz w:val="24"/>
          <w:szCs w:val="24"/>
        </w:rPr>
        <w:t xml:space="preserve"> have been omitted</w:t>
      </w:r>
      <w:r w:rsidR="000B60C9">
        <w:rPr>
          <w:rFonts w:ascii="Arial" w:hAnsi="Arial" w:cs="Arial"/>
          <w:sz w:val="24"/>
          <w:szCs w:val="24"/>
        </w:rPr>
        <w:t>. S</w:t>
      </w:r>
      <w:r w:rsidR="00E77CD2" w:rsidRPr="000B60C9">
        <w:rPr>
          <w:rFonts w:ascii="Arial" w:hAnsi="Arial" w:cs="Arial"/>
          <w:sz w:val="24"/>
          <w:szCs w:val="24"/>
        </w:rPr>
        <w:t xml:space="preserve">hould you ever get stuck, never be afraid to drop </w:t>
      </w:r>
      <w:hyperlink r:id="rId9" w:history="1">
        <w:r w:rsidR="00E77CD2" w:rsidRPr="000B60C9">
          <w:rPr>
            <w:rStyle w:val="Hyperlink"/>
            <w:rFonts w:ascii="Arial" w:hAnsi="Arial" w:cs="Arial"/>
            <w:sz w:val="24"/>
            <w:szCs w:val="24"/>
          </w:rPr>
          <w:t>nhsbsa.ophthalmicinsight@nhs.net</w:t>
        </w:r>
      </w:hyperlink>
      <w:r w:rsidR="000B60C9">
        <w:rPr>
          <w:rFonts w:ascii="Arial" w:hAnsi="Arial" w:cs="Arial"/>
          <w:sz w:val="24"/>
          <w:szCs w:val="24"/>
        </w:rPr>
        <w:t xml:space="preserve"> an email &amp; we would be delighted to talk you through it.</w:t>
      </w:r>
    </w:p>
    <w:p w:rsidR="00DC5F21" w:rsidRDefault="00DC5F21" w:rsidP="00C70A71">
      <w:pPr>
        <w:rPr>
          <w:rFonts w:ascii="Arial" w:hAnsi="Arial" w:cs="Arial"/>
          <w:sz w:val="28"/>
          <w:szCs w:val="28"/>
        </w:rPr>
      </w:pPr>
    </w:p>
    <w:p w:rsidR="000B60C9" w:rsidRDefault="000B60C9" w:rsidP="00C70A71">
      <w:pPr>
        <w:rPr>
          <w:rFonts w:ascii="Arial" w:hAnsi="Arial" w:cs="Arial"/>
          <w:sz w:val="28"/>
          <w:szCs w:val="28"/>
        </w:rPr>
      </w:pPr>
    </w:p>
    <w:p w:rsidR="005E3B7C" w:rsidRPr="000B60C9" w:rsidRDefault="00DC5F21" w:rsidP="00DC5F21">
      <w:pPr>
        <w:pStyle w:val="Heading1"/>
        <w:rPr>
          <w:sz w:val="28"/>
        </w:rPr>
      </w:pPr>
      <w:r w:rsidRPr="000B60C9">
        <w:rPr>
          <w:sz w:val="28"/>
        </w:rPr>
        <w:lastRenderedPageBreak/>
        <w:t>Glossary</w:t>
      </w:r>
    </w:p>
    <w:p w:rsidR="000B60C9" w:rsidRDefault="000B60C9" w:rsidP="000B60C9">
      <w:pPr>
        <w:rPr>
          <w:rFonts w:ascii="Arial" w:hAnsi="Arial" w:cs="Arial"/>
          <w:b/>
          <w:sz w:val="28"/>
          <w:szCs w:val="28"/>
        </w:rPr>
      </w:pPr>
    </w:p>
    <w:p w:rsidR="000B60C9" w:rsidRPr="0094682C" w:rsidRDefault="000B60C9" w:rsidP="000B60C9">
      <w:pPr>
        <w:rPr>
          <w:rFonts w:ascii="Arial" w:hAnsi="Arial" w:cs="Arial"/>
          <w:sz w:val="24"/>
          <w:szCs w:val="28"/>
        </w:rPr>
      </w:pPr>
      <w:r w:rsidRPr="0094682C">
        <w:rPr>
          <w:rFonts w:ascii="Arial" w:hAnsi="Arial" w:cs="Arial"/>
          <w:b/>
          <w:sz w:val="28"/>
          <w:szCs w:val="28"/>
        </w:rPr>
        <w:t>Additional Services Contract</w:t>
      </w:r>
      <w:r w:rsidRPr="0094682C">
        <w:rPr>
          <w:rFonts w:ascii="Arial" w:hAnsi="Arial" w:cs="Arial"/>
          <w:b/>
          <w:sz w:val="24"/>
          <w:szCs w:val="28"/>
        </w:rPr>
        <w:t>:</w:t>
      </w:r>
      <w:r w:rsidRPr="0094682C">
        <w:rPr>
          <w:rFonts w:ascii="Arial" w:hAnsi="Arial" w:cs="Arial"/>
          <w:sz w:val="24"/>
          <w:szCs w:val="28"/>
        </w:rPr>
        <w:t xml:space="preserve"> For domiciliary services, also referred to as mobile services &amp; operate outside of fixed premises, normally at a patient’s place of residence.</w:t>
      </w:r>
    </w:p>
    <w:p w:rsidR="000B60C9" w:rsidRPr="008A6F41" w:rsidRDefault="000B60C9" w:rsidP="000B60C9">
      <w:pPr>
        <w:rPr>
          <w:rFonts w:ascii="Arial" w:hAnsi="Arial" w:cs="Arial"/>
          <w:sz w:val="32"/>
          <w:szCs w:val="28"/>
        </w:rPr>
      </w:pPr>
      <w:r w:rsidRPr="0094682C">
        <w:rPr>
          <w:rFonts w:ascii="Arial" w:hAnsi="Arial" w:cs="Arial"/>
          <w:b/>
          <w:sz w:val="28"/>
          <w:szCs w:val="28"/>
        </w:rPr>
        <w:t>Axis:</w:t>
      </w:r>
      <w:r w:rsidRPr="0094682C">
        <w:rPr>
          <w:rFonts w:ascii="Arial" w:hAnsi="Arial" w:cs="Arial"/>
          <w:b/>
          <w:szCs w:val="28"/>
        </w:rPr>
        <w:t xml:space="preserve"> </w:t>
      </w:r>
      <w:r w:rsidRPr="0094682C">
        <w:rPr>
          <w:rFonts w:ascii="Arial" w:hAnsi="Arial" w:cs="Arial"/>
          <w:sz w:val="24"/>
          <w:szCs w:val="28"/>
        </w:rPr>
        <w:t>If used in reference to a graph, this means the lines upon which the scale of the graph is drawn against. Used for plotting the coordinates or data points on a graph. There’s generally an X-axis or horizontal line &amp; Y-axis or vertical line.</w:t>
      </w:r>
    </w:p>
    <w:p w:rsidR="000B60C9" w:rsidRDefault="000B60C9" w:rsidP="00C70A71">
      <w:pPr>
        <w:rPr>
          <w:rFonts w:ascii="Arial" w:hAnsi="Arial" w:cs="Arial"/>
          <w:b/>
          <w:sz w:val="24"/>
          <w:szCs w:val="24"/>
        </w:rPr>
      </w:pPr>
      <w:r w:rsidRPr="000B60C9">
        <w:rPr>
          <w:rFonts w:ascii="Arial" w:hAnsi="Arial" w:cs="Arial"/>
          <w:b/>
          <w:sz w:val="28"/>
          <w:szCs w:val="28"/>
        </w:rPr>
        <w:t>CCG</w:t>
      </w:r>
      <w:r w:rsidRPr="000B60C9">
        <w:rPr>
          <w:rFonts w:ascii="Arial" w:hAnsi="Arial" w:cs="Arial"/>
          <w:b/>
          <w:sz w:val="24"/>
          <w:szCs w:val="24"/>
        </w:rPr>
        <w:t xml:space="preserve">: </w:t>
      </w:r>
      <w:r w:rsidRPr="000B60C9">
        <w:rPr>
          <w:rFonts w:ascii="Arial" w:hAnsi="Arial" w:cs="Arial"/>
          <w:sz w:val="24"/>
          <w:szCs w:val="24"/>
        </w:rPr>
        <w:t>CCGs are groups of GPs that are responsible for designing &amp; maintaining local health services in England through commissioning or buying health &amp; care services. All GP practices have to belong to a CCG. These came into effect on 1 April 2013 &amp; were designed using the 2011 LSOAs to replace the even older PCT organisations. There were 212 at one point.</w:t>
      </w:r>
    </w:p>
    <w:p w:rsidR="00C70A71" w:rsidRDefault="00C70A71" w:rsidP="00C70A71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Complex Bifocal:</w:t>
      </w:r>
      <w:r w:rsidRPr="00AF6C7A">
        <w:rPr>
          <w:rFonts w:ascii="Arial" w:hAnsi="Arial" w:cs="Arial"/>
          <w:sz w:val="24"/>
          <w:szCs w:val="28"/>
        </w:rPr>
        <w:t xml:space="preserve"> A highly specialised lens that has two distinct parts, with each part having a different focal length – one would be used for near vision &amp; the other would be used for distance.</w:t>
      </w:r>
    </w:p>
    <w:p w:rsidR="000B60C9" w:rsidRPr="0094682C" w:rsidRDefault="000B60C9" w:rsidP="000B60C9">
      <w:pPr>
        <w:rPr>
          <w:sz w:val="20"/>
        </w:rPr>
      </w:pPr>
      <w:r>
        <w:rPr>
          <w:rFonts w:ascii="Arial" w:hAnsi="Arial" w:cs="Arial"/>
          <w:b/>
          <w:sz w:val="28"/>
          <w:szCs w:val="28"/>
        </w:rPr>
        <w:t xml:space="preserve">Contract: </w:t>
      </w:r>
      <w:r w:rsidRPr="0094682C">
        <w:rPr>
          <w:rFonts w:ascii="Arial" w:hAnsi="Arial" w:cs="Arial"/>
          <w:sz w:val="24"/>
          <w:szCs w:val="28"/>
        </w:rPr>
        <w:t>Any individual or otherwise, wishing to provide NHS services under GOS terms, must hold one of these with the Area Team responsible for the area that they wish to operate - See also; Mandatory Contract, Additional Services Contract or Enhanced Services Contract.</w:t>
      </w:r>
    </w:p>
    <w:p w:rsidR="000B60C9" w:rsidRPr="000B60C9" w:rsidRDefault="008A6F41" w:rsidP="00C70A71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 xml:space="preserve">Data Point: </w:t>
      </w:r>
      <w:r w:rsidRPr="00AF6C7A">
        <w:rPr>
          <w:rFonts w:ascii="Arial" w:hAnsi="Arial" w:cs="Arial"/>
          <w:sz w:val="24"/>
          <w:szCs w:val="28"/>
        </w:rPr>
        <w:t>A discrete unit of information or value.</w:t>
      </w:r>
    </w:p>
    <w:p w:rsidR="00C70A71" w:rsidRDefault="00C70A71" w:rsidP="00C70A71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Dioptre:</w:t>
      </w:r>
      <w:r w:rsidRPr="00AF6C7A">
        <w:rPr>
          <w:rFonts w:ascii="Arial" w:hAnsi="Arial" w:cs="Arial"/>
          <w:sz w:val="24"/>
          <w:szCs w:val="28"/>
        </w:rPr>
        <w:t xml:space="preserve"> A unit of measurement for the refractive power of a lens or curved mirror.</w:t>
      </w:r>
    </w:p>
    <w:p w:rsidR="000B60C9" w:rsidRDefault="000B60C9" w:rsidP="000B60C9">
      <w:pPr>
        <w:rPr>
          <w:rFonts w:ascii="Arial" w:hAnsi="Arial" w:cs="Arial"/>
          <w:sz w:val="24"/>
          <w:szCs w:val="28"/>
        </w:rPr>
      </w:pPr>
      <w:r w:rsidRPr="00FB2ED9">
        <w:rPr>
          <w:rFonts w:ascii="Arial" w:hAnsi="Arial" w:cs="Arial"/>
          <w:b/>
          <w:sz w:val="28"/>
          <w:szCs w:val="28"/>
        </w:rPr>
        <w:t>Domiciliary Visit:</w:t>
      </w:r>
      <w:r>
        <w:t xml:space="preserve"> </w:t>
      </w:r>
      <w:r w:rsidRPr="0094682C">
        <w:rPr>
          <w:rFonts w:ascii="Arial" w:hAnsi="Arial" w:cs="Arial"/>
          <w:sz w:val="24"/>
          <w:szCs w:val="28"/>
        </w:rPr>
        <w:t>Domiciliary eye care is for patients who are unable to visit a high street practice unaccompanied due to a mental, physical or learning disability.</w:t>
      </w:r>
    </w:p>
    <w:p w:rsidR="000B60C9" w:rsidRDefault="000B60C9" w:rsidP="000B60C9">
      <w:r w:rsidRPr="007C4B0A">
        <w:rPr>
          <w:rFonts w:ascii="Arial" w:hAnsi="Arial" w:cs="Arial"/>
          <w:b/>
          <w:sz w:val="28"/>
          <w:szCs w:val="28"/>
        </w:rPr>
        <w:t>Enhanced Services Contract:</w:t>
      </w:r>
      <w:r>
        <w:t xml:space="preserve"> </w:t>
      </w:r>
      <w:r w:rsidRPr="00AF6C7A">
        <w:rPr>
          <w:rFonts w:ascii="Arial" w:hAnsi="Arial" w:cs="Arial"/>
          <w:sz w:val="24"/>
          <w:szCs w:val="28"/>
        </w:rPr>
        <w:t>Entitles holders to perform additional, commissioned services from the NHS, such as Minor Eye Conditions Services (MECS), referral refinements or Intraocular Pressure (IOP) services.</w:t>
      </w:r>
    </w:p>
    <w:p w:rsidR="000B60C9" w:rsidRDefault="000B60C9" w:rsidP="000B60C9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FY: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AF6C7A">
        <w:rPr>
          <w:rFonts w:ascii="Arial" w:hAnsi="Arial" w:cs="Arial"/>
          <w:sz w:val="24"/>
          <w:szCs w:val="28"/>
        </w:rPr>
        <w:t>An acronym for Financial Year.</w:t>
      </w:r>
      <w:r>
        <w:rPr>
          <w:rFonts w:ascii="Arial" w:hAnsi="Arial" w:cs="Arial"/>
          <w:sz w:val="24"/>
          <w:szCs w:val="28"/>
        </w:rPr>
        <w:t xml:space="preserve"> This relates to the 365 day period (366 on a leap year) from 1</w:t>
      </w:r>
      <w:r w:rsidRPr="00AF6C7A">
        <w:rPr>
          <w:rFonts w:ascii="Arial" w:hAnsi="Arial" w:cs="Arial"/>
          <w:sz w:val="24"/>
          <w:szCs w:val="28"/>
          <w:vertAlign w:val="superscript"/>
        </w:rPr>
        <w:t>st</w:t>
      </w:r>
      <w:r>
        <w:rPr>
          <w:rFonts w:ascii="Arial" w:hAnsi="Arial" w:cs="Arial"/>
          <w:sz w:val="24"/>
          <w:szCs w:val="28"/>
        </w:rPr>
        <w:t xml:space="preserve"> April XX to 31</w:t>
      </w:r>
      <w:r w:rsidRPr="00AF6C7A">
        <w:rPr>
          <w:rFonts w:ascii="Arial" w:hAnsi="Arial" w:cs="Arial"/>
          <w:sz w:val="24"/>
          <w:szCs w:val="28"/>
          <w:vertAlign w:val="superscript"/>
        </w:rPr>
        <w:t>st</w:t>
      </w:r>
      <w:r>
        <w:rPr>
          <w:rFonts w:ascii="Arial" w:hAnsi="Arial" w:cs="Arial"/>
          <w:sz w:val="24"/>
          <w:szCs w:val="28"/>
        </w:rPr>
        <w:t xml:space="preserve"> March XX +1. </w:t>
      </w:r>
    </w:p>
    <w:p w:rsidR="000B60C9" w:rsidRPr="00AF6C7A" w:rsidRDefault="000B60C9" w:rsidP="000B60C9">
      <w:pPr>
        <w:rPr>
          <w:rFonts w:ascii="Arial" w:hAnsi="Arial" w:cs="Arial"/>
          <w:sz w:val="24"/>
          <w:szCs w:val="28"/>
        </w:rPr>
      </w:pPr>
      <w:r w:rsidRPr="00326631">
        <w:rPr>
          <w:rFonts w:ascii="Arial" w:hAnsi="Arial" w:cs="Arial"/>
          <w:b/>
          <w:sz w:val="28"/>
          <w:szCs w:val="28"/>
        </w:rPr>
        <w:t>GOS:</w:t>
      </w:r>
      <w:r>
        <w:t xml:space="preserve"> </w:t>
      </w:r>
      <w:r w:rsidRPr="00AF6C7A">
        <w:rPr>
          <w:rFonts w:ascii="Arial" w:hAnsi="Arial" w:cs="Arial"/>
          <w:sz w:val="24"/>
          <w:szCs w:val="28"/>
        </w:rPr>
        <w:t>An acronym for General Ophthalmic Services. This was developed in response to Part 6 of the NHS Act 2006, requiring anyone who wished to provide NHS Sight Tests to enter into contracted terms with the now superseded PCTs. See</w:t>
      </w:r>
      <w:r>
        <w:rPr>
          <w:rFonts w:ascii="Arial" w:hAnsi="Arial" w:cs="Arial"/>
          <w:sz w:val="24"/>
          <w:szCs w:val="28"/>
        </w:rPr>
        <w:t xml:space="preserve"> also;</w:t>
      </w:r>
      <w:r w:rsidRPr="00AF6C7A">
        <w:rPr>
          <w:rFonts w:ascii="Arial" w:hAnsi="Arial" w:cs="Arial"/>
          <w:sz w:val="24"/>
          <w:szCs w:val="28"/>
        </w:rPr>
        <w:t xml:space="preserve"> PCTs</w:t>
      </w:r>
      <w:r>
        <w:rPr>
          <w:rFonts w:ascii="Arial" w:hAnsi="Arial" w:cs="Arial"/>
          <w:sz w:val="24"/>
          <w:szCs w:val="28"/>
        </w:rPr>
        <w:t>.</w:t>
      </w:r>
      <w:r w:rsidRPr="00AF6C7A">
        <w:rPr>
          <w:rFonts w:ascii="Arial" w:hAnsi="Arial" w:cs="Arial"/>
          <w:sz w:val="24"/>
          <w:szCs w:val="28"/>
        </w:rPr>
        <w:t xml:space="preserve"> </w:t>
      </w:r>
    </w:p>
    <w:p w:rsidR="000B60C9" w:rsidRPr="00DE6ED0" w:rsidRDefault="000B60C9" w:rsidP="000B60C9">
      <w:pPr>
        <w:rPr>
          <w:rFonts w:ascii="Arial" w:hAnsi="Arial" w:cs="Arial"/>
          <w:sz w:val="28"/>
        </w:rPr>
      </w:pPr>
      <w:r w:rsidRPr="00AF6C7A">
        <w:rPr>
          <w:rFonts w:ascii="Arial" w:hAnsi="Arial" w:cs="Arial"/>
          <w:b/>
          <w:sz w:val="28"/>
          <w:szCs w:val="32"/>
        </w:rPr>
        <w:t>GOS1</w:t>
      </w:r>
      <w:r w:rsidRPr="00AF6C7A">
        <w:rPr>
          <w:rFonts w:ascii="Arial" w:hAnsi="Arial" w:cs="Arial"/>
          <w:sz w:val="28"/>
          <w:szCs w:val="32"/>
        </w:rPr>
        <w:t>:</w:t>
      </w:r>
      <w:r w:rsidRPr="00AF6C7A">
        <w:rPr>
          <w:rFonts w:ascii="Arial" w:hAnsi="Arial" w:cs="Arial"/>
          <w:sz w:val="24"/>
        </w:rPr>
        <w:t xml:space="preserve"> This is the application for an NHS funded Sight Test.</w:t>
      </w:r>
    </w:p>
    <w:p w:rsidR="000B60C9" w:rsidRPr="00AF6C7A" w:rsidRDefault="000B60C9" w:rsidP="000B60C9">
      <w:pPr>
        <w:rPr>
          <w:rFonts w:ascii="Arial" w:hAnsi="Arial" w:cs="Arial"/>
          <w:sz w:val="20"/>
        </w:rPr>
      </w:pPr>
      <w:r w:rsidRPr="00AF6C7A">
        <w:rPr>
          <w:rFonts w:ascii="Arial" w:hAnsi="Arial" w:cs="Arial"/>
          <w:b/>
          <w:sz w:val="28"/>
        </w:rPr>
        <w:t>GOS2</w:t>
      </w:r>
      <w:r w:rsidRPr="00AF6C7A">
        <w:rPr>
          <w:rFonts w:ascii="Arial" w:hAnsi="Arial" w:cs="Arial"/>
          <w:sz w:val="28"/>
        </w:rPr>
        <w:t xml:space="preserve">: A </w:t>
      </w:r>
      <w:r w:rsidRPr="00AF6C7A">
        <w:rPr>
          <w:rFonts w:ascii="Arial" w:hAnsi="Arial" w:cs="Arial"/>
          <w:sz w:val="24"/>
        </w:rPr>
        <w:t>Patient’s Prescription. One of these may not be generated after a sight test – this is up to the provider of the service.</w:t>
      </w:r>
    </w:p>
    <w:p w:rsidR="000B60C9" w:rsidRPr="00AF6C7A" w:rsidRDefault="000B60C9" w:rsidP="000B60C9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lastRenderedPageBreak/>
        <w:t>GOS3</w:t>
      </w:r>
      <w:r w:rsidRPr="00AF6C7A">
        <w:rPr>
          <w:rFonts w:ascii="Arial" w:hAnsi="Arial" w:cs="Arial"/>
          <w:sz w:val="24"/>
          <w:szCs w:val="28"/>
        </w:rPr>
        <w:t>: This is the voucher issued due a detected degradation in visual health; the GOS3 shows the clinical reasoning why the voucher was issued.</w:t>
      </w:r>
    </w:p>
    <w:p w:rsidR="000B60C9" w:rsidRPr="00AF6C7A" w:rsidRDefault="000B60C9" w:rsidP="000B60C9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GOS4: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AF6C7A">
        <w:rPr>
          <w:rFonts w:ascii="Arial" w:hAnsi="Arial" w:cs="Arial"/>
          <w:sz w:val="24"/>
          <w:szCs w:val="28"/>
        </w:rPr>
        <w:t>This is an application for Repairs, Replacements or for Small Glasses adjustments to existing visual aids, when it’s determined that a new prescription is not necessary.</w:t>
      </w:r>
    </w:p>
    <w:p w:rsidR="000B60C9" w:rsidRPr="00BA67AB" w:rsidRDefault="000B60C9" w:rsidP="000B60C9">
      <w:pPr>
        <w:rPr>
          <w:rFonts w:ascii="Arial" w:hAnsi="Arial" w:cs="Arial"/>
          <w:sz w:val="28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GOS5:</w:t>
      </w:r>
      <w:r w:rsidRPr="00AF6C7A">
        <w:rPr>
          <w:rFonts w:ascii="Arial" w:hAnsi="Arial" w:cs="Arial"/>
          <w:sz w:val="24"/>
          <w:szCs w:val="28"/>
        </w:rPr>
        <w:t xml:space="preserve"> Help with Private eyesight test &amp; is beyond the scope of eOPS.</w:t>
      </w:r>
    </w:p>
    <w:p w:rsidR="000B60C9" w:rsidRDefault="000B60C9" w:rsidP="000B60C9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GOS6:</w:t>
      </w:r>
      <w:r w:rsidRPr="00AF6C7A">
        <w:rPr>
          <w:rFonts w:ascii="Arial" w:hAnsi="Arial" w:cs="Arial"/>
          <w:sz w:val="24"/>
          <w:szCs w:val="28"/>
        </w:rPr>
        <w:t xml:space="preserve"> This is the application for a Domiciliary Visit.</w:t>
      </w:r>
    </w:p>
    <w:p w:rsidR="000B60C9" w:rsidRPr="00AF6C7A" w:rsidRDefault="000B60C9" w:rsidP="000B60C9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</w:rPr>
        <w:t>GOS Forms</w:t>
      </w:r>
      <w:r w:rsidRPr="00AF6C7A">
        <w:rPr>
          <w:rFonts w:ascii="Arial" w:hAnsi="Arial" w:cs="Arial"/>
          <w:sz w:val="28"/>
        </w:rPr>
        <w:t>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AF6C7A">
        <w:rPr>
          <w:rFonts w:ascii="Arial" w:hAnsi="Arial" w:cs="Arial"/>
          <w:sz w:val="24"/>
          <w:szCs w:val="28"/>
        </w:rPr>
        <w:t>There are 6 altogether numbered 1 – 6 inclusive. Only 4 are used in eOPS - GOS 1, 3, 4 &amp; 6. These are used for capturing patient; performer &amp; supplier level activity data necessary for the commissioning of GOS services, patient entitlement checks &amp; to performance manage individual GOS Contracts.</w:t>
      </w:r>
    </w:p>
    <w:p w:rsidR="008A6F41" w:rsidRPr="00AF6C7A" w:rsidRDefault="008A6F41" w:rsidP="00C70A71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Hover Text:</w:t>
      </w:r>
      <w:r>
        <w:rPr>
          <w:rFonts w:ascii="Arial" w:hAnsi="Arial" w:cs="Arial"/>
          <w:b/>
          <w:sz w:val="32"/>
          <w:szCs w:val="28"/>
        </w:rPr>
        <w:t xml:space="preserve"> </w:t>
      </w:r>
      <w:r w:rsidRPr="00AF6C7A">
        <w:rPr>
          <w:rFonts w:ascii="Arial" w:hAnsi="Arial" w:cs="Arial"/>
          <w:sz w:val="24"/>
          <w:szCs w:val="28"/>
        </w:rPr>
        <w:t xml:space="preserve">A computer programming feature that allows small boxes to appear on screen, displaying any further information available when the mouse icon hovers over particular parts of a graph. </w:t>
      </w:r>
    </w:p>
    <w:p w:rsidR="008A6F41" w:rsidRDefault="008A6F41" w:rsidP="00C70A71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LSOA</w:t>
      </w:r>
      <w:r w:rsidRPr="00AF6C7A">
        <w:rPr>
          <w:rFonts w:ascii="Arial" w:hAnsi="Arial" w:cs="Arial"/>
          <w:b/>
          <w:sz w:val="24"/>
          <w:szCs w:val="28"/>
        </w:rPr>
        <w:t xml:space="preserve">: </w:t>
      </w:r>
      <w:r w:rsidRPr="00AF6C7A">
        <w:rPr>
          <w:rFonts w:ascii="Arial" w:hAnsi="Arial" w:cs="Arial"/>
          <w:sz w:val="24"/>
          <w:szCs w:val="28"/>
        </w:rPr>
        <w:t>An acronym for Lower Super Output Layer is a standardized geographical area, designed to improve the reporting of small area statistics in England &amp; Wales.</w:t>
      </w:r>
    </w:p>
    <w:p w:rsidR="000B60C9" w:rsidRPr="00AF6C7A" w:rsidRDefault="000B60C9" w:rsidP="000B60C9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Mandatory Contract: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AF6C7A">
        <w:rPr>
          <w:rFonts w:ascii="Arial" w:hAnsi="Arial" w:cs="Arial"/>
          <w:sz w:val="24"/>
          <w:szCs w:val="28"/>
        </w:rPr>
        <w:t>Any provider of NHS commissioned Sight Test services to the general public must obtain &amp; be legally entitled to one of these</w:t>
      </w:r>
      <w:r>
        <w:rPr>
          <w:rFonts w:ascii="Arial" w:hAnsi="Arial" w:cs="Arial"/>
          <w:sz w:val="24"/>
          <w:szCs w:val="28"/>
        </w:rPr>
        <w:t>.</w:t>
      </w:r>
    </w:p>
    <w:p w:rsidR="000B60C9" w:rsidRPr="00AF6C7A" w:rsidRDefault="000B60C9" w:rsidP="000B60C9">
      <w:pPr>
        <w:rPr>
          <w:rFonts w:ascii="Arial" w:hAnsi="Arial" w:cs="Arial"/>
          <w:sz w:val="28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PCT: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AF6C7A">
        <w:rPr>
          <w:rFonts w:ascii="Arial" w:hAnsi="Arial" w:cs="Arial"/>
          <w:sz w:val="24"/>
          <w:szCs w:val="28"/>
        </w:rPr>
        <w:t xml:space="preserve">Primary Care Trust. These were NHS Commissioning bodies before they were replaced with CCGs, which they themselves are now defunct &amp; replaced with STPs. </w:t>
      </w:r>
      <w:r>
        <w:rPr>
          <w:rFonts w:ascii="Arial" w:hAnsi="Arial" w:cs="Arial"/>
          <w:sz w:val="24"/>
          <w:szCs w:val="28"/>
        </w:rPr>
        <w:t>There were</w:t>
      </w:r>
      <w:r w:rsidRPr="00AF6C7A">
        <w:rPr>
          <w:rFonts w:ascii="Arial" w:hAnsi="Arial" w:cs="Arial"/>
          <w:sz w:val="24"/>
          <w:szCs w:val="28"/>
        </w:rPr>
        <w:t xml:space="preserve"> 151</w:t>
      </w:r>
      <w:r>
        <w:rPr>
          <w:rFonts w:ascii="Arial" w:hAnsi="Arial" w:cs="Arial"/>
          <w:sz w:val="24"/>
          <w:szCs w:val="28"/>
        </w:rPr>
        <w:t xml:space="preserve"> PCTs.</w:t>
      </w:r>
    </w:p>
    <w:p w:rsidR="00C70A71" w:rsidRPr="00AF6C7A" w:rsidRDefault="00C70A71" w:rsidP="00C70A71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Prism: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AF6C7A">
        <w:rPr>
          <w:rFonts w:ascii="Arial" w:hAnsi="Arial" w:cs="Arial"/>
          <w:sz w:val="24"/>
          <w:szCs w:val="28"/>
        </w:rPr>
        <w:t xml:space="preserve">Used on visual aids to help correct double vision. </w:t>
      </w:r>
    </w:p>
    <w:p w:rsidR="00C70A71" w:rsidRPr="00AF6C7A" w:rsidRDefault="00C70A71" w:rsidP="00C70A71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Sight Test: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AF6C7A">
        <w:rPr>
          <w:rFonts w:ascii="Arial" w:hAnsi="Arial" w:cs="Arial"/>
          <w:sz w:val="24"/>
          <w:szCs w:val="28"/>
        </w:rPr>
        <w:t>A method to determine the level of degradation in the recipients’ visual health.</w:t>
      </w:r>
    </w:p>
    <w:p w:rsidR="000B60C9" w:rsidRDefault="00C70A71" w:rsidP="00C70A71">
      <w:pPr>
        <w:rPr>
          <w:rFonts w:ascii="Arial" w:hAnsi="Arial" w:cs="Arial"/>
          <w:sz w:val="24"/>
          <w:szCs w:val="24"/>
        </w:rPr>
      </w:pPr>
      <w:r w:rsidRPr="00AF6C7A">
        <w:rPr>
          <w:rFonts w:ascii="Arial" w:hAnsi="Arial" w:cs="Arial"/>
          <w:b/>
          <w:sz w:val="28"/>
          <w:szCs w:val="28"/>
        </w:rPr>
        <w:t>Single Complex: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AF6C7A">
        <w:rPr>
          <w:rFonts w:ascii="Arial" w:hAnsi="Arial" w:cs="Arial"/>
          <w:sz w:val="24"/>
          <w:szCs w:val="24"/>
        </w:rPr>
        <w:t>A spectacle lens with a power of +/- 10 or more dioptres in any one meridian.</w:t>
      </w:r>
    </w:p>
    <w:p w:rsidR="000B60C9" w:rsidRPr="00AF6C7A" w:rsidRDefault="000B60C9" w:rsidP="000B60C9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STP: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2A526B">
        <w:rPr>
          <w:rFonts w:ascii="Arial" w:hAnsi="Arial" w:cs="Arial"/>
          <w:sz w:val="24"/>
          <w:szCs w:val="28"/>
        </w:rPr>
        <w:t xml:space="preserve">An acronym for </w:t>
      </w:r>
      <w:r w:rsidRPr="00AF6C7A">
        <w:rPr>
          <w:rFonts w:ascii="Arial" w:hAnsi="Arial" w:cs="Arial"/>
          <w:sz w:val="24"/>
          <w:szCs w:val="28"/>
        </w:rPr>
        <w:t xml:space="preserve">Sustainability &amp; Transformation </w:t>
      </w:r>
      <w:r>
        <w:rPr>
          <w:rFonts w:ascii="Arial" w:hAnsi="Arial" w:cs="Arial"/>
          <w:sz w:val="24"/>
          <w:szCs w:val="28"/>
        </w:rPr>
        <w:t>Partnership. These a</w:t>
      </w:r>
      <w:r w:rsidRPr="00AF6C7A">
        <w:rPr>
          <w:rFonts w:ascii="Arial" w:hAnsi="Arial" w:cs="Arial"/>
          <w:sz w:val="24"/>
          <w:szCs w:val="28"/>
          <w:lang w:val="en"/>
        </w:rPr>
        <w:t>re five-year plans covering all aspects of NHS spending in England. Forty-four areas have been identified as the </w:t>
      </w:r>
      <w:hyperlink r:id="rId10" w:tgtFrame="_blank" w:history="1">
        <w:r w:rsidRPr="00AF6C7A">
          <w:rPr>
            <w:rStyle w:val="Hyperlink"/>
            <w:rFonts w:ascii="Arial" w:hAnsi="Arial" w:cs="Arial"/>
            <w:sz w:val="24"/>
            <w:szCs w:val="28"/>
            <w:lang w:val="en"/>
          </w:rPr>
          <w:t>geographical ‘footprints’ on which the plans are based</w:t>
        </w:r>
      </w:hyperlink>
      <w:r w:rsidRPr="00AF6C7A">
        <w:rPr>
          <w:rFonts w:ascii="Arial" w:hAnsi="Arial" w:cs="Arial"/>
          <w:sz w:val="24"/>
          <w:szCs w:val="28"/>
          <w:lang w:val="en"/>
        </w:rPr>
        <w:t xml:space="preserve">, with an average population size of 1.2 million people (the smallest covers a population of 300,000 &amp; the largest 2.8 million). </w:t>
      </w:r>
      <w:hyperlink r:id="rId11" w:tgtFrame="_blank" w:history="1">
        <w:r w:rsidRPr="00AF6C7A">
          <w:rPr>
            <w:rStyle w:val="Hyperlink"/>
            <w:rFonts w:ascii="Arial" w:hAnsi="Arial" w:cs="Arial"/>
            <w:sz w:val="24"/>
            <w:szCs w:val="28"/>
            <w:lang w:val="en"/>
          </w:rPr>
          <w:t>A named individual</w:t>
        </w:r>
      </w:hyperlink>
      <w:r w:rsidRPr="00AF6C7A">
        <w:rPr>
          <w:rFonts w:ascii="Arial" w:hAnsi="Arial" w:cs="Arial"/>
          <w:sz w:val="24"/>
          <w:szCs w:val="28"/>
          <w:lang w:val="en"/>
        </w:rPr>
        <w:t> has led the development of each STP. Most STP leaders come from clinical commissioning groups (CCGs) &amp; NHS trusts or foundation trusts, but a small number come from local government.</w:t>
      </w:r>
      <w:r>
        <w:rPr>
          <w:rFonts w:ascii="Arial" w:hAnsi="Arial" w:cs="Arial"/>
          <w:sz w:val="24"/>
          <w:szCs w:val="28"/>
          <w:lang w:val="en"/>
        </w:rPr>
        <w:t xml:space="preserve"> These replaced most of the CCGs.</w:t>
      </w:r>
    </w:p>
    <w:p w:rsidR="00C70A71" w:rsidRPr="00AF6C7A" w:rsidRDefault="00C70A71" w:rsidP="00C70A71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Supplement: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AF6C7A">
        <w:rPr>
          <w:rFonts w:ascii="Arial" w:hAnsi="Arial" w:cs="Arial"/>
          <w:sz w:val="24"/>
          <w:szCs w:val="28"/>
        </w:rPr>
        <w:t>These are additional items that can be claimed for to help restore vision – See also; Tint, Prism, Second Pair, Single Complex, Complex Bifocal.</w:t>
      </w:r>
    </w:p>
    <w:p w:rsidR="00C70A71" w:rsidRDefault="00C70A71" w:rsidP="00C70A71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Tint: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AF6C7A">
        <w:rPr>
          <w:rFonts w:ascii="Arial" w:hAnsi="Arial" w:cs="Arial"/>
          <w:sz w:val="24"/>
          <w:szCs w:val="28"/>
        </w:rPr>
        <w:t xml:space="preserve">A thin coating applied to 1 or both lenses on a patient’s visual aid, to reduce &amp; filter out specific light wavelengths that are a cause of, or contribute towards, degraded visual health. Sunglasses are a good example of a visual aid with a tint, but these are not considered as a </w:t>
      </w:r>
      <w:r w:rsidRPr="00AF6C7A">
        <w:rPr>
          <w:rFonts w:ascii="Arial" w:hAnsi="Arial" w:cs="Arial"/>
          <w:sz w:val="24"/>
          <w:szCs w:val="28"/>
        </w:rPr>
        <w:lastRenderedPageBreak/>
        <w:t xml:space="preserve">supplement – A tint should only be prescribed (&amp; claimed for!) when a clinical need presents itself, </w:t>
      </w:r>
      <w:proofErr w:type="spellStart"/>
      <w:r w:rsidRPr="00AF6C7A">
        <w:rPr>
          <w:rFonts w:ascii="Arial" w:hAnsi="Arial" w:cs="Arial"/>
          <w:sz w:val="24"/>
          <w:szCs w:val="28"/>
        </w:rPr>
        <w:t>eg</w:t>
      </w:r>
      <w:proofErr w:type="spellEnd"/>
      <w:r w:rsidRPr="00AF6C7A">
        <w:rPr>
          <w:rFonts w:ascii="Arial" w:hAnsi="Arial" w:cs="Arial"/>
          <w:sz w:val="24"/>
          <w:szCs w:val="28"/>
        </w:rPr>
        <w:t xml:space="preserve">. </w:t>
      </w:r>
      <w:proofErr w:type="gramStart"/>
      <w:r w:rsidRPr="00AF6C7A">
        <w:rPr>
          <w:rFonts w:ascii="Arial" w:hAnsi="Arial" w:cs="Arial"/>
          <w:sz w:val="24"/>
          <w:szCs w:val="28"/>
        </w:rPr>
        <w:t>a</w:t>
      </w:r>
      <w:proofErr w:type="gramEnd"/>
      <w:r w:rsidRPr="00AF6C7A">
        <w:rPr>
          <w:rFonts w:ascii="Arial" w:hAnsi="Arial" w:cs="Arial"/>
          <w:sz w:val="24"/>
          <w:szCs w:val="28"/>
        </w:rPr>
        <w:t xml:space="preserve"> patient suffers with light sensitivity problems. </w:t>
      </w:r>
    </w:p>
    <w:p w:rsidR="000B60C9" w:rsidRPr="00AF6C7A" w:rsidRDefault="000B60C9" w:rsidP="000B60C9">
      <w:pPr>
        <w:rPr>
          <w:rFonts w:ascii="Arial" w:hAnsi="Arial" w:cs="Arial"/>
          <w:sz w:val="24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Voucher:</w:t>
      </w:r>
      <w:r w:rsidRPr="00AF6C7A">
        <w:rPr>
          <w:rFonts w:ascii="Arial" w:hAnsi="Arial" w:cs="Arial"/>
          <w:sz w:val="28"/>
          <w:szCs w:val="28"/>
        </w:rPr>
        <w:t xml:space="preserve"> </w:t>
      </w:r>
      <w:r w:rsidRPr="00AF6C7A">
        <w:rPr>
          <w:rFonts w:ascii="Arial" w:hAnsi="Arial" w:cs="Arial"/>
          <w:sz w:val="24"/>
          <w:szCs w:val="28"/>
        </w:rPr>
        <w:t>There are currently 10 voucher types in total, from Voucher A to J, though eOPS currently handles Vouchers A to H only. These are only issued out depending on the complexity of the lens required to help restore a Patient’s vision. It entitles the holder to help with the cost of spectacles or other items that help to restore a patient’s vision &amp; each has a different financial value. Vouchers can be used for full or part payment towards the cost of the visual aid.</w:t>
      </w:r>
    </w:p>
    <w:p w:rsidR="000B60C9" w:rsidRPr="00AF6C7A" w:rsidRDefault="000B60C9" w:rsidP="00C70A71">
      <w:pPr>
        <w:rPr>
          <w:rFonts w:ascii="Arial" w:hAnsi="Arial" w:cs="Arial"/>
          <w:sz w:val="24"/>
          <w:szCs w:val="28"/>
        </w:rPr>
      </w:pPr>
    </w:p>
    <w:p w:rsidR="000B60C9" w:rsidRPr="00AF6C7A" w:rsidRDefault="000B60C9" w:rsidP="000B60C9">
      <w:pPr>
        <w:rPr>
          <w:rFonts w:ascii="Arial" w:hAnsi="Arial" w:cs="Arial"/>
          <w:sz w:val="28"/>
          <w:szCs w:val="28"/>
        </w:rPr>
      </w:pPr>
      <w:r w:rsidRPr="00AF6C7A">
        <w:rPr>
          <w:rFonts w:ascii="Arial" w:hAnsi="Arial" w:cs="Arial"/>
          <w:b/>
          <w:sz w:val="28"/>
          <w:szCs w:val="28"/>
        </w:rPr>
        <w:t>YTD: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An acronym for </w:t>
      </w:r>
      <w:r w:rsidRPr="00AF6C7A">
        <w:rPr>
          <w:rFonts w:ascii="Arial" w:hAnsi="Arial" w:cs="Arial"/>
          <w:sz w:val="24"/>
          <w:szCs w:val="28"/>
        </w:rPr>
        <w:t>Year to Date.</w:t>
      </w:r>
      <w:r>
        <w:rPr>
          <w:rFonts w:ascii="Arial" w:hAnsi="Arial" w:cs="Arial"/>
          <w:sz w:val="24"/>
          <w:szCs w:val="28"/>
        </w:rPr>
        <w:t xml:space="preserve"> Within eOPS, this is used to mean Financial Year to Date, or the period from 01/04/XX to the latest period.</w:t>
      </w:r>
    </w:p>
    <w:p w:rsidR="00F42D28" w:rsidRDefault="00F42D28" w:rsidP="00C70A71">
      <w:pPr>
        <w:rPr>
          <w:rFonts w:ascii="Arial" w:hAnsi="Arial" w:cs="Arial"/>
          <w:b/>
          <w:sz w:val="28"/>
          <w:szCs w:val="28"/>
        </w:rPr>
      </w:pPr>
    </w:p>
    <w:p w:rsidR="00F42D28" w:rsidRPr="00F42D28" w:rsidRDefault="00F42D28" w:rsidP="00F42D28">
      <w:pPr>
        <w:rPr>
          <w:rFonts w:ascii="Arial" w:hAnsi="Arial" w:cs="Arial"/>
          <w:sz w:val="28"/>
          <w:szCs w:val="28"/>
        </w:rPr>
      </w:pPr>
    </w:p>
    <w:p w:rsidR="00F42D28" w:rsidRPr="00F42D28" w:rsidRDefault="00F42D28" w:rsidP="00F42D28">
      <w:pPr>
        <w:rPr>
          <w:rFonts w:ascii="Arial" w:hAnsi="Arial" w:cs="Arial"/>
          <w:sz w:val="28"/>
          <w:szCs w:val="28"/>
        </w:rPr>
      </w:pPr>
    </w:p>
    <w:p w:rsidR="00DC5F21" w:rsidRPr="00F42D28" w:rsidRDefault="00F42D28" w:rsidP="00F42D28">
      <w:pPr>
        <w:tabs>
          <w:tab w:val="left" w:pos="9420"/>
        </w:tabs>
        <w:jc w:val="right"/>
        <w:rPr>
          <w:rFonts w:ascii="Arial" w:hAnsi="Arial" w:cs="Arial"/>
          <w:sz w:val="24"/>
          <w:szCs w:val="24"/>
        </w:rPr>
      </w:pPr>
      <w:proofErr w:type="gramStart"/>
      <w:r w:rsidRPr="00F42D28">
        <w:rPr>
          <w:rFonts w:ascii="Arial" w:hAnsi="Arial" w:cs="Arial"/>
          <w:sz w:val="24"/>
          <w:szCs w:val="24"/>
        </w:rPr>
        <w:t>Glossary End.</w:t>
      </w:r>
      <w:proofErr w:type="gramEnd"/>
    </w:p>
    <w:sectPr w:rsidR="00DC5F21" w:rsidRPr="00F42D28" w:rsidSect="001B3438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4B" w:rsidRDefault="00156D4B" w:rsidP="001B3438">
      <w:pPr>
        <w:spacing w:after="0" w:line="240" w:lineRule="auto"/>
      </w:pPr>
      <w:r>
        <w:separator/>
      </w:r>
    </w:p>
  </w:endnote>
  <w:endnote w:type="continuationSeparator" w:id="0">
    <w:p w:rsidR="00156D4B" w:rsidRDefault="00156D4B" w:rsidP="001B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776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0C9" w:rsidRDefault="000B60C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3539" w:rsidRDefault="00A43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4B" w:rsidRDefault="00156D4B" w:rsidP="001B3438">
      <w:pPr>
        <w:spacing w:after="0" w:line="240" w:lineRule="auto"/>
      </w:pPr>
      <w:r>
        <w:separator/>
      </w:r>
    </w:p>
  </w:footnote>
  <w:footnote w:type="continuationSeparator" w:id="0">
    <w:p w:rsidR="00156D4B" w:rsidRDefault="00156D4B" w:rsidP="001B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39" w:rsidRDefault="00A43539">
    <w:pPr>
      <w:pStyle w:val="Header"/>
    </w:pPr>
    <w:r>
      <w:t>eOPS Dashboard Guidance</w:t>
    </w:r>
  </w:p>
  <w:p w:rsidR="00A43539" w:rsidRDefault="00A43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539" w:rsidRDefault="00A435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5C94EA" wp14:editId="3CC9AC26">
          <wp:simplePos x="0" y="0"/>
          <wp:positionH relativeFrom="column">
            <wp:posOffset>-304800</wp:posOffset>
          </wp:positionH>
          <wp:positionV relativeFrom="paragraph">
            <wp:posOffset>-297180</wp:posOffset>
          </wp:positionV>
          <wp:extent cx="7560310" cy="1738630"/>
          <wp:effectExtent l="0" t="0" r="2540" b="0"/>
          <wp:wrapTight wrapText="bothSides">
            <wp:wrapPolygon edited="0">
              <wp:start x="0" y="0"/>
              <wp:lineTo x="0" y="21300"/>
              <wp:lineTo x="21553" y="21300"/>
              <wp:lineTo x="21553" y="0"/>
              <wp:lineTo x="0" y="0"/>
            </wp:wrapPolygon>
          </wp:wrapTight>
          <wp:docPr id="47" name="Picture 47" descr="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0054"/>
    <w:multiLevelType w:val="hybridMultilevel"/>
    <w:tmpl w:val="0E7AC0E0"/>
    <w:lvl w:ilvl="0" w:tplc="FF282E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38"/>
    <w:rsid w:val="00052220"/>
    <w:rsid w:val="00070699"/>
    <w:rsid w:val="000B60C9"/>
    <w:rsid w:val="0012428A"/>
    <w:rsid w:val="0013562F"/>
    <w:rsid w:val="001413FA"/>
    <w:rsid w:val="00156D4B"/>
    <w:rsid w:val="00170DAB"/>
    <w:rsid w:val="001B00BB"/>
    <w:rsid w:val="001B3438"/>
    <w:rsid w:val="001D54D7"/>
    <w:rsid w:val="00203BBC"/>
    <w:rsid w:val="00261284"/>
    <w:rsid w:val="00293107"/>
    <w:rsid w:val="002A526B"/>
    <w:rsid w:val="002E0EAD"/>
    <w:rsid w:val="00300DF6"/>
    <w:rsid w:val="0032196A"/>
    <w:rsid w:val="00326631"/>
    <w:rsid w:val="003934D5"/>
    <w:rsid w:val="003C6698"/>
    <w:rsid w:val="003D3EAD"/>
    <w:rsid w:val="003E7AC0"/>
    <w:rsid w:val="00420DF8"/>
    <w:rsid w:val="00425E0B"/>
    <w:rsid w:val="004721CE"/>
    <w:rsid w:val="00487B5E"/>
    <w:rsid w:val="004A58BB"/>
    <w:rsid w:val="005D48CB"/>
    <w:rsid w:val="005D6D37"/>
    <w:rsid w:val="005E3B7C"/>
    <w:rsid w:val="00623BEA"/>
    <w:rsid w:val="006A19D4"/>
    <w:rsid w:val="006A2740"/>
    <w:rsid w:val="006B409D"/>
    <w:rsid w:val="006C7CFD"/>
    <w:rsid w:val="006D30A5"/>
    <w:rsid w:val="0070169E"/>
    <w:rsid w:val="00701B6D"/>
    <w:rsid w:val="00721AD5"/>
    <w:rsid w:val="00746ECC"/>
    <w:rsid w:val="00777E2F"/>
    <w:rsid w:val="007C022D"/>
    <w:rsid w:val="007C4B0A"/>
    <w:rsid w:val="007D2140"/>
    <w:rsid w:val="00805856"/>
    <w:rsid w:val="00841290"/>
    <w:rsid w:val="008474EC"/>
    <w:rsid w:val="00855322"/>
    <w:rsid w:val="008A6F41"/>
    <w:rsid w:val="008F2A41"/>
    <w:rsid w:val="009201E0"/>
    <w:rsid w:val="0094682C"/>
    <w:rsid w:val="00A05465"/>
    <w:rsid w:val="00A43539"/>
    <w:rsid w:val="00AA085B"/>
    <w:rsid w:val="00AA2F10"/>
    <w:rsid w:val="00AE028D"/>
    <w:rsid w:val="00AF6C7A"/>
    <w:rsid w:val="00B22516"/>
    <w:rsid w:val="00B955DC"/>
    <w:rsid w:val="00BA67AB"/>
    <w:rsid w:val="00BD5F63"/>
    <w:rsid w:val="00BE0F5B"/>
    <w:rsid w:val="00C13888"/>
    <w:rsid w:val="00C70A71"/>
    <w:rsid w:val="00C77488"/>
    <w:rsid w:val="00CC149B"/>
    <w:rsid w:val="00CC47E4"/>
    <w:rsid w:val="00CF7341"/>
    <w:rsid w:val="00D065AE"/>
    <w:rsid w:val="00D41076"/>
    <w:rsid w:val="00D67A1C"/>
    <w:rsid w:val="00DC179E"/>
    <w:rsid w:val="00DC5F21"/>
    <w:rsid w:val="00DC6A60"/>
    <w:rsid w:val="00DE6ED0"/>
    <w:rsid w:val="00E216EE"/>
    <w:rsid w:val="00E36D9C"/>
    <w:rsid w:val="00E40A3D"/>
    <w:rsid w:val="00E52438"/>
    <w:rsid w:val="00E61C27"/>
    <w:rsid w:val="00E77CD2"/>
    <w:rsid w:val="00EE644C"/>
    <w:rsid w:val="00F26F4D"/>
    <w:rsid w:val="00F42D28"/>
    <w:rsid w:val="00F8579E"/>
    <w:rsid w:val="00FB1245"/>
    <w:rsid w:val="00FB2ED9"/>
    <w:rsid w:val="00F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62F"/>
    <w:pPr>
      <w:pBdr>
        <w:top w:val="single" w:sz="12" w:space="1" w:color="0070C0"/>
        <w:bottom w:val="single" w:sz="12" w:space="1" w:color="0070C0"/>
      </w:pBdr>
      <w:spacing w:before="480"/>
      <w:outlineLvl w:val="0"/>
    </w:pPr>
    <w:rPr>
      <w:rFonts w:ascii="Arial" w:eastAsiaTheme="majorEastAsia" w:hAnsi="Arial" w:cstheme="majorBidi"/>
      <w:b/>
      <w:color w:val="0072C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2F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color w:val="0072CE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3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438"/>
  </w:style>
  <w:style w:type="paragraph" w:styleId="Footer">
    <w:name w:val="footer"/>
    <w:basedOn w:val="Normal"/>
    <w:link w:val="FooterChar"/>
    <w:uiPriority w:val="99"/>
    <w:unhideWhenUsed/>
    <w:rsid w:val="001B3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38"/>
  </w:style>
  <w:style w:type="paragraph" w:styleId="BalloonText">
    <w:name w:val="Balloon Text"/>
    <w:basedOn w:val="Normal"/>
    <w:link w:val="BalloonTextChar"/>
    <w:uiPriority w:val="99"/>
    <w:semiHidden/>
    <w:unhideWhenUsed/>
    <w:rsid w:val="001B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562F"/>
    <w:rPr>
      <w:rFonts w:ascii="Arial" w:eastAsiaTheme="majorEastAsia" w:hAnsi="Arial" w:cstheme="majorBidi"/>
      <w:b/>
      <w:color w:val="0072CE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562F"/>
    <w:rPr>
      <w:rFonts w:ascii="Arial" w:eastAsiaTheme="majorEastAsia" w:hAnsi="Arial" w:cstheme="majorBidi"/>
      <w:bCs/>
      <w:color w:val="0072CE"/>
      <w:sz w:val="32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43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B34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4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B34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62F"/>
    <w:pPr>
      <w:ind w:left="720"/>
      <w:contextualSpacing/>
    </w:pPr>
  </w:style>
  <w:style w:type="paragraph" w:styleId="NoSpacing">
    <w:name w:val="No Spacing"/>
    <w:uiPriority w:val="1"/>
    <w:qFormat/>
    <w:rsid w:val="0013562F"/>
    <w:pPr>
      <w:spacing w:after="0" w:line="240" w:lineRule="auto"/>
    </w:pPr>
  </w:style>
  <w:style w:type="table" w:styleId="TableGrid">
    <w:name w:val="Table Grid"/>
    <w:basedOn w:val="TableNormal"/>
    <w:uiPriority w:val="59"/>
    <w:rsid w:val="00AA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413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A67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5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2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62F"/>
    <w:pPr>
      <w:pBdr>
        <w:top w:val="single" w:sz="12" w:space="1" w:color="0070C0"/>
        <w:bottom w:val="single" w:sz="12" w:space="1" w:color="0070C0"/>
      </w:pBdr>
      <w:spacing w:before="480"/>
      <w:outlineLvl w:val="0"/>
    </w:pPr>
    <w:rPr>
      <w:rFonts w:ascii="Arial" w:eastAsiaTheme="majorEastAsia" w:hAnsi="Arial" w:cstheme="majorBidi"/>
      <w:b/>
      <w:color w:val="0072C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2F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color w:val="0072CE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3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438"/>
  </w:style>
  <w:style w:type="paragraph" w:styleId="Footer">
    <w:name w:val="footer"/>
    <w:basedOn w:val="Normal"/>
    <w:link w:val="FooterChar"/>
    <w:uiPriority w:val="99"/>
    <w:unhideWhenUsed/>
    <w:rsid w:val="001B3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38"/>
  </w:style>
  <w:style w:type="paragraph" w:styleId="BalloonText">
    <w:name w:val="Balloon Text"/>
    <w:basedOn w:val="Normal"/>
    <w:link w:val="BalloonTextChar"/>
    <w:uiPriority w:val="99"/>
    <w:semiHidden/>
    <w:unhideWhenUsed/>
    <w:rsid w:val="001B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562F"/>
    <w:rPr>
      <w:rFonts w:ascii="Arial" w:eastAsiaTheme="majorEastAsia" w:hAnsi="Arial" w:cstheme="majorBidi"/>
      <w:b/>
      <w:color w:val="0072CE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562F"/>
    <w:rPr>
      <w:rFonts w:ascii="Arial" w:eastAsiaTheme="majorEastAsia" w:hAnsi="Arial" w:cstheme="majorBidi"/>
      <w:bCs/>
      <w:color w:val="0072CE"/>
      <w:sz w:val="32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43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B34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4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B34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62F"/>
    <w:pPr>
      <w:ind w:left="720"/>
      <w:contextualSpacing/>
    </w:pPr>
  </w:style>
  <w:style w:type="paragraph" w:styleId="NoSpacing">
    <w:name w:val="No Spacing"/>
    <w:uiPriority w:val="1"/>
    <w:qFormat/>
    <w:rsid w:val="0013562F"/>
    <w:pPr>
      <w:spacing w:after="0" w:line="240" w:lineRule="auto"/>
    </w:pPr>
  </w:style>
  <w:style w:type="table" w:styleId="TableGrid">
    <w:name w:val="Table Grid"/>
    <w:basedOn w:val="TableNormal"/>
    <w:uiPriority w:val="59"/>
    <w:rsid w:val="00AA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413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A67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5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gland.nhs.uk/2016/03/leaders-confirmed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gland.nhs.uk/wp-content/uploads/2016/02/stp-footprints-march-201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hsbsa.ophthalmicinsight@nhs.ne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6C6E-010A-4087-BA57-FBB59CFD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Rob</dc:creator>
  <cp:lastModifiedBy>Haynes, Rob</cp:lastModifiedBy>
  <cp:revision>6</cp:revision>
  <dcterms:created xsi:type="dcterms:W3CDTF">2020-02-06T19:10:00Z</dcterms:created>
  <dcterms:modified xsi:type="dcterms:W3CDTF">2020-02-11T08:43:00Z</dcterms:modified>
</cp:coreProperties>
</file>