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0B9B" w14:textId="532B8C3A" w:rsidR="00661D9E" w:rsidRPr="00823556" w:rsidRDefault="00660AC5" w:rsidP="00716889">
      <w:pPr>
        <w:pStyle w:val="Heading1"/>
        <w:rPr>
          <w:sz w:val="36"/>
          <w:szCs w:val="36"/>
        </w:rPr>
      </w:pPr>
      <w:r>
        <w:rPr>
          <w:sz w:val="36"/>
          <w:szCs w:val="36"/>
        </w:rPr>
        <w:t>Appliance Use Review claims</w:t>
      </w:r>
      <w:r w:rsidR="00716889" w:rsidRPr="00823556">
        <w:rPr>
          <w:sz w:val="36"/>
          <w:szCs w:val="36"/>
        </w:rPr>
        <w:t xml:space="preserve"> </w:t>
      </w:r>
    </w:p>
    <w:p w14:paraId="3284FCE5" w14:textId="0BDBDF14" w:rsidR="00716889" w:rsidRPr="00716889" w:rsidRDefault="00661D9E" w:rsidP="00716889">
      <w:pPr>
        <w:pStyle w:val="Heading1"/>
      </w:pPr>
      <w:r>
        <w:t xml:space="preserve">A guide </w:t>
      </w:r>
      <w:r w:rsidR="00716889">
        <w:t xml:space="preserve">for pharmacy contractors </w:t>
      </w:r>
    </w:p>
    <w:p w14:paraId="32E6BAA1" w14:textId="77777777" w:rsidR="00716889" w:rsidRPr="00716889" w:rsidRDefault="00716889" w:rsidP="00716889">
      <w:pPr>
        <w:rPr>
          <w:rFonts w:cs="Arial"/>
        </w:rPr>
      </w:pPr>
    </w:p>
    <w:p w14:paraId="79DCACD2" w14:textId="02677447" w:rsidR="00660AC5" w:rsidRDefault="00660AC5" w:rsidP="00716889">
      <w:pPr>
        <w:rPr>
          <w:rFonts w:cs="Arial"/>
        </w:rPr>
      </w:pPr>
      <w:r>
        <w:rPr>
          <w:rFonts w:cs="Arial"/>
        </w:rPr>
        <w:t>Did you know we can help you with your claims for Appliance Use Reviews (AURs)? We’ve put together some guidance to help you with:</w:t>
      </w:r>
    </w:p>
    <w:p w14:paraId="0B561189" w14:textId="77777777" w:rsidR="00596DAF" w:rsidRDefault="00113EA9" w:rsidP="00596DAF">
      <w:pPr>
        <w:pStyle w:val="ListParagraph"/>
        <w:numPr>
          <w:ilvl w:val="0"/>
          <w:numId w:val="25"/>
        </w:numPr>
      </w:pPr>
      <w:hyperlink w:anchor="_Registering_to_conduct" w:history="1">
        <w:r w:rsidR="00660AC5" w:rsidRPr="00596DAF">
          <w:rPr>
            <w:rStyle w:val="Hyperlink"/>
          </w:rPr>
          <w:t>Registering to conduct AURs</w:t>
        </w:r>
      </w:hyperlink>
    </w:p>
    <w:p w14:paraId="1974B2B7" w14:textId="77777777" w:rsidR="00596DAF" w:rsidRDefault="00113EA9" w:rsidP="00596DAF">
      <w:pPr>
        <w:pStyle w:val="ListParagraph"/>
        <w:numPr>
          <w:ilvl w:val="0"/>
          <w:numId w:val="25"/>
        </w:numPr>
      </w:pPr>
      <w:hyperlink w:anchor="_Requirements_for_providing" w:history="1">
        <w:r w:rsidR="00660AC5" w:rsidRPr="00596DAF">
          <w:rPr>
            <w:rStyle w:val="Hyperlink"/>
          </w:rPr>
          <w:t>Requirements for providing an AUR</w:t>
        </w:r>
      </w:hyperlink>
    </w:p>
    <w:p w14:paraId="31254883" w14:textId="77777777" w:rsidR="00596DAF" w:rsidRDefault="00113EA9" w:rsidP="00596DAF">
      <w:pPr>
        <w:pStyle w:val="ListParagraph"/>
        <w:numPr>
          <w:ilvl w:val="0"/>
          <w:numId w:val="25"/>
        </w:numPr>
      </w:pPr>
      <w:hyperlink w:anchor="_When_to_claim" w:history="1">
        <w:r w:rsidR="00660AC5" w:rsidRPr="00596DAF">
          <w:rPr>
            <w:rStyle w:val="Hyperlink"/>
          </w:rPr>
          <w:t>When to claim for an AUR</w:t>
        </w:r>
      </w:hyperlink>
    </w:p>
    <w:p w14:paraId="72A2D581" w14:textId="77777777" w:rsidR="00596DAF" w:rsidRDefault="00113EA9" w:rsidP="00596DAF">
      <w:pPr>
        <w:pStyle w:val="ListParagraph"/>
        <w:numPr>
          <w:ilvl w:val="0"/>
          <w:numId w:val="25"/>
        </w:numPr>
      </w:pPr>
      <w:hyperlink w:anchor="_What_appliances_are" w:history="1">
        <w:r w:rsidR="00660AC5" w:rsidRPr="00596DAF">
          <w:rPr>
            <w:rStyle w:val="Hyperlink"/>
          </w:rPr>
          <w:t>What appliances are eligible for an AUR?</w:t>
        </w:r>
      </w:hyperlink>
    </w:p>
    <w:p w14:paraId="2977B2A9" w14:textId="17F37A2D" w:rsidR="00596DAF" w:rsidRDefault="00113EA9" w:rsidP="00596DAF">
      <w:pPr>
        <w:pStyle w:val="ListParagraph"/>
        <w:numPr>
          <w:ilvl w:val="0"/>
          <w:numId w:val="25"/>
        </w:numPr>
      </w:pPr>
      <w:hyperlink w:anchor="_How_much_can" w:history="1">
        <w:r w:rsidR="00660AC5" w:rsidRPr="00596DAF">
          <w:rPr>
            <w:rStyle w:val="Hyperlink"/>
          </w:rPr>
          <w:t>How much can I claim for an AUR?</w:t>
        </w:r>
      </w:hyperlink>
    </w:p>
    <w:p w14:paraId="00BD25DD" w14:textId="67783CFE" w:rsidR="00596DAF" w:rsidRPr="00596DAF" w:rsidRDefault="00113EA9" w:rsidP="00596DAF">
      <w:pPr>
        <w:pStyle w:val="ListParagraph"/>
        <w:numPr>
          <w:ilvl w:val="0"/>
          <w:numId w:val="25"/>
        </w:numPr>
      </w:pPr>
      <w:hyperlink w:anchor="_Support" w:history="1">
        <w:r w:rsidR="00596DAF" w:rsidRPr="00596DAF">
          <w:rPr>
            <w:rStyle w:val="Hyperlink"/>
          </w:rPr>
          <w:t>Support</w:t>
        </w:r>
      </w:hyperlink>
    </w:p>
    <w:p w14:paraId="657C55F0" w14:textId="77777777" w:rsidR="00716889" w:rsidRPr="00716889" w:rsidRDefault="00716889" w:rsidP="00716889">
      <w:pPr>
        <w:rPr>
          <w:rFonts w:cs="Arial"/>
        </w:rPr>
      </w:pPr>
    </w:p>
    <w:p w14:paraId="6DF9D2FE" w14:textId="73DDBF98" w:rsidR="00716889" w:rsidRDefault="00660AC5" w:rsidP="00716889">
      <w:pPr>
        <w:pStyle w:val="Heading2"/>
      </w:pPr>
      <w:bookmarkStart w:id="0" w:name="_Registering_to_conduct"/>
      <w:bookmarkEnd w:id="0"/>
      <w:r>
        <w:t>Registering to conduct AURs</w:t>
      </w:r>
    </w:p>
    <w:p w14:paraId="1F6BA464" w14:textId="2A6A0E0C" w:rsidR="00660AC5" w:rsidRPr="00660AC5" w:rsidRDefault="00660AC5" w:rsidP="00660AC5">
      <w:r w:rsidRPr="00660AC5">
        <w:t xml:space="preserve">Before you can conduct AURs, you must: </w:t>
      </w:r>
    </w:p>
    <w:p w14:paraId="7F8E4380" w14:textId="18FCAD92" w:rsidR="00660AC5" w:rsidRPr="00660AC5" w:rsidRDefault="00660AC5" w:rsidP="00660AC5">
      <w:pPr>
        <w:pStyle w:val="ListParagraph"/>
        <w:numPr>
          <w:ilvl w:val="0"/>
          <w:numId w:val="16"/>
        </w:numPr>
      </w:pPr>
      <w:r w:rsidRPr="00660AC5">
        <w:t xml:space="preserve">fill out an </w:t>
      </w:r>
      <w:hyperlink r:id="rId7" w:history="1">
        <w:r w:rsidRPr="00365EBF">
          <w:rPr>
            <w:rStyle w:val="Hyperlink"/>
          </w:rPr>
          <w:t>Advanced Servi</w:t>
        </w:r>
        <w:r w:rsidRPr="00365EBF">
          <w:rPr>
            <w:rStyle w:val="Hyperlink"/>
          </w:rPr>
          <w:t>c</w:t>
        </w:r>
        <w:r w:rsidRPr="00365EBF">
          <w:rPr>
            <w:rStyle w:val="Hyperlink"/>
          </w:rPr>
          <w:t>es D</w:t>
        </w:r>
        <w:r w:rsidRPr="00365EBF">
          <w:rPr>
            <w:rStyle w:val="Hyperlink"/>
          </w:rPr>
          <w:t>e</w:t>
        </w:r>
        <w:r w:rsidRPr="00365EBF">
          <w:rPr>
            <w:rStyle w:val="Hyperlink"/>
          </w:rPr>
          <w:t>claration Form </w:t>
        </w:r>
      </w:hyperlink>
    </w:p>
    <w:p w14:paraId="0FC08807" w14:textId="77777777" w:rsidR="00660AC5" w:rsidRPr="00660AC5" w:rsidRDefault="00660AC5" w:rsidP="00660AC5">
      <w:pPr>
        <w:pStyle w:val="ListParagraph"/>
        <w:numPr>
          <w:ilvl w:val="0"/>
          <w:numId w:val="16"/>
        </w:numPr>
      </w:pPr>
      <w:r w:rsidRPr="00660AC5">
        <w:t>notify your NHS England and NHS Improvement (NHSEI) regional team.</w:t>
      </w:r>
    </w:p>
    <w:p w14:paraId="682F3833" w14:textId="77777777" w:rsidR="00660AC5" w:rsidRPr="00660AC5" w:rsidRDefault="00660AC5" w:rsidP="00660AC5">
      <w:pPr>
        <w:pStyle w:val="ListParagraph"/>
        <w:numPr>
          <w:ilvl w:val="0"/>
          <w:numId w:val="16"/>
        </w:numPr>
      </w:pPr>
      <w:r w:rsidRPr="00660AC5">
        <w:t>provide NHSEI regional team with details of the pharmacist or specialist nurse who will be performing AURs</w:t>
      </w:r>
    </w:p>
    <w:p w14:paraId="768BFD8D" w14:textId="77777777" w:rsidR="00660AC5" w:rsidRPr="00660AC5" w:rsidRDefault="00660AC5" w:rsidP="00660AC5">
      <w:pPr>
        <w:pStyle w:val="ListParagraph"/>
        <w:numPr>
          <w:ilvl w:val="0"/>
          <w:numId w:val="16"/>
        </w:numPr>
      </w:pPr>
      <w:r w:rsidRPr="00660AC5">
        <w:t>comply with the Terms of Service for Essential Services</w:t>
      </w:r>
    </w:p>
    <w:p w14:paraId="738B022E" w14:textId="77777777" w:rsidR="00660AC5" w:rsidRPr="00660AC5" w:rsidRDefault="00660AC5" w:rsidP="00660AC5">
      <w:pPr>
        <w:pStyle w:val="ListParagraph"/>
        <w:numPr>
          <w:ilvl w:val="0"/>
          <w:numId w:val="16"/>
        </w:numPr>
      </w:pPr>
      <w:r w:rsidRPr="00660AC5">
        <w:t>have a standard operating procedure in place</w:t>
      </w:r>
    </w:p>
    <w:p w14:paraId="36DF9792" w14:textId="5129485F" w:rsidR="00660AC5" w:rsidRDefault="00660AC5" w:rsidP="00660AC5">
      <w:pPr>
        <w:pStyle w:val="ListParagraph"/>
        <w:numPr>
          <w:ilvl w:val="0"/>
          <w:numId w:val="16"/>
        </w:numPr>
      </w:pPr>
      <w:r w:rsidRPr="00660AC5">
        <w:t>have a compliant consultation area</w:t>
      </w:r>
    </w:p>
    <w:p w14:paraId="37CA4E9C" w14:textId="77777777" w:rsidR="00167DCD" w:rsidRPr="00660AC5" w:rsidRDefault="00167DCD" w:rsidP="00167DCD">
      <w:pPr>
        <w:pStyle w:val="ListParagraph"/>
      </w:pPr>
    </w:p>
    <w:p w14:paraId="17C0705F" w14:textId="4C0276DB" w:rsidR="00BD1D4D" w:rsidRPr="00BD1D4D" w:rsidRDefault="00596DAF" w:rsidP="00596DAF">
      <w:pPr>
        <w:pStyle w:val="Heading2"/>
      </w:pPr>
      <w:bookmarkStart w:id="1" w:name="_Requirements_for_providing"/>
      <w:bookmarkEnd w:id="1"/>
      <w:r>
        <w:t>Requirements for providing an AUR</w:t>
      </w:r>
    </w:p>
    <w:p w14:paraId="02BAC2E1" w14:textId="794B51E7" w:rsidR="00596DAF" w:rsidRDefault="00596DAF" w:rsidP="00716889">
      <w:r w:rsidRPr="00596DAF">
        <w:t xml:space="preserve">Once you've successfully registered to conduct AURs, you need to meet certain requirements: </w:t>
      </w:r>
    </w:p>
    <w:p w14:paraId="6959DE93" w14:textId="77777777" w:rsidR="00596DAF" w:rsidRPr="00596DAF" w:rsidRDefault="00596DAF" w:rsidP="00596DAF">
      <w:pPr>
        <w:pStyle w:val="ListParagraph"/>
        <w:numPr>
          <w:ilvl w:val="0"/>
          <w:numId w:val="18"/>
        </w:numPr>
      </w:pPr>
      <w:r w:rsidRPr="00596DAF">
        <w:t xml:space="preserve">The service must be provided, </w:t>
      </w:r>
      <w:proofErr w:type="gramStart"/>
      <w:r w:rsidRPr="00596DAF">
        <w:t>where</w:t>
      </w:r>
      <w:proofErr w:type="gramEnd"/>
      <w:r w:rsidRPr="00596DAF">
        <w:t xml:space="preserve"> reasonably possible, within two working days of the patient requesting a review or agreeing to one.</w:t>
      </w:r>
    </w:p>
    <w:p w14:paraId="37BCA7D6" w14:textId="77777777" w:rsidR="00596DAF" w:rsidRPr="00596DAF" w:rsidRDefault="00596DAF" w:rsidP="00596DAF">
      <w:pPr>
        <w:pStyle w:val="ListParagraph"/>
        <w:numPr>
          <w:ilvl w:val="0"/>
          <w:numId w:val="18"/>
        </w:numPr>
      </w:pPr>
      <w:r w:rsidRPr="00596DAF">
        <w:t>An </w:t>
      </w:r>
      <w:hyperlink r:id="rId8" w:history="1">
        <w:r w:rsidRPr="00596DAF">
          <w:rPr>
            <w:rStyle w:val="Hyperlink"/>
          </w:rPr>
          <w:t>AUR record fo</w:t>
        </w:r>
        <w:r w:rsidRPr="00596DAF">
          <w:rPr>
            <w:rStyle w:val="Hyperlink"/>
          </w:rPr>
          <w:t>r</w:t>
        </w:r>
        <w:r w:rsidRPr="00596DAF">
          <w:rPr>
            <w:rStyle w:val="Hyperlink"/>
          </w:rPr>
          <w:t>m (APPL04)</w:t>
        </w:r>
      </w:hyperlink>
      <w:r w:rsidRPr="00596DAF">
        <w:t xml:space="preserve"> must be completed. </w:t>
      </w:r>
    </w:p>
    <w:p w14:paraId="5B7F8EF0" w14:textId="77777777" w:rsidR="00596DAF" w:rsidRPr="00596DAF" w:rsidRDefault="00596DAF" w:rsidP="00596DAF">
      <w:pPr>
        <w:pStyle w:val="ListParagraph"/>
        <w:numPr>
          <w:ilvl w:val="0"/>
          <w:numId w:val="18"/>
        </w:numPr>
      </w:pPr>
      <w:r w:rsidRPr="00596DAF">
        <w:t>You must inform the patient in writing that there will be a record of the AUR. In addition, this information needs to be shared with the patient's GP and any nurse practising with the GP who is providing relevant primary medical services to the patient (if applicable). </w:t>
      </w:r>
    </w:p>
    <w:p w14:paraId="479B70FE" w14:textId="77777777" w:rsidR="00596DAF" w:rsidRPr="00596DAF" w:rsidRDefault="00596DAF" w:rsidP="00596DAF">
      <w:pPr>
        <w:pStyle w:val="ListParagraph"/>
        <w:numPr>
          <w:ilvl w:val="0"/>
          <w:numId w:val="18"/>
        </w:numPr>
      </w:pPr>
      <w:r w:rsidRPr="00596DAF">
        <w:t>Keep a record of the AUR for at least 12 months or longer depending on the requirements of your NHSEI regional team.</w:t>
      </w:r>
    </w:p>
    <w:p w14:paraId="02E03287" w14:textId="646CC78D" w:rsidR="00596DAF" w:rsidRPr="00596DAF" w:rsidRDefault="00596DAF" w:rsidP="00716889">
      <w:pPr>
        <w:pStyle w:val="ListParagraph"/>
        <w:numPr>
          <w:ilvl w:val="0"/>
          <w:numId w:val="18"/>
        </w:numPr>
      </w:pPr>
      <w:r w:rsidRPr="00596DAF">
        <w:t>Declare the number of AURs carried out each month on the FP34C submission form.</w:t>
      </w:r>
    </w:p>
    <w:p w14:paraId="6BB336A3" w14:textId="4B3111E8" w:rsidR="00596DAF" w:rsidRDefault="00596DAF" w:rsidP="00596DAF">
      <w:pPr>
        <w:pStyle w:val="Heading2"/>
      </w:pPr>
      <w:bookmarkStart w:id="2" w:name="_When_to_claim"/>
      <w:bookmarkEnd w:id="2"/>
      <w:r>
        <w:lastRenderedPageBreak/>
        <w:t>When to claim for an AUR</w:t>
      </w:r>
    </w:p>
    <w:p w14:paraId="092B8888" w14:textId="36894A71" w:rsidR="00596DAF" w:rsidRDefault="00596DAF" w:rsidP="00596DAF">
      <w:r w:rsidRPr="00596DAF">
        <w:t xml:space="preserve">In line with </w:t>
      </w:r>
      <w:hyperlink r:id="rId9" w:tgtFrame="_blank" w:history="1">
        <w:r w:rsidRPr="00596DAF">
          <w:rPr>
            <w:rStyle w:val="Hyperlink"/>
          </w:rPr>
          <w:t>Drug Tariff Part V</w:t>
        </w:r>
        <w:r w:rsidRPr="00596DAF">
          <w:rPr>
            <w:rStyle w:val="Hyperlink"/>
          </w:rPr>
          <w:t>I</w:t>
        </w:r>
        <w:r w:rsidRPr="00596DAF">
          <w:rPr>
            <w:rStyle w:val="Hyperlink"/>
          </w:rPr>
          <w:t>C clause 13</w:t>
        </w:r>
      </w:hyperlink>
      <w:r w:rsidRPr="00596DAF">
        <w:t xml:space="preserve">, pharmacy contractors and Dispensing Appliance Contractors (DACs) can submit a claim for one AUR for every 35 Part IXA (qualifying items), Part IXB and Part IXC prescription items dispensed in a financial year. To submit a claim for an AUR: </w:t>
      </w:r>
    </w:p>
    <w:p w14:paraId="5F54D85F" w14:textId="77777777" w:rsidR="00596DAF" w:rsidRPr="00596DAF" w:rsidRDefault="00596DAF" w:rsidP="00596DAF">
      <w:pPr>
        <w:pStyle w:val="ListParagraph"/>
        <w:numPr>
          <w:ilvl w:val="0"/>
          <w:numId w:val="20"/>
        </w:numPr>
      </w:pPr>
      <w:r w:rsidRPr="00596DAF">
        <w:t>A pharmacist or specialist nurse needs to complete the AUR in the pharmacy, in a consultation room on the DACs premises or at the patient's home.</w:t>
      </w:r>
    </w:p>
    <w:p w14:paraId="5AF797D4" w14:textId="77777777" w:rsidR="00596DAF" w:rsidRPr="00596DAF" w:rsidRDefault="00596DAF" w:rsidP="00596DAF">
      <w:pPr>
        <w:pStyle w:val="ListParagraph"/>
        <w:numPr>
          <w:ilvl w:val="0"/>
          <w:numId w:val="20"/>
        </w:numPr>
      </w:pPr>
      <w:r w:rsidRPr="00596DAF">
        <w:t>The pharmacist or specialist nurse should complete the AUR to improve the patient's knowledge and understanding of their specified appliance, and to help them use their appliance effectively.</w:t>
      </w:r>
    </w:p>
    <w:p w14:paraId="4BF9B0A9" w14:textId="6736984D" w:rsidR="00596DAF" w:rsidRDefault="00596DAF" w:rsidP="00596DAF">
      <w:pPr>
        <w:pStyle w:val="ListParagraph"/>
        <w:numPr>
          <w:ilvl w:val="0"/>
          <w:numId w:val="20"/>
        </w:numPr>
      </w:pPr>
      <w:r w:rsidRPr="00596DAF">
        <w:t xml:space="preserve">The patient's specified appliance must be listed in Part IXA, Part IXB or Part IXC of the </w:t>
      </w:r>
      <w:hyperlink r:id="rId10" w:tgtFrame="_blank" w:history="1">
        <w:r w:rsidRPr="00596DAF">
          <w:rPr>
            <w:rStyle w:val="Hyperlink"/>
          </w:rPr>
          <w:t>D</w:t>
        </w:r>
        <w:r w:rsidRPr="00596DAF">
          <w:rPr>
            <w:rStyle w:val="Hyperlink"/>
          </w:rPr>
          <w:t>r</w:t>
        </w:r>
        <w:r w:rsidRPr="00596DAF">
          <w:rPr>
            <w:rStyle w:val="Hyperlink"/>
          </w:rPr>
          <w:t>ug Tariff</w:t>
        </w:r>
      </w:hyperlink>
      <w:r w:rsidRPr="00596DAF">
        <w:t>.</w:t>
      </w:r>
    </w:p>
    <w:p w14:paraId="347DB5D0" w14:textId="77777777" w:rsidR="00167DCD" w:rsidRPr="00596DAF" w:rsidRDefault="00167DCD" w:rsidP="00167DCD">
      <w:pPr>
        <w:pStyle w:val="ListParagraph"/>
      </w:pPr>
    </w:p>
    <w:p w14:paraId="15D0D7BA" w14:textId="4890F850" w:rsidR="00596DAF" w:rsidRDefault="00596DAF" w:rsidP="00596DAF">
      <w:pPr>
        <w:pStyle w:val="Heading2"/>
      </w:pPr>
      <w:bookmarkStart w:id="3" w:name="_What_appliances_are"/>
      <w:bookmarkEnd w:id="3"/>
      <w:r>
        <w:t>What appliances are eligible for an AUR?</w:t>
      </w:r>
    </w:p>
    <w:p w14:paraId="7AF4D9DD" w14:textId="77777777" w:rsidR="00596DAF" w:rsidRPr="00596DAF" w:rsidRDefault="00596DAF" w:rsidP="00596DAF">
      <w:r w:rsidRPr="00596DAF">
        <w:t xml:space="preserve">To carry out an AUR, the patient's specified appliance must be listed in Part IXA, Part IXB or Part IXC of the </w:t>
      </w:r>
      <w:hyperlink r:id="rId11" w:tgtFrame="_blank" w:history="1">
        <w:r w:rsidRPr="00596DAF">
          <w:rPr>
            <w:rStyle w:val="Hyperlink"/>
          </w:rPr>
          <w:t>Dru</w:t>
        </w:r>
        <w:r w:rsidRPr="00596DAF">
          <w:rPr>
            <w:rStyle w:val="Hyperlink"/>
          </w:rPr>
          <w:t>g</w:t>
        </w:r>
        <w:r w:rsidRPr="00596DAF">
          <w:rPr>
            <w:rStyle w:val="Hyperlink"/>
          </w:rPr>
          <w:t xml:space="preserve"> Tariff</w:t>
        </w:r>
      </w:hyperlink>
      <w:r w:rsidRPr="00596DAF">
        <w:t>. Specified appliances include:</w:t>
      </w:r>
    </w:p>
    <w:p w14:paraId="20805890" w14:textId="77777777" w:rsidR="00596DAF" w:rsidRPr="00596DAF" w:rsidRDefault="00596DAF" w:rsidP="00596DAF">
      <w:r w:rsidRPr="00596DAF">
        <w:t xml:space="preserve">1. Any of the appliances listed in Part IXA of the </w:t>
      </w:r>
      <w:hyperlink r:id="rId12" w:history="1">
        <w:r w:rsidRPr="00596DAF">
          <w:rPr>
            <w:rStyle w:val="Hyperlink"/>
          </w:rPr>
          <w:t>Drug</w:t>
        </w:r>
        <w:r w:rsidRPr="00596DAF">
          <w:rPr>
            <w:rStyle w:val="Hyperlink"/>
          </w:rPr>
          <w:t xml:space="preserve"> </w:t>
        </w:r>
        <w:r w:rsidRPr="00596DAF">
          <w:rPr>
            <w:rStyle w:val="Hyperlink"/>
          </w:rPr>
          <w:t>Tariff</w:t>
        </w:r>
      </w:hyperlink>
      <w:r w:rsidRPr="00596DAF">
        <w:t xml:space="preserve">: </w:t>
      </w:r>
    </w:p>
    <w:p w14:paraId="76D24794" w14:textId="77777777" w:rsidR="00596DAF" w:rsidRPr="00596DAF" w:rsidRDefault="00596DAF" w:rsidP="00596DAF">
      <w:pPr>
        <w:pStyle w:val="ListParagraph"/>
        <w:numPr>
          <w:ilvl w:val="0"/>
          <w:numId w:val="22"/>
        </w:numPr>
      </w:pPr>
      <w:r w:rsidRPr="00596DAF">
        <w:t>a catheter appliance (including a catheter accessory or maintenance solution</w:t>
      </w:r>
    </w:p>
    <w:p w14:paraId="7C10EC9A" w14:textId="77777777" w:rsidR="00596DAF" w:rsidRPr="00596DAF" w:rsidRDefault="00596DAF" w:rsidP="00596DAF">
      <w:pPr>
        <w:pStyle w:val="ListParagraph"/>
        <w:numPr>
          <w:ilvl w:val="0"/>
          <w:numId w:val="22"/>
        </w:numPr>
      </w:pPr>
      <w:r w:rsidRPr="00596DAF">
        <w:t>a laryngectomy or tracheostomy appliance</w:t>
      </w:r>
    </w:p>
    <w:p w14:paraId="3051C941" w14:textId="77777777" w:rsidR="00596DAF" w:rsidRPr="00596DAF" w:rsidRDefault="00596DAF" w:rsidP="00596DAF">
      <w:pPr>
        <w:pStyle w:val="ListParagraph"/>
        <w:numPr>
          <w:ilvl w:val="0"/>
          <w:numId w:val="22"/>
        </w:numPr>
      </w:pPr>
      <w:r w:rsidRPr="00596DAF">
        <w:t>an anal irrigation system</w:t>
      </w:r>
    </w:p>
    <w:p w14:paraId="4CA29F73" w14:textId="77777777" w:rsidR="00596DAF" w:rsidRPr="00596DAF" w:rsidRDefault="00596DAF" w:rsidP="00596DAF">
      <w:pPr>
        <w:pStyle w:val="ListParagraph"/>
        <w:numPr>
          <w:ilvl w:val="0"/>
          <w:numId w:val="22"/>
        </w:numPr>
      </w:pPr>
      <w:r w:rsidRPr="00596DAF">
        <w:t>a vacuum pump or constrictor ring for erectile dysfunction</w:t>
      </w:r>
    </w:p>
    <w:p w14:paraId="15CBDAA4" w14:textId="77777777" w:rsidR="00596DAF" w:rsidRPr="00596DAF" w:rsidRDefault="00596DAF" w:rsidP="00596DAF">
      <w:pPr>
        <w:pStyle w:val="ListParagraph"/>
        <w:numPr>
          <w:ilvl w:val="0"/>
          <w:numId w:val="22"/>
        </w:numPr>
      </w:pPr>
      <w:r w:rsidRPr="00596DAF">
        <w:t xml:space="preserve">a wound drainage </w:t>
      </w:r>
      <w:proofErr w:type="gramStart"/>
      <w:r w:rsidRPr="00596DAF">
        <w:t>pouch</w:t>
      </w:r>
      <w:proofErr w:type="gramEnd"/>
    </w:p>
    <w:p w14:paraId="0BE54DCF" w14:textId="55B4BF5B" w:rsidR="00596DAF" w:rsidRDefault="00596DAF" w:rsidP="00596DAF">
      <w:r w:rsidRPr="00596DAF">
        <w:t xml:space="preserve">2. An incontinence appliance listed in Part IXB of the </w:t>
      </w:r>
      <w:hyperlink r:id="rId13" w:history="1">
        <w:r w:rsidRPr="00596DAF">
          <w:rPr>
            <w:rStyle w:val="Hyperlink"/>
          </w:rPr>
          <w:t>Drug Ta</w:t>
        </w:r>
        <w:r w:rsidRPr="00596DAF">
          <w:rPr>
            <w:rStyle w:val="Hyperlink"/>
          </w:rPr>
          <w:t>r</w:t>
        </w:r>
        <w:r w:rsidRPr="00596DAF">
          <w:rPr>
            <w:rStyle w:val="Hyperlink"/>
          </w:rPr>
          <w:t>iff</w:t>
        </w:r>
      </w:hyperlink>
      <w:r w:rsidRPr="00596DAF">
        <w:t>.</w:t>
      </w:r>
      <w:r w:rsidRPr="00596DAF">
        <w:br/>
      </w:r>
      <w:r w:rsidRPr="00596DAF">
        <w:br/>
        <w:t xml:space="preserve">3. A stoma appliance listed in Part IXC of the </w:t>
      </w:r>
      <w:hyperlink r:id="rId14" w:history="1">
        <w:r w:rsidRPr="00596DAF">
          <w:rPr>
            <w:rStyle w:val="Hyperlink"/>
          </w:rPr>
          <w:t>Dru</w:t>
        </w:r>
        <w:r w:rsidRPr="00596DAF">
          <w:rPr>
            <w:rStyle w:val="Hyperlink"/>
          </w:rPr>
          <w:t>g</w:t>
        </w:r>
        <w:r w:rsidRPr="00596DAF">
          <w:rPr>
            <w:rStyle w:val="Hyperlink"/>
          </w:rPr>
          <w:t xml:space="preserve"> Tariff</w:t>
        </w:r>
      </w:hyperlink>
      <w:r w:rsidRPr="00596DAF">
        <w:t>.</w:t>
      </w:r>
    </w:p>
    <w:p w14:paraId="121DFB40" w14:textId="77777777" w:rsidR="00167DCD" w:rsidRPr="00596DAF" w:rsidRDefault="00167DCD" w:rsidP="00596DAF"/>
    <w:p w14:paraId="7BEC0361" w14:textId="77777777" w:rsidR="00596DAF" w:rsidRDefault="00596DAF" w:rsidP="00596DAF">
      <w:pPr>
        <w:pStyle w:val="Heading2"/>
        <w:rPr>
          <w:rFonts w:eastAsia="Times New Roman"/>
        </w:rPr>
      </w:pPr>
      <w:bookmarkStart w:id="4" w:name="_How_much_can"/>
      <w:bookmarkEnd w:id="4"/>
      <w:r>
        <w:rPr>
          <w:rFonts w:eastAsia="Times New Roman"/>
        </w:rPr>
        <w:t>How much can I claim for an AUR?</w:t>
      </w:r>
    </w:p>
    <w:p w14:paraId="41FD9789" w14:textId="77777777" w:rsidR="00596DAF" w:rsidRDefault="00596DAF" w:rsidP="00596DAF">
      <w:r>
        <w:t xml:space="preserve">The amount you can claim depends on the setting you complete the AUR in: </w:t>
      </w:r>
    </w:p>
    <w:p w14:paraId="38AB31BF" w14:textId="10252395" w:rsidR="00596DAF" w:rsidRDefault="00596DAF" w:rsidP="00596DAF">
      <w:pPr>
        <w:pStyle w:val="ListParagraph"/>
        <w:numPr>
          <w:ilvl w:val="0"/>
          <w:numId w:val="24"/>
        </w:numPr>
      </w:pPr>
      <w:r>
        <w:t>a fee of £28 is payable for each AUR conducted at the pharmacy or DAC premises</w:t>
      </w:r>
    </w:p>
    <w:p w14:paraId="1AA03119" w14:textId="7BD2B5C3" w:rsidR="00596DAF" w:rsidRDefault="00596DAF" w:rsidP="00596DAF">
      <w:pPr>
        <w:pStyle w:val="ListParagraph"/>
        <w:numPr>
          <w:ilvl w:val="0"/>
          <w:numId w:val="24"/>
        </w:numPr>
      </w:pPr>
      <w:r>
        <w:t>a fee of £54 is payable for a review conducted at the patient’s home</w:t>
      </w:r>
    </w:p>
    <w:p w14:paraId="06BB2089" w14:textId="52FA3157" w:rsidR="00BD1D4D" w:rsidRDefault="00596DAF" w:rsidP="00596DAF">
      <w:r>
        <w:t xml:space="preserve">However, if these reviews are conducted for several patients living at the same location within a </w:t>
      </w:r>
      <w:r w:rsidR="00365EBF">
        <w:t>24-hour</w:t>
      </w:r>
      <w:r>
        <w:t xml:space="preserve"> </w:t>
      </w:r>
      <w:proofErr w:type="gramStart"/>
      <w:r>
        <w:t>time period</w:t>
      </w:r>
      <w:proofErr w:type="gramEnd"/>
      <w:r>
        <w:t>, a fee of £54 is payable for the initial review and £28 is payable for each subsequent review performed at the same premises.</w:t>
      </w:r>
    </w:p>
    <w:p w14:paraId="6295208D" w14:textId="77777777" w:rsidR="00167DCD" w:rsidRPr="00596DAF" w:rsidRDefault="00167DCD" w:rsidP="00596DAF"/>
    <w:p w14:paraId="7871F292" w14:textId="60DC83DA" w:rsidR="00716889" w:rsidRPr="00716889" w:rsidRDefault="00716889" w:rsidP="00716889">
      <w:pPr>
        <w:pStyle w:val="Heading2"/>
      </w:pPr>
      <w:bookmarkStart w:id="5" w:name="_Support"/>
      <w:bookmarkEnd w:id="5"/>
      <w:r w:rsidRPr="00716889">
        <w:t>Support</w:t>
      </w:r>
    </w:p>
    <w:p w14:paraId="67E47DC7" w14:textId="7C602DFE" w:rsidR="00716889" w:rsidRPr="00716889" w:rsidRDefault="00716889" w:rsidP="00716889">
      <w:pPr>
        <w:rPr>
          <w:rFonts w:cs="Arial"/>
        </w:rPr>
      </w:pPr>
      <w:r w:rsidRPr="00716889">
        <w:rPr>
          <w:rFonts w:cs="Arial"/>
        </w:rPr>
        <w:t xml:space="preserve">For further help and support with claiming for </w:t>
      </w:r>
      <w:r w:rsidR="00596DAF">
        <w:rPr>
          <w:rFonts w:cs="Arial"/>
        </w:rPr>
        <w:t>AURs</w:t>
      </w:r>
      <w:r w:rsidRPr="00716889">
        <w:rPr>
          <w:rFonts w:cs="Arial"/>
        </w:rPr>
        <w:t xml:space="preserve">, contact us at nhsbsa.pharmacysupport@nhs.net. </w:t>
      </w:r>
    </w:p>
    <w:p w14:paraId="43BA2577" w14:textId="77777777" w:rsidR="00716889" w:rsidRPr="00716889" w:rsidRDefault="00716889" w:rsidP="00716889">
      <w:pPr>
        <w:rPr>
          <w:rFonts w:cs="Arial"/>
        </w:rPr>
      </w:pPr>
    </w:p>
    <w:p w14:paraId="573C2ED4" w14:textId="77777777" w:rsidR="00716889" w:rsidRPr="00716889" w:rsidRDefault="00716889" w:rsidP="00716889">
      <w:pPr>
        <w:rPr>
          <w:rFonts w:cs="Arial"/>
        </w:rPr>
      </w:pPr>
    </w:p>
    <w:p w14:paraId="4E8F0934" w14:textId="77777777" w:rsidR="006B6F85" w:rsidRPr="00716889" w:rsidRDefault="006B6F85">
      <w:pPr>
        <w:rPr>
          <w:rFonts w:cs="Arial"/>
        </w:rPr>
      </w:pPr>
    </w:p>
    <w:sectPr w:rsidR="006B6F85" w:rsidRPr="00716889" w:rsidSect="00716889">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CE00" w14:textId="77777777" w:rsidR="00113EA9" w:rsidRDefault="00113EA9" w:rsidP="00716889">
      <w:pPr>
        <w:spacing w:after="0" w:line="240" w:lineRule="auto"/>
      </w:pPr>
      <w:r>
        <w:separator/>
      </w:r>
    </w:p>
  </w:endnote>
  <w:endnote w:type="continuationSeparator" w:id="0">
    <w:p w14:paraId="2247B273" w14:textId="77777777" w:rsidR="00113EA9" w:rsidRDefault="00113EA9" w:rsidP="0071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3D45" w14:textId="77777777" w:rsidR="00113EA9" w:rsidRDefault="00113EA9" w:rsidP="00716889">
      <w:pPr>
        <w:spacing w:after="0" w:line="240" w:lineRule="auto"/>
      </w:pPr>
      <w:r>
        <w:separator/>
      </w:r>
    </w:p>
  </w:footnote>
  <w:footnote w:type="continuationSeparator" w:id="0">
    <w:p w14:paraId="0B539C0B" w14:textId="77777777" w:rsidR="00113EA9" w:rsidRDefault="00113EA9" w:rsidP="0071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A1A8" w14:textId="61A3C768" w:rsidR="00716889" w:rsidRDefault="00716889">
    <w:pPr>
      <w:pStyle w:val="Header"/>
    </w:pPr>
  </w:p>
  <w:p w14:paraId="247280D2" w14:textId="77777777" w:rsidR="00716889" w:rsidRDefault="00716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D50E" w14:textId="66EF2DEF" w:rsidR="00716889" w:rsidRDefault="00716889">
    <w:pPr>
      <w:pStyle w:val="Header"/>
    </w:pPr>
    <w:r>
      <w:rPr>
        <w:noProof/>
        <w:lang w:eastAsia="en-GB"/>
      </w:rPr>
      <w:drawing>
        <wp:anchor distT="0" distB="0" distL="114300" distR="114300" simplePos="0" relativeHeight="251659264" behindDoc="0" locked="0" layoutInCell="1" allowOverlap="1" wp14:anchorId="00C20A43" wp14:editId="3BB28577">
          <wp:simplePos x="0" y="0"/>
          <wp:positionH relativeFrom="page">
            <wp:align>left</wp:align>
          </wp:positionH>
          <wp:positionV relativeFrom="page">
            <wp:posOffset>35069</wp:posOffset>
          </wp:positionV>
          <wp:extent cx="7595870" cy="1630045"/>
          <wp:effectExtent l="0" t="0" r="508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 - Mailchi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630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5C3"/>
    <w:multiLevelType w:val="hybridMultilevel"/>
    <w:tmpl w:val="3664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31B"/>
    <w:multiLevelType w:val="hybridMultilevel"/>
    <w:tmpl w:val="D06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01C6"/>
    <w:multiLevelType w:val="hybridMultilevel"/>
    <w:tmpl w:val="949A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637EC"/>
    <w:multiLevelType w:val="hybridMultilevel"/>
    <w:tmpl w:val="53266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774BE"/>
    <w:multiLevelType w:val="multilevel"/>
    <w:tmpl w:val="F2B6E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B5D30"/>
    <w:multiLevelType w:val="hybridMultilevel"/>
    <w:tmpl w:val="A8D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25455"/>
    <w:multiLevelType w:val="hybridMultilevel"/>
    <w:tmpl w:val="2B3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34294"/>
    <w:multiLevelType w:val="hybridMultilevel"/>
    <w:tmpl w:val="BB4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675BD"/>
    <w:multiLevelType w:val="hybridMultilevel"/>
    <w:tmpl w:val="46B02920"/>
    <w:lvl w:ilvl="0" w:tplc="046E6C1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405941"/>
    <w:multiLevelType w:val="hybridMultilevel"/>
    <w:tmpl w:val="CD467A9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306D9"/>
    <w:multiLevelType w:val="hybridMultilevel"/>
    <w:tmpl w:val="B3D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1129A"/>
    <w:multiLevelType w:val="hybridMultilevel"/>
    <w:tmpl w:val="9764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535ED"/>
    <w:multiLevelType w:val="multilevel"/>
    <w:tmpl w:val="1A7ED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56031F"/>
    <w:multiLevelType w:val="hybridMultilevel"/>
    <w:tmpl w:val="F9D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11AAF"/>
    <w:multiLevelType w:val="multilevel"/>
    <w:tmpl w:val="D91A3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76F71"/>
    <w:multiLevelType w:val="hybridMultilevel"/>
    <w:tmpl w:val="095A1676"/>
    <w:lvl w:ilvl="0" w:tplc="046E6C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12FFE"/>
    <w:multiLevelType w:val="hybridMultilevel"/>
    <w:tmpl w:val="A49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10C09"/>
    <w:multiLevelType w:val="hybridMultilevel"/>
    <w:tmpl w:val="DBD2A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472FC"/>
    <w:multiLevelType w:val="multilevel"/>
    <w:tmpl w:val="108C2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454159"/>
    <w:multiLevelType w:val="hybridMultilevel"/>
    <w:tmpl w:val="01F8FF8A"/>
    <w:lvl w:ilvl="0" w:tplc="046E6C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B6B88"/>
    <w:multiLevelType w:val="hybridMultilevel"/>
    <w:tmpl w:val="21E2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276B2"/>
    <w:multiLevelType w:val="multilevel"/>
    <w:tmpl w:val="A7B8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8203631"/>
    <w:multiLevelType w:val="hybridMultilevel"/>
    <w:tmpl w:val="57B2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50C52"/>
    <w:multiLevelType w:val="hybridMultilevel"/>
    <w:tmpl w:val="D16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02463"/>
    <w:multiLevelType w:val="hybridMultilevel"/>
    <w:tmpl w:val="571E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6"/>
  </w:num>
  <w:num w:numId="5">
    <w:abstractNumId w:val="22"/>
  </w:num>
  <w:num w:numId="6">
    <w:abstractNumId w:val="7"/>
  </w:num>
  <w:num w:numId="7">
    <w:abstractNumId w:val="19"/>
  </w:num>
  <w:num w:numId="8">
    <w:abstractNumId w:val="8"/>
  </w:num>
  <w:num w:numId="9">
    <w:abstractNumId w:val="15"/>
  </w:num>
  <w:num w:numId="10">
    <w:abstractNumId w:val="9"/>
  </w:num>
  <w:num w:numId="11">
    <w:abstractNumId w:val="13"/>
  </w:num>
  <w:num w:numId="12">
    <w:abstractNumId w:val="5"/>
  </w:num>
  <w:num w:numId="13">
    <w:abstractNumId w:val="0"/>
  </w:num>
  <w:num w:numId="14">
    <w:abstractNumId w:val="23"/>
  </w:num>
  <w:num w:numId="15">
    <w:abstractNumId w:val="4"/>
  </w:num>
  <w:num w:numId="16">
    <w:abstractNumId w:val="2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2"/>
  </w:num>
  <w:num w:numId="23">
    <w:abstractNumId w:val="1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89"/>
    <w:rsid w:val="000A148C"/>
    <w:rsid w:val="00113EA9"/>
    <w:rsid w:val="00167DCD"/>
    <w:rsid w:val="00365EBF"/>
    <w:rsid w:val="004E2C0D"/>
    <w:rsid w:val="00596DAF"/>
    <w:rsid w:val="00660AC5"/>
    <w:rsid w:val="00661D9E"/>
    <w:rsid w:val="006B6F85"/>
    <w:rsid w:val="00716889"/>
    <w:rsid w:val="00823556"/>
    <w:rsid w:val="0091341D"/>
    <w:rsid w:val="009A1E8C"/>
    <w:rsid w:val="00BD1D4D"/>
    <w:rsid w:val="00D21006"/>
    <w:rsid w:val="00D47527"/>
    <w:rsid w:val="00FE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B58"/>
  <w15:chartTrackingRefBased/>
  <w15:docId w15:val="{F3B663DF-67E8-47E0-8B49-3D1996F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C5"/>
    <w:rPr>
      <w:rFonts w:ascii="Arial" w:hAnsi="Arial"/>
    </w:rPr>
  </w:style>
  <w:style w:type="paragraph" w:styleId="Heading1">
    <w:name w:val="heading 1"/>
    <w:basedOn w:val="Normal"/>
    <w:next w:val="Normal"/>
    <w:link w:val="Heading1Char"/>
    <w:uiPriority w:val="9"/>
    <w:qFormat/>
    <w:rsid w:val="00716889"/>
    <w:pPr>
      <w:keepNext/>
      <w:keepLines/>
      <w:spacing w:before="240" w:after="0"/>
      <w:outlineLvl w:val="0"/>
    </w:pPr>
    <w:rPr>
      <w:rFonts w:eastAsiaTheme="majorEastAsia" w:cstheme="majorBidi"/>
      <w:b/>
      <w:color w:val="005EB8"/>
      <w:sz w:val="32"/>
      <w:szCs w:val="32"/>
    </w:rPr>
  </w:style>
  <w:style w:type="paragraph" w:styleId="Heading2">
    <w:name w:val="heading 2"/>
    <w:basedOn w:val="Normal"/>
    <w:next w:val="Normal"/>
    <w:link w:val="Heading2Char"/>
    <w:uiPriority w:val="9"/>
    <w:unhideWhenUsed/>
    <w:qFormat/>
    <w:rsid w:val="00716889"/>
    <w:pPr>
      <w:keepNext/>
      <w:keepLines/>
      <w:spacing w:before="40" w:after="0"/>
      <w:outlineLvl w:val="1"/>
    </w:pPr>
    <w:rPr>
      <w:rFonts w:eastAsiaTheme="majorEastAsia" w:cstheme="majorBidi"/>
      <w:b/>
      <w:color w:val="005EB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889"/>
  </w:style>
  <w:style w:type="paragraph" w:styleId="Footer">
    <w:name w:val="footer"/>
    <w:basedOn w:val="Normal"/>
    <w:link w:val="FooterChar"/>
    <w:uiPriority w:val="99"/>
    <w:unhideWhenUsed/>
    <w:rsid w:val="00716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889"/>
  </w:style>
  <w:style w:type="character" w:customStyle="1" w:styleId="Heading1Char">
    <w:name w:val="Heading 1 Char"/>
    <w:basedOn w:val="DefaultParagraphFont"/>
    <w:link w:val="Heading1"/>
    <w:uiPriority w:val="9"/>
    <w:rsid w:val="00716889"/>
    <w:rPr>
      <w:rFonts w:ascii="Arial" w:eastAsiaTheme="majorEastAsia" w:hAnsi="Arial" w:cstheme="majorBidi"/>
      <w:b/>
      <w:color w:val="005EB8"/>
      <w:sz w:val="32"/>
      <w:szCs w:val="32"/>
    </w:rPr>
  </w:style>
  <w:style w:type="character" w:customStyle="1" w:styleId="Heading2Char">
    <w:name w:val="Heading 2 Char"/>
    <w:basedOn w:val="DefaultParagraphFont"/>
    <w:link w:val="Heading2"/>
    <w:uiPriority w:val="9"/>
    <w:rsid w:val="00716889"/>
    <w:rPr>
      <w:rFonts w:ascii="Arial" w:eastAsiaTheme="majorEastAsia" w:hAnsi="Arial" w:cstheme="majorBidi"/>
      <w:b/>
      <w:color w:val="005EB8"/>
      <w:sz w:val="28"/>
      <w:szCs w:val="26"/>
    </w:rPr>
  </w:style>
  <w:style w:type="character" w:styleId="Hyperlink">
    <w:name w:val="Hyperlink"/>
    <w:basedOn w:val="DefaultParagraphFont"/>
    <w:uiPriority w:val="99"/>
    <w:unhideWhenUsed/>
    <w:rsid w:val="00716889"/>
    <w:rPr>
      <w:color w:val="0563C1" w:themeColor="hyperlink"/>
      <w:u w:val="single"/>
    </w:rPr>
  </w:style>
  <w:style w:type="character" w:styleId="UnresolvedMention">
    <w:name w:val="Unresolved Mention"/>
    <w:basedOn w:val="DefaultParagraphFont"/>
    <w:uiPriority w:val="99"/>
    <w:semiHidden/>
    <w:unhideWhenUsed/>
    <w:rsid w:val="00716889"/>
    <w:rPr>
      <w:color w:val="605E5C"/>
      <w:shd w:val="clear" w:color="auto" w:fill="E1DFDD"/>
    </w:rPr>
  </w:style>
  <w:style w:type="character" w:styleId="CommentReference">
    <w:name w:val="annotation reference"/>
    <w:basedOn w:val="DefaultParagraphFont"/>
    <w:uiPriority w:val="99"/>
    <w:semiHidden/>
    <w:unhideWhenUsed/>
    <w:rsid w:val="00716889"/>
    <w:rPr>
      <w:sz w:val="16"/>
      <w:szCs w:val="16"/>
    </w:rPr>
  </w:style>
  <w:style w:type="paragraph" w:styleId="CommentText">
    <w:name w:val="annotation text"/>
    <w:basedOn w:val="Normal"/>
    <w:link w:val="CommentTextChar"/>
    <w:uiPriority w:val="99"/>
    <w:semiHidden/>
    <w:unhideWhenUsed/>
    <w:rsid w:val="00716889"/>
    <w:pPr>
      <w:spacing w:line="240" w:lineRule="auto"/>
    </w:pPr>
    <w:rPr>
      <w:sz w:val="20"/>
      <w:szCs w:val="20"/>
    </w:rPr>
  </w:style>
  <w:style w:type="character" w:customStyle="1" w:styleId="CommentTextChar">
    <w:name w:val="Comment Text Char"/>
    <w:basedOn w:val="DefaultParagraphFont"/>
    <w:link w:val="CommentText"/>
    <w:uiPriority w:val="99"/>
    <w:semiHidden/>
    <w:rsid w:val="00716889"/>
    <w:rPr>
      <w:sz w:val="20"/>
      <w:szCs w:val="20"/>
    </w:rPr>
  </w:style>
  <w:style w:type="paragraph" w:styleId="CommentSubject">
    <w:name w:val="annotation subject"/>
    <w:basedOn w:val="CommentText"/>
    <w:next w:val="CommentText"/>
    <w:link w:val="CommentSubjectChar"/>
    <w:uiPriority w:val="99"/>
    <w:semiHidden/>
    <w:unhideWhenUsed/>
    <w:rsid w:val="00716889"/>
    <w:rPr>
      <w:b/>
      <w:bCs/>
    </w:rPr>
  </w:style>
  <w:style w:type="character" w:customStyle="1" w:styleId="CommentSubjectChar">
    <w:name w:val="Comment Subject Char"/>
    <w:basedOn w:val="CommentTextChar"/>
    <w:link w:val="CommentSubject"/>
    <w:uiPriority w:val="99"/>
    <w:semiHidden/>
    <w:rsid w:val="00716889"/>
    <w:rPr>
      <w:b/>
      <w:bCs/>
      <w:sz w:val="20"/>
      <w:szCs w:val="20"/>
    </w:rPr>
  </w:style>
  <w:style w:type="paragraph" w:styleId="ListParagraph">
    <w:name w:val="List Paragraph"/>
    <w:basedOn w:val="Normal"/>
    <w:uiPriority w:val="34"/>
    <w:qFormat/>
    <w:rsid w:val="00716889"/>
    <w:pPr>
      <w:ind w:left="720"/>
      <w:contextualSpacing/>
    </w:pPr>
  </w:style>
  <w:style w:type="character" w:styleId="FollowedHyperlink">
    <w:name w:val="FollowedHyperlink"/>
    <w:basedOn w:val="DefaultParagraphFont"/>
    <w:uiPriority w:val="99"/>
    <w:semiHidden/>
    <w:unhideWhenUsed/>
    <w:rsid w:val="00365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5981">
      <w:bodyDiv w:val="1"/>
      <w:marLeft w:val="0"/>
      <w:marRight w:val="0"/>
      <w:marTop w:val="0"/>
      <w:marBottom w:val="0"/>
      <w:divBdr>
        <w:top w:val="none" w:sz="0" w:space="0" w:color="auto"/>
        <w:left w:val="none" w:sz="0" w:space="0" w:color="auto"/>
        <w:bottom w:val="none" w:sz="0" w:space="0" w:color="auto"/>
        <w:right w:val="none" w:sz="0" w:space="0" w:color="auto"/>
      </w:divBdr>
    </w:div>
    <w:div w:id="1147554233">
      <w:bodyDiv w:val="1"/>
      <w:marLeft w:val="0"/>
      <w:marRight w:val="0"/>
      <w:marTop w:val="0"/>
      <w:marBottom w:val="0"/>
      <w:divBdr>
        <w:top w:val="none" w:sz="0" w:space="0" w:color="auto"/>
        <w:left w:val="none" w:sz="0" w:space="0" w:color="auto"/>
        <w:bottom w:val="none" w:sz="0" w:space="0" w:color="auto"/>
        <w:right w:val="none" w:sz="0" w:space="0" w:color="auto"/>
      </w:divBdr>
    </w:div>
    <w:div w:id="1183860058">
      <w:bodyDiv w:val="1"/>
      <w:marLeft w:val="0"/>
      <w:marRight w:val="0"/>
      <w:marTop w:val="0"/>
      <w:marBottom w:val="0"/>
      <w:divBdr>
        <w:top w:val="none" w:sz="0" w:space="0" w:color="auto"/>
        <w:left w:val="none" w:sz="0" w:space="0" w:color="auto"/>
        <w:bottom w:val="none" w:sz="0" w:space="0" w:color="auto"/>
        <w:right w:val="none" w:sz="0" w:space="0" w:color="auto"/>
      </w:divBdr>
    </w:div>
    <w:div w:id="1245802887">
      <w:bodyDiv w:val="1"/>
      <w:marLeft w:val="0"/>
      <w:marRight w:val="0"/>
      <w:marTop w:val="0"/>
      <w:marBottom w:val="0"/>
      <w:divBdr>
        <w:top w:val="none" w:sz="0" w:space="0" w:color="auto"/>
        <w:left w:val="none" w:sz="0" w:space="0" w:color="auto"/>
        <w:bottom w:val="none" w:sz="0" w:space="0" w:color="auto"/>
        <w:right w:val="none" w:sz="0" w:space="0" w:color="auto"/>
      </w:divBdr>
    </w:div>
    <w:div w:id="1556888615">
      <w:bodyDiv w:val="1"/>
      <w:marLeft w:val="0"/>
      <w:marRight w:val="0"/>
      <w:marTop w:val="0"/>
      <w:marBottom w:val="0"/>
      <w:divBdr>
        <w:top w:val="none" w:sz="0" w:space="0" w:color="auto"/>
        <w:left w:val="none" w:sz="0" w:space="0" w:color="auto"/>
        <w:bottom w:val="none" w:sz="0" w:space="0" w:color="auto"/>
        <w:right w:val="none" w:sz="0" w:space="0" w:color="auto"/>
      </w:divBdr>
    </w:div>
    <w:div w:id="1673679019">
      <w:bodyDiv w:val="1"/>
      <w:marLeft w:val="0"/>
      <w:marRight w:val="0"/>
      <w:marTop w:val="0"/>
      <w:marBottom w:val="0"/>
      <w:divBdr>
        <w:top w:val="none" w:sz="0" w:space="0" w:color="auto"/>
        <w:left w:val="none" w:sz="0" w:space="0" w:color="auto"/>
        <w:bottom w:val="none" w:sz="0" w:space="0" w:color="auto"/>
        <w:right w:val="none" w:sz="0" w:space="0" w:color="auto"/>
      </w:divBdr>
    </w:div>
    <w:div w:id="1759014818">
      <w:bodyDiv w:val="1"/>
      <w:marLeft w:val="0"/>
      <w:marRight w:val="0"/>
      <w:marTop w:val="0"/>
      <w:marBottom w:val="0"/>
      <w:divBdr>
        <w:top w:val="none" w:sz="0" w:space="0" w:color="auto"/>
        <w:left w:val="none" w:sz="0" w:space="0" w:color="auto"/>
        <w:bottom w:val="none" w:sz="0" w:space="0" w:color="auto"/>
        <w:right w:val="none" w:sz="0" w:space="0" w:color="auto"/>
      </w:divBdr>
    </w:div>
    <w:div w:id="19510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wp-content/uploads/2013/07/Form-APPL04-1.doc" TargetMode="External"/><Relationship Id="rId13" Type="http://schemas.openxmlformats.org/officeDocument/2006/relationships/hyperlink" Target="https://www.nhsbsa.nhs.uk/pharmacies-gp-practices-and-appliance-contractors/drug-tariff/drug-tariff-part-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bsa.nhs.uk/pharmacies-gp-practices-and-appliance-contractors/drug-tariff/drug-tariff-part-ix" TargetMode="External"/><Relationship Id="rId12" Type="http://schemas.openxmlformats.org/officeDocument/2006/relationships/hyperlink" Target="https://www.nhsbsa.nhs.uk/pharmacies-gp-practices-and-appliance-contractors/drug-tariff/drug-tariff-part-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bsa.nhs.uk/pharmacies-gp-practices-and-appliance-contractors/drug-tariff" TargetMode="External"/><Relationship Id="rId4" Type="http://schemas.openxmlformats.org/officeDocument/2006/relationships/webSettings" Target="web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hyperlink" Target="https://www.nhsbsa.nhs.uk/pharmacies-gp-practices-and-appliance-contractors/drug-tariff/drug-tariff-part-i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Samantha Murphy</cp:lastModifiedBy>
  <cp:revision>4</cp:revision>
  <dcterms:created xsi:type="dcterms:W3CDTF">2021-05-20T15:01:00Z</dcterms:created>
  <dcterms:modified xsi:type="dcterms:W3CDTF">2021-05-21T11:19:00Z</dcterms:modified>
</cp:coreProperties>
</file>