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0B9B" w14:textId="77777777" w:rsidR="00661D9E" w:rsidRPr="00823556" w:rsidRDefault="00661D9E" w:rsidP="00716889">
      <w:pPr>
        <w:pStyle w:val="Heading1"/>
        <w:rPr>
          <w:sz w:val="36"/>
          <w:szCs w:val="36"/>
        </w:rPr>
      </w:pPr>
      <w:r w:rsidRPr="00823556">
        <w:rPr>
          <w:sz w:val="36"/>
          <w:szCs w:val="36"/>
        </w:rPr>
        <w:t>O</w:t>
      </w:r>
      <w:r w:rsidR="00716889" w:rsidRPr="00823556">
        <w:rPr>
          <w:sz w:val="36"/>
          <w:szCs w:val="36"/>
        </w:rPr>
        <w:t xml:space="preserve">ut of pocket expenses claims </w:t>
      </w:r>
    </w:p>
    <w:p w14:paraId="3284FCE5" w14:textId="0BDBDF14" w:rsidR="00716889" w:rsidRPr="00716889" w:rsidRDefault="00661D9E" w:rsidP="00716889">
      <w:pPr>
        <w:pStyle w:val="Heading1"/>
      </w:pPr>
      <w:r>
        <w:t xml:space="preserve">A guide </w:t>
      </w:r>
      <w:r w:rsidR="00716889">
        <w:t xml:space="preserve">for pharmacy contractors </w:t>
      </w:r>
    </w:p>
    <w:p w14:paraId="32E6BAA1" w14:textId="77777777" w:rsidR="00716889" w:rsidRPr="00716889" w:rsidRDefault="00716889" w:rsidP="00716889">
      <w:pPr>
        <w:rPr>
          <w:rFonts w:ascii="Arial" w:hAnsi="Arial" w:cs="Arial"/>
        </w:rPr>
      </w:pPr>
    </w:p>
    <w:p w14:paraId="064704E9" w14:textId="5B56BC9E" w:rsidR="00716889" w:rsidRPr="00716889" w:rsidRDefault="000A148C" w:rsidP="00716889">
      <w:pPr>
        <w:rPr>
          <w:rFonts w:ascii="Arial" w:hAnsi="Arial" w:cs="Arial"/>
        </w:rPr>
      </w:pPr>
      <w:r>
        <w:rPr>
          <w:rFonts w:ascii="Arial" w:hAnsi="Arial" w:cs="Arial"/>
        </w:rPr>
        <w:t xml:space="preserve">In 2019 </w:t>
      </w:r>
      <w:r w:rsidR="00716889" w:rsidRPr="00716889">
        <w:rPr>
          <w:rFonts w:ascii="Arial" w:hAnsi="Arial" w:cs="Arial"/>
        </w:rPr>
        <w:t>we paid English pharmacies almost £3.5 million in out of pocket (OOP) expenses where the contractor incurred expenses in obtaining eligible products for patients.</w:t>
      </w:r>
    </w:p>
    <w:p w14:paraId="6D94187D" w14:textId="77777777" w:rsidR="00716889" w:rsidRPr="00716889" w:rsidRDefault="00716889" w:rsidP="00716889">
      <w:pPr>
        <w:rPr>
          <w:rFonts w:ascii="Arial" w:hAnsi="Arial" w:cs="Arial"/>
        </w:rPr>
      </w:pPr>
      <w:r w:rsidRPr="00716889">
        <w:rPr>
          <w:rFonts w:ascii="Arial" w:hAnsi="Arial" w:cs="Arial"/>
        </w:rPr>
        <w:t xml:space="preserve">In these unprecedented times, we understand the COVID-19 pandemic is putting additional pressure on contractors. This guide is designed to help you claim for OOP expenses and to highlight best practice. </w:t>
      </w:r>
    </w:p>
    <w:p w14:paraId="657C55F0" w14:textId="77777777" w:rsidR="00716889" w:rsidRPr="00716889" w:rsidRDefault="00716889" w:rsidP="00716889">
      <w:pPr>
        <w:rPr>
          <w:rFonts w:ascii="Arial" w:hAnsi="Arial" w:cs="Arial"/>
        </w:rPr>
      </w:pPr>
    </w:p>
    <w:p w14:paraId="6DF9D2FE" w14:textId="4B0EF456" w:rsidR="00716889" w:rsidRDefault="00716889" w:rsidP="00716889">
      <w:pPr>
        <w:pStyle w:val="Heading2"/>
      </w:pPr>
      <w:r w:rsidRPr="00716889">
        <w:t>What can be claimed as an OOP expense?</w:t>
      </w:r>
    </w:p>
    <w:p w14:paraId="17C0705F" w14:textId="77777777" w:rsidR="00BD1D4D" w:rsidRPr="00BD1D4D" w:rsidRDefault="00BD1D4D" w:rsidP="00BD1D4D"/>
    <w:p w14:paraId="0D2E758E" w14:textId="626CA8B3" w:rsidR="00716889" w:rsidRPr="00716889" w:rsidRDefault="00716889" w:rsidP="00716889">
      <w:pPr>
        <w:rPr>
          <w:rFonts w:ascii="Arial" w:hAnsi="Arial" w:cs="Arial"/>
        </w:rPr>
      </w:pPr>
      <w:r w:rsidRPr="00716889">
        <w:rPr>
          <w:rFonts w:ascii="Arial" w:hAnsi="Arial" w:cs="Arial"/>
        </w:rPr>
        <w:t>OOP expenses can be claimed in exceptional circumstances, where additional expenses have been incurred in obtaining eligible drugs, appliances or chemical reagents.</w:t>
      </w:r>
    </w:p>
    <w:p w14:paraId="746A0DA0" w14:textId="536CABB3" w:rsidR="00716889" w:rsidRPr="00716889" w:rsidRDefault="00716889" w:rsidP="00716889">
      <w:pPr>
        <w:rPr>
          <w:rFonts w:ascii="Arial" w:hAnsi="Arial" w:cs="Arial"/>
        </w:rPr>
      </w:pPr>
      <w:r w:rsidRPr="00716889">
        <w:rPr>
          <w:rFonts w:ascii="Arial" w:hAnsi="Arial" w:cs="Arial"/>
        </w:rPr>
        <w:t xml:space="preserve">As per Part II, Clause 12 of the </w:t>
      </w:r>
      <w:hyperlink r:id="rId7" w:history="1">
        <w:r w:rsidRPr="00716889">
          <w:rPr>
            <w:rStyle w:val="Hyperlink"/>
            <w:rFonts w:ascii="Arial" w:hAnsi="Arial" w:cs="Arial"/>
          </w:rPr>
          <w:t>Drug Tariff</w:t>
        </w:r>
      </w:hyperlink>
      <w:r w:rsidRPr="00716889">
        <w:rPr>
          <w:rFonts w:ascii="Arial" w:hAnsi="Arial" w:cs="Arial"/>
        </w:rPr>
        <w:t>, you should only claim for OOP expenses on items you do not supply frequently.</w:t>
      </w:r>
    </w:p>
    <w:p w14:paraId="598D1A54" w14:textId="2D23A4A4" w:rsidR="00716889" w:rsidRPr="00716889" w:rsidRDefault="00716889" w:rsidP="00716889">
      <w:pPr>
        <w:rPr>
          <w:rFonts w:ascii="Arial" w:hAnsi="Arial" w:cs="Arial"/>
        </w:rPr>
      </w:pPr>
      <w:r w:rsidRPr="00716889">
        <w:rPr>
          <w:rFonts w:ascii="Arial" w:hAnsi="Arial" w:cs="Arial"/>
        </w:rPr>
        <w:t>You should take all reasonable steps to avoid claiming for OOP expenses.</w:t>
      </w:r>
    </w:p>
    <w:p w14:paraId="1537F4DD" w14:textId="77777777" w:rsidR="00716889" w:rsidRPr="00716889" w:rsidRDefault="00716889" w:rsidP="00716889">
      <w:pPr>
        <w:rPr>
          <w:rFonts w:ascii="Arial" w:hAnsi="Arial" w:cs="Arial"/>
        </w:rPr>
      </w:pPr>
      <w:r w:rsidRPr="00716889">
        <w:rPr>
          <w:rFonts w:ascii="Arial" w:hAnsi="Arial" w:cs="Arial"/>
        </w:rPr>
        <w:t>OOP expenses can be claimed for items in the following categories:</w:t>
      </w:r>
    </w:p>
    <w:p w14:paraId="1A1F31EC" w14:textId="326A37AE" w:rsidR="00BD1D4D" w:rsidRPr="00716889" w:rsidRDefault="00BD1D4D" w:rsidP="00716889">
      <w:pPr>
        <w:rPr>
          <w:rFonts w:ascii="Arial" w:hAnsi="Arial" w:cs="Arial"/>
        </w:rPr>
      </w:pPr>
      <w:r w:rsidRPr="00BD1D4D">
        <w:rPr>
          <w:rFonts w:ascii="Arial" w:hAnsi="Arial" w:cs="Arial"/>
          <w:noProof/>
        </w:rPr>
        <mc:AlternateContent>
          <mc:Choice Requires="wps">
            <w:drawing>
              <wp:anchor distT="45720" distB="45720" distL="114300" distR="114300" simplePos="0" relativeHeight="251659264" behindDoc="0" locked="0" layoutInCell="1" allowOverlap="1" wp14:anchorId="4AA6CFE7" wp14:editId="7D666DAF">
                <wp:simplePos x="0" y="0"/>
                <wp:positionH relativeFrom="margin">
                  <wp:align>right</wp:align>
                </wp:positionH>
                <wp:positionV relativeFrom="paragraph">
                  <wp:posOffset>1708785</wp:posOffset>
                </wp:positionV>
                <wp:extent cx="5705475" cy="1404620"/>
                <wp:effectExtent l="19050" t="1905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5B1BC9E7" w14:textId="0C12DA8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35170448" w14:textId="0979CA8F" w:rsidR="00BD1D4D" w:rsidRPr="00BD1D4D" w:rsidRDefault="00BD1D4D">
                            <w:pPr>
                              <w:rPr>
                                <w:rFonts w:ascii="Arial" w:hAnsi="Arial" w:cs="Arial"/>
                              </w:rPr>
                            </w:pPr>
                            <w:r w:rsidRPr="00BD1D4D">
                              <w:rPr>
                                <w:rFonts w:ascii="Arial" w:hAnsi="Arial" w:cs="Arial"/>
                              </w:rPr>
                              <w:t>You can only claim once for an OOP expense to cover the full pack size. If you need to supply a patient with a quantity smaller than the original pack size, you will not be able to claim again for the remainder of the packet when dispensed in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6CFE7" id="_x0000_t202" coordsize="21600,21600" o:spt="202" path="m,l,21600r21600,l21600,xe">
                <v:stroke joinstyle="miter"/>
                <v:path gradientshapeok="t" o:connecttype="rect"/>
              </v:shapetype>
              <v:shape id="Text Box 2" o:spid="_x0000_s1026" type="#_x0000_t202" style="position:absolute;margin-left:398.05pt;margin-top:134.5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" strokecolor="#4472c4 [3204]" strokeweight="2.25pt">
                <v:textbox style="mso-fit-shape-to-text:t">
                  <w:txbxContent>
                    <w:p w14:paraId="5B1BC9E7" w14:textId="0C12DA8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35170448" w14:textId="0979CA8F" w:rsidR="00BD1D4D" w:rsidRPr="00BD1D4D" w:rsidRDefault="00BD1D4D">
                      <w:pPr>
                        <w:rPr>
                          <w:rFonts w:ascii="Arial" w:hAnsi="Arial" w:cs="Arial"/>
                        </w:rPr>
                      </w:pPr>
                      <w:r w:rsidRPr="00BD1D4D">
                        <w:rPr>
                          <w:rFonts w:ascii="Arial" w:hAnsi="Arial" w:cs="Arial"/>
                        </w:rPr>
                        <w:t>You can only claim once for an OOP expense to cover the full pack size. If you need to supply a patient with a quantity smaller than the original pack size, you will not be able to claim again for the remainder of the packet when dispensed in future.</w:t>
                      </w:r>
                    </w:p>
                  </w:txbxContent>
                </v:textbox>
                <w10:wrap type="square" anchorx="margin"/>
              </v:shape>
            </w:pict>
          </mc:Fallback>
        </mc:AlternateContent>
      </w:r>
      <w:r w:rsidR="00716889">
        <w:rPr>
          <w:noProof/>
        </w:rPr>
        <w:drawing>
          <wp:inline distT="0" distB="0" distL="0" distR="0" wp14:anchorId="78D0B966" wp14:editId="4935E731">
            <wp:extent cx="5731510" cy="14992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99235"/>
                    </a:xfrm>
                    <a:prstGeom prst="rect">
                      <a:avLst/>
                    </a:prstGeom>
                    <a:noFill/>
                    <a:ln>
                      <a:noFill/>
                    </a:ln>
                  </pic:spPr>
                </pic:pic>
              </a:graphicData>
            </a:graphic>
          </wp:inline>
        </w:drawing>
      </w:r>
    </w:p>
    <w:p w14:paraId="529641A4" w14:textId="6E52484B" w:rsidR="00BD1D4D" w:rsidRDefault="00BD1D4D" w:rsidP="00716889">
      <w:pPr>
        <w:pStyle w:val="Heading2"/>
      </w:pPr>
    </w:p>
    <w:p w14:paraId="65AC5064" w14:textId="1E9502F1" w:rsidR="00BD1D4D" w:rsidRDefault="00BD1D4D" w:rsidP="00BD1D4D"/>
    <w:p w14:paraId="559E9FA1" w14:textId="77777777" w:rsidR="00BD1D4D" w:rsidRPr="00BD1D4D" w:rsidRDefault="00BD1D4D" w:rsidP="00BD1D4D"/>
    <w:p w14:paraId="6D6C512D" w14:textId="2579F41A" w:rsidR="00716889" w:rsidRDefault="00716889" w:rsidP="00716889">
      <w:pPr>
        <w:pStyle w:val="Heading2"/>
      </w:pPr>
      <w:r w:rsidRPr="00716889">
        <w:lastRenderedPageBreak/>
        <w:t>What costs can be claimed?</w:t>
      </w:r>
    </w:p>
    <w:p w14:paraId="4444FBBA" w14:textId="77777777" w:rsidR="00BD1D4D" w:rsidRPr="00BD1D4D" w:rsidRDefault="00BD1D4D" w:rsidP="00BD1D4D"/>
    <w:p w14:paraId="2CBCFB9D" w14:textId="6B4A43C0" w:rsidR="00716889" w:rsidRPr="00716889" w:rsidRDefault="00716889" w:rsidP="00716889">
      <w:pPr>
        <w:rPr>
          <w:rFonts w:ascii="Arial" w:hAnsi="Arial" w:cs="Arial"/>
        </w:rPr>
      </w:pPr>
      <w:r w:rsidRPr="00716889">
        <w:rPr>
          <w:rFonts w:ascii="Arial" w:hAnsi="Arial" w:cs="Arial"/>
        </w:rPr>
        <w:t xml:space="preserve">Claims for OOP expenses must be for 51p or more. </w:t>
      </w:r>
    </w:p>
    <w:p w14:paraId="16D0E151" w14:textId="77777777" w:rsidR="00716889" w:rsidRDefault="00716889" w:rsidP="00716889">
      <w:pPr>
        <w:rPr>
          <w:rFonts w:ascii="Arial" w:hAnsi="Arial" w:cs="Arial"/>
        </w:rPr>
      </w:pPr>
      <w:r w:rsidRPr="00716889">
        <w:rPr>
          <w:rFonts w:ascii="Arial" w:hAnsi="Arial" w:cs="Arial"/>
        </w:rPr>
        <w:t xml:space="preserve">We recommend you keep suitable evidence to validate the costs incurred during the process of obtaining eligible products and that any charges incurred can be linked to an order for a specific product on a specific prescription. </w:t>
      </w:r>
    </w:p>
    <w:p w14:paraId="4A4C5013" w14:textId="5DD4E20F" w:rsidR="00BD1D4D" w:rsidRDefault="00BD1D4D" w:rsidP="00716889">
      <w:pPr>
        <w:rPr>
          <w:rFonts w:ascii="Arial" w:hAnsi="Arial" w:cs="Arial"/>
        </w:rPr>
      </w:pPr>
      <w:r w:rsidRPr="00BD1D4D">
        <w:rPr>
          <w:rFonts w:ascii="Arial" w:hAnsi="Arial" w:cs="Arial"/>
          <w:noProof/>
        </w:rPr>
        <mc:AlternateContent>
          <mc:Choice Requires="wps">
            <w:drawing>
              <wp:anchor distT="45720" distB="45720" distL="114300" distR="114300" simplePos="0" relativeHeight="251661312" behindDoc="0" locked="0" layoutInCell="1" allowOverlap="1" wp14:anchorId="2AD1FD4F" wp14:editId="22AB2B29">
                <wp:simplePos x="0" y="0"/>
                <wp:positionH relativeFrom="margin">
                  <wp:align>right</wp:align>
                </wp:positionH>
                <wp:positionV relativeFrom="paragraph">
                  <wp:posOffset>572813</wp:posOffset>
                </wp:positionV>
                <wp:extent cx="5705475" cy="1404620"/>
                <wp:effectExtent l="19050" t="1905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4010B316"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5BB33645" w14:textId="2E2F7583" w:rsidR="00BD1D4D" w:rsidRPr="00BD1D4D" w:rsidRDefault="00BD1D4D" w:rsidP="00BD1D4D">
                            <w:pPr>
                              <w:rPr>
                                <w:rFonts w:ascii="Arial" w:hAnsi="Arial" w:cs="Arial"/>
                              </w:rPr>
                            </w:pPr>
                            <w:r w:rsidRPr="00BD1D4D">
                              <w:rPr>
                                <w:rFonts w:ascii="Arial" w:hAnsi="Arial" w:cs="Arial"/>
                              </w:rPr>
                              <w:t>There is no set fee for OOP expenses - your claim must reflect the actual costs incurred from obtaining a particular drug.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D1FD4F" id="_x0000_s1027" type="#_x0000_t202" style="position:absolute;margin-left:398.05pt;margin-top:45.1pt;width:44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" strokecolor="#4472c4 [3204]" strokeweight="2.25pt">
                <v:textbox style="mso-fit-shape-to-text:t">
                  <w:txbxContent>
                    <w:p w14:paraId="4010B316"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5BB33645" w14:textId="2E2F7583" w:rsidR="00BD1D4D" w:rsidRPr="00BD1D4D" w:rsidRDefault="00BD1D4D" w:rsidP="00BD1D4D">
                      <w:pPr>
                        <w:rPr>
                          <w:rFonts w:ascii="Arial" w:hAnsi="Arial" w:cs="Arial"/>
                        </w:rPr>
                      </w:pPr>
                      <w:r w:rsidRPr="00BD1D4D">
                        <w:rPr>
                          <w:rFonts w:ascii="Arial" w:hAnsi="Arial" w:cs="Arial"/>
                        </w:rPr>
                        <w:t>There is no set fee for OOP expenses - your claim must reflect the actual costs incurred from obtaining a particular drug.</w:t>
                      </w:r>
                    </w:p>
                  </w:txbxContent>
                </v:textbox>
                <w10:wrap type="square" anchorx="margin"/>
              </v:shape>
            </w:pict>
          </mc:Fallback>
        </mc:AlternateContent>
      </w:r>
      <w:r w:rsidR="00716889" w:rsidRPr="00716889">
        <w:rPr>
          <w:rFonts w:ascii="Arial" w:hAnsi="Arial" w:cs="Arial"/>
        </w:rPr>
        <w:t xml:space="preserve">You can only make a claim for the actual costs incurred during the process of obtaining specific items to fulfil specific prescriptions. </w:t>
      </w:r>
    </w:p>
    <w:p w14:paraId="26D9BC76" w14:textId="6BDB2F36" w:rsidR="00716889" w:rsidRPr="00716889" w:rsidRDefault="00716889" w:rsidP="00BD1D4D">
      <w:pPr>
        <w:spacing w:after="0"/>
        <w:rPr>
          <w:rFonts w:ascii="Arial" w:hAnsi="Arial" w:cs="Arial"/>
        </w:rPr>
      </w:pPr>
    </w:p>
    <w:p w14:paraId="707D182B" w14:textId="77252055" w:rsidR="00716889" w:rsidRDefault="00716889" w:rsidP="00716889">
      <w:pPr>
        <w:pStyle w:val="Heading2"/>
      </w:pPr>
      <w:r w:rsidRPr="00716889">
        <w:t>Endorsing the prescription</w:t>
      </w:r>
    </w:p>
    <w:p w14:paraId="66566193" w14:textId="77777777" w:rsidR="00823556" w:rsidRPr="00823556" w:rsidRDefault="00823556" w:rsidP="00823556"/>
    <w:p w14:paraId="0A151226" w14:textId="47B846EF" w:rsidR="00716889" w:rsidRPr="00716889" w:rsidRDefault="00716889" w:rsidP="00716889">
      <w:pPr>
        <w:rPr>
          <w:rFonts w:ascii="Arial" w:hAnsi="Arial" w:cs="Arial"/>
        </w:rPr>
      </w:pPr>
      <w:r w:rsidRPr="00716889">
        <w:rPr>
          <w:rFonts w:ascii="Arial" w:hAnsi="Arial" w:cs="Arial"/>
        </w:rPr>
        <w:t>To ensure payment, you must endorse prescriptions with:</w:t>
      </w:r>
    </w:p>
    <w:p w14:paraId="6565FE44" w14:textId="7FAD3082" w:rsidR="00716889" w:rsidRPr="00716889" w:rsidRDefault="00716889" w:rsidP="00716889">
      <w:pPr>
        <w:pStyle w:val="ListParagraph"/>
        <w:numPr>
          <w:ilvl w:val="0"/>
          <w:numId w:val="1"/>
        </w:numPr>
        <w:rPr>
          <w:rFonts w:ascii="Arial" w:hAnsi="Arial" w:cs="Arial"/>
        </w:rPr>
      </w:pPr>
      <w:r w:rsidRPr="00716889">
        <w:rPr>
          <w:rFonts w:ascii="Arial" w:hAnsi="Arial" w:cs="Arial"/>
        </w:rPr>
        <w:t>OOP or XP for paper prescriptions (no alternative endorsements will be accepted)</w:t>
      </w:r>
    </w:p>
    <w:p w14:paraId="14D854F7" w14:textId="465E453C" w:rsidR="00716889" w:rsidRDefault="00716889" w:rsidP="00716889">
      <w:pPr>
        <w:pStyle w:val="ListParagraph"/>
        <w:numPr>
          <w:ilvl w:val="0"/>
          <w:numId w:val="1"/>
        </w:numPr>
        <w:rPr>
          <w:rFonts w:ascii="Arial" w:hAnsi="Arial" w:cs="Arial"/>
        </w:rPr>
      </w:pPr>
      <w:r w:rsidRPr="00716889">
        <w:rPr>
          <w:rFonts w:ascii="Arial" w:hAnsi="Arial" w:cs="Arial"/>
        </w:rPr>
        <w:t>XP for electronic prescription submissions (no alternative endorsements will be accepted)</w:t>
      </w:r>
    </w:p>
    <w:p w14:paraId="3345B55E" w14:textId="43E93462" w:rsidR="00716889" w:rsidRPr="00716889" w:rsidRDefault="00716889" w:rsidP="00716889">
      <w:pPr>
        <w:rPr>
          <w:rFonts w:ascii="Arial" w:hAnsi="Arial" w:cs="Arial"/>
        </w:rPr>
      </w:pPr>
      <w:r>
        <w:rPr>
          <w:noProof/>
        </w:rPr>
        <w:drawing>
          <wp:inline distT="0" distB="0" distL="0" distR="0" wp14:anchorId="3C9F6F56" wp14:editId="325A0E74">
            <wp:extent cx="3959225" cy="206184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225" cy="2061845"/>
                    </a:xfrm>
                    <a:prstGeom prst="rect">
                      <a:avLst/>
                    </a:prstGeom>
                    <a:noFill/>
                    <a:ln>
                      <a:noFill/>
                    </a:ln>
                  </pic:spPr>
                </pic:pic>
              </a:graphicData>
            </a:graphic>
          </wp:inline>
        </w:drawing>
      </w:r>
    </w:p>
    <w:p w14:paraId="2011D090" w14:textId="3E21A6FB" w:rsidR="00716889" w:rsidRPr="00716889" w:rsidRDefault="00716889" w:rsidP="00716889">
      <w:pPr>
        <w:rPr>
          <w:rFonts w:ascii="Arial" w:hAnsi="Arial" w:cs="Arial"/>
        </w:rPr>
      </w:pPr>
    </w:p>
    <w:p w14:paraId="667AE247" w14:textId="6DFFF586" w:rsidR="00716889" w:rsidRPr="00716889" w:rsidRDefault="00716889" w:rsidP="00716889">
      <w:pPr>
        <w:rPr>
          <w:rFonts w:ascii="Arial" w:hAnsi="Arial" w:cs="Arial"/>
        </w:rPr>
      </w:pPr>
      <w:r w:rsidRPr="00716889">
        <w:rPr>
          <w:rFonts w:ascii="Arial" w:hAnsi="Arial" w:cs="Arial"/>
        </w:rPr>
        <w:t>You must also include:</w:t>
      </w:r>
    </w:p>
    <w:p w14:paraId="13479FF4" w14:textId="32EA8FFA" w:rsidR="00716889" w:rsidRPr="00716889" w:rsidRDefault="00716889" w:rsidP="00716889">
      <w:pPr>
        <w:pStyle w:val="ListParagraph"/>
        <w:numPr>
          <w:ilvl w:val="0"/>
          <w:numId w:val="2"/>
        </w:numPr>
        <w:rPr>
          <w:rFonts w:ascii="Arial" w:hAnsi="Arial" w:cs="Arial"/>
        </w:rPr>
      </w:pPr>
      <w:r w:rsidRPr="00716889">
        <w:rPr>
          <w:rFonts w:ascii="Arial" w:hAnsi="Arial" w:cs="Arial"/>
        </w:rPr>
        <w:t>the total amount being claimed</w:t>
      </w:r>
    </w:p>
    <w:p w14:paraId="628A75A1" w14:textId="3D5A5DBB" w:rsidR="00823556" w:rsidRDefault="00716889" w:rsidP="00716889">
      <w:pPr>
        <w:pStyle w:val="ListParagraph"/>
        <w:numPr>
          <w:ilvl w:val="0"/>
          <w:numId w:val="2"/>
        </w:numPr>
        <w:rPr>
          <w:rFonts w:ascii="Arial" w:hAnsi="Arial" w:cs="Arial"/>
        </w:rPr>
      </w:pPr>
      <w:r w:rsidRPr="00716889">
        <w:rPr>
          <w:rFonts w:ascii="Arial" w:hAnsi="Arial" w:cs="Arial"/>
        </w:rPr>
        <w:t>details of the claim being made (for example, postage and packaging)</w:t>
      </w:r>
    </w:p>
    <w:p w14:paraId="29E761EF" w14:textId="68F566C9" w:rsidR="00823556" w:rsidRPr="00823556" w:rsidRDefault="00823556" w:rsidP="00823556">
      <w:pPr>
        <w:rPr>
          <w:rFonts w:ascii="Arial" w:hAnsi="Arial" w:cs="Arial"/>
        </w:rPr>
      </w:pPr>
      <w:r>
        <w:rPr>
          <w:rFonts w:ascii="Arial" w:hAnsi="Arial" w:cs="Arial"/>
        </w:rPr>
        <w:t>Y</w:t>
      </w:r>
      <w:r w:rsidRPr="00823556">
        <w:rPr>
          <w:rFonts w:ascii="Arial" w:hAnsi="Arial" w:cs="Arial"/>
        </w:rPr>
        <w:t>ou must endorse the prescription correctly to ensure your claim is valid. We are unable to pay for claims that are incorrectly endorsed.</w:t>
      </w:r>
    </w:p>
    <w:p w14:paraId="4ECAA819" w14:textId="4DAEF0AF" w:rsidR="00823556" w:rsidRPr="00823556" w:rsidRDefault="00823556" w:rsidP="00823556">
      <w:pPr>
        <w:rPr>
          <w:rFonts w:ascii="Arial" w:hAnsi="Arial" w:cs="Arial"/>
        </w:rPr>
      </w:pPr>
    </w:p>
    <w:p w14:paraId="268AD4AD" w14:textId="71F0B550" w:rsidR="00823556" w:rsidRPr="00823556" w:rsidRDefault="00823556" w:rsidP="00716889">
      <w:pPr>
        <w:rPr>
          <w:rFonts w:ascii="Arial" w:hAnsi="Arial" w:cs="Arial"/>
        </w:rPr>
      </w:pPr>
      <w:r w:rsidRPr="00BD1D4D">
        <w:rPr>
          <w:noProof/>
        </w:rPr>
        <w:lastRenderedPageBreak/>
        <mc:AlternateContent>
          <mc:Choice Requires="wps">
            <w:drawing>
              <wp:anchor distT="45720" distB="45720" distL="114300" distR="114300" simplePos="0" relativeHeight="251663360" behindDoc="0" locked="0" layoutInCell="1" allowOverlap="1" wp14:anchorId="3F5571D5" wp14:editId="276390E3">
                <wp:simplePos x="0" y="0"/>
                <wp:positionH relativeFrom="margin">
                  <wp:align>right</wp:align>
                </wp:positionH>
                <wp:positionV relativeFrom="paragraph">
                  <wp:posOffset>438</wp:posOffset>
                </wp:positionV>
                <wp:extent cx="5705475" cy="1404620"/>
                <wp:effectExtent l="19050" t="1905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2AFD76BE"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58C12E9D" w14:textId="45323A8E" w:rsidR="00BD1D4D" w:rsidRPr="00BD1D4D" w:rsidRDefault="00BD1D4D" w:rsidP="00BD1D4D">
                            <w:pPr>
                              <w:rPr>
                                <w:rFonts w:ascii="Arial" w:hAnsi="Arial" w:cs="Arial"/>
                              </w:rPr>
                            </w:pPr>
                            <w:r w:rsidRPr="00BD1D4D">
                              <w:rPr>
                                <w:rFonts w:ascii="Arial" w:hAnsi="Arial" w:cs="Arial"/>
                              </w:rPr>
                              <w:t xml:space="preserve">If there are multiple items on the prescription and some or all incurred the same expense, only one OOP expense endorsement is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571D5" id="_x0000_s1028" type="#_x0000_t202" style="position:absolute;margin-left:398.05pt;margin-top:.05pt;width:449.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" strokecolor="#4472c4 [3204]" strokeweight="2.25pt">
                <v:textbox style="mso-fit-shape-to-text:t">
                  <w:txbxContent>
                    <w:p w14:paraId="2AFD76BE"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58C12E9D" w14:textId="45323A8E" w:rsidR="00BD1D4D" w:rsidRPr="00BD1D4D" w:rsidRDefault="00BD1D4D" w:rsidP="00BD1D4D">
                      <w:pPr>
                        <w:rPr>
                          <w:rFonts w:ascii="Arial" w:hAnsi="Arial" w:cs="Arial"/>
                        </w:rPr>
                      </w:pPr>
                      <w:r w:rsidRPr="00BD1D4D">
                        <w:rPr>
                          <w:rFonts w:ascii="Arial" w:hAnsi="Arial" w:cs="Arial"/>
                        </w:rPr>
                        <w:t xml:space="preserve">If there are multiple items on the prescription and some or all incurred the same expense, only one OOP expense endorsement is required. </w:t>
                      </w:r>
                    </w:p>
                  </w:txbxContent>
                </v:textbox>
                <w10:wrap type="square" anchorx="margin"/>
              </v:shape>
            </w:pict>
          </mc:Fallback>
        </mc:AlternateContent>
      </w:r>
    </w:p>
    <w:p w14:paraId="265AC3BA" w14:textId="07B97CAD" w:rsidR="00716889" w:rsidRPr="00716889" w:rsidRDefault="00D21006" w:rsidP="00716889">
      <w:pPr>
        <w:rPr>
          <w:rFonts w:ascii="Arial" w:hAnsi="Arial" w:cs="Arial"/>
        </w:rPr>
      </w:pPr>
      <w:hyperlink r:id="rId10" w:history="1">
        <w:r w:rsidR="00716889" w:rsidRPr="00716889">
          <w:rPr>
            <w:rStyle w:val="Hyperlink"/>
            <w:rFonts w:ascii="Arial" w:hAnsi="Arial" w:cs="Arial"/>
          </w:rPr>
          <w:t>Further guidance on endorsing is available on our website</w:t>
        </w:r>
      </w:hyperlink>
      <w:r w:rsidR="00716889" w:rsidRPr="00716889">
        <w:rPr>
          <w:rFonts w:ascii="Arial" w:hAnsi="Arial" w:cs="Arial"/>
        </w:rPr>
        <w:t>.</w:t>
      </w:r>
    </w:p>
    <w:p w14:paraId="03138925" w14:textId="22E6749B" w:rsidR="00716889" w:rsidRPr="00716889" w:rsidRDefault="00716889" w:rsidP="00716889">
      <w:pPr>
        <w:rPr>
          <w:rFonts w:ascii="Arial" w:hAnsi="Arial" w:cs="Arial"/>
        </w:rPr>
      </w:pPr>
      <w:r w:rsidRPr="00716889">
        <w:rPr>
          <w:rFonts w:ascii="Arial" w:hAnsi="Arial" w:cs="Arial"/>
        </w:rPr>
        <w:t>For more information on fees and endorsing, please see the PSNC website:</w:t>
      </w:r>
    </w:p>
    <w:p w14:paraId="1F810A5D" w14:textId="1F8FBF83" w:rsidR="00716889" w:rsidRPr="00716889" w:rsidRDefault="00D21006" w:rsidP="00716889">
      <w:pPr>
        <w:pStyle w:val="ListParagraph"/>
        <w:numPr>
          <w:ilvl w:val="0"/>
          <w:numId w:val="3"/>
        </w:numPr>
        <w:rPr>
          <w:rFonts w:ascii="Arial" w:hAnsi="Arial" w:cs="Arial"/>
        </w:rPr>
      </w:pPr>
      <w:hyperlink r:id="rId11" w:history="1">
        <w:r w:rsidR="00716889" w:rsidRPr="00716889">
          <w:rPr>
            <w:rStyle w:val="Hyperlink"/>
            <w:rFonts w:ascii="Arial" w:hAnsi="Arial" w:cs="Arial"/>
          </w:rPr>
          <w:t>fees and allowances</w:t>
        </w:r>
      </w:hyperlink>
    </w:p>
    <w:p w14:paraId="6101C8FC" w14:textId="17D65231" w:rsidR="00716889" w:rsidRPr="00716889" w:rsidRDefault="00D21006" w:rsidP="00716889">
      <w:pPr>
        <w:pStyle w:val="ListParagraph"/>
        <w:numPr>
          <w:ilvl w:val="0"/>
          <w:numId w:val="3"/>
        </w:numPr>
        <w:rPr>
          <w:rFonts w:ascii="Arial" w:hAnsi="Arial" w:cs="Arial"/>
        </w:rPr>
      </w:pPr>
      <w:hyperlink r:id="rId12" w:history="1">
        <w:r w:rsidR="00716889" w:rsidRPr="00716889">
          <w:rPr>
            <w:rStyle w:val="Hyperlink"/>
            <w:rFonts w:ascii="Arial" w:hAnsi="Arial" w:cs="Arial"/>
          </w:rPr>
          <w:t>endorsement guidance</w:t>
        </w:r>
      </w:hyperlink>
    </w:p>
    <w:p w14:paraId="1C8850ED" w14:textId="77777777" w:rsidR="00716889" w:rsidRPr="00716889" w:rsidRDefault="00716889" w:rsidP="00716889">
      <w:pPr>
        <w:rPr>
          <w:rFonts w:ascii="Arial" w:hAnsi="Arial" w:cs="Arial"/>
        </w:rPr>
      </w:pPr>
    </w:p>
    <w:p w14:paraId="349564B9" w14:textId="77777777" w:rsidR="00716889" w:rsidRPr="00716889" w:rsidRDefault="00716889" w:rsidP="00716889">
      <w:pPr>
        <w:pStyle w:val="Heading2"/>
      </w:pPr>
      <w:r w:rsidRPr="00716889">
        <w:t>Sorting and submission</w:t>
      </w:r>
    </w:p>
    <w:p w14:paraId="1327FA61" w14:textId="77777777" w:rsidR="00BD1D4D" w:rsidRDefault="00BD1D4D" w:rsidP="00716889">
      <w:pPr>
        <w:rPr>
          <w:rFonts w:ascii="Arial" w:hAnsi="Arial" w:cs="Arial"/>
        </w:rPr>
      </w:pPr>
    </w:p>
    <w:p w14:paraId="34472540" w14:textId="3CD6AFED" w:rsidR="00716889" w:rsidRPr="00716889" w:rsidRDefault="00716889" w:rsidP="00716889">
      <w:pPr>
        <w:rPr>
          <w:rFonts w:ascii="Arial" w:hAnsi="Arial" w:cs="Arial"/>
        </w:rPr>
      </w:pPr>
      <w:r w:rsidRPr="00716889">
        <w:rPr>
          <w:rFonts w:ascii="Arial" w:hAnsi="Arial" w:cs="Arial"/>
        </w:rPr>
        <w:t xml:space="preserve">Paper prescription forms with OOP expense claims need to be separated and placed in the red separator before submission. If you do not do this, your OOP expenses claim might not be paid. </w:t>
      </w:r>
    </w:p>
    <w:p w14:paraId="286CD6B4" w14:textId="79FAB186" w:rsidR="00716889" w:rsidRPr="00716889" w:rsidRDefault="00716889" w:rsidP="00716889">
      <w:pPr>
        <w:rPr>
          <w:rFonts w:ascii="Arial" w:hAnsi="Arial" w:cs="Arial"/>
        </w:rPr>
      </w:pPr>
      <w:r>
        <w:rPr>
          <w:noProof/>
        </w:rPr>
        <w:drawing>
          <wp:inline distT="0" distB="0" distL="0" distR="0" wp14:anchorId="7AAF36D9" wp14:editId="135E467A">
            <wp:extent cx="1639019" cy="1639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2547" cy="1652547"/>
                    </a:xfrm>
                    <a:prstGeom prst="rect">
                      <a:avLst/>
                    </a:prstGeom>
                    <a:noFill/>
                    <a:ln>
                      <a:noFill/>
                    </a:ln>
                  </pic:spPr>
                </pic:pic>
              </a:graphicData>
            </a:graphic>
          </wp:inline>
        </w:drawing>
      </w:r>
    </w:p>
    <w:p w14:paraId="727571AF" w14:textId="77777777" w:rsidR="00716889" w:rsidRPr="00716889" w:rsidRDefault="00716889" w:rsidP="00716889">
      <w:pPr>
        <w:rPr>
          <w:rFonts w:ascii="Arial" w:hAnsi="Arial" w:cs="Arial"/>
        </w:rPr>
      </w:pPr>
      <w:r w:rsidRPr="00716889">
        <w:rPr>
          <w:rFonts w:ascii="Arial" w:hAnsi="Arial" w:cs="Arial"/>
        </w:rPr>
        <w:t>Guidance on how to sort your prescription batch is available on:</w:t>
      </w:r>
    </w:p>
    <w:p w14:paraId="1E972C8E" w14:textId="0C58C94E" w:rsidR="00716889" w:rsidRPr="00716889" w:rsidRDefault="00D21006" w:rsidP="00716889">
      <w:pPr>
        <w:pStyle w:val="ListParagraph"/>
        <w:numPr>
          <w:ilvl w:val="0"/>
          <w:numId w:val="4"/>
        </w:numPr>
        <w:rPr>
          <w:rFonts w:ascii="Arial" w:hAnsi="Arial" w:cs="Arial"/>
        </w:rPr>
      </w:pPr>
      <w:hyperlink r:id="rId14" w:history="1">
        <w:r w:rsidR="00716889" w:rsidRPr="00716889">
          <w:rPr>
            <w:rStyle w:val="Hyperlink"/>
            <w:rFonts w:ascii="Arial" w:hAnsi="Arial" w:cs="Arial"/>
          </w:rPr>
          <w:t>our website</w:t>
        </w:r>
      </w:hyperlink>
    </w:p>
    <w:p w14:paraId="4F15054B" w14:textId="34B56968" w:rsidR="00716889" w:rsidRPr="00716889" w:rsidRDefault="00D21006" w:rsidP="00716889">
      <w:pPr>
        <w:pStyle w:val="ListParagraph"/>
        <w:numPr>
          <w:ilvl w:val="0"/>
          <w:numId w:val="4"/>
        </w:numPr>
        <w:rPr>
          <w:rFonts w:ascii="Arial" w:hAnsi="Arial" w:cs="Arial"/>
        </w:rPr>
      </w:pPr>
      <w:hyperlink r:id="rId15" w:history="1">
        <w:r w:rsidR="00716889" w:rsidRPr="00716889">
          <w:rPr>
            <w:rStyle w:val="Hyperlink"/>
            <w:rFonts w:ascii="Arial" w:hAnsi="Arial" w:cs="Arial"/>
          </w:rPr>
          <w:t>PSNC website</w:t>
        </w:r>
      </w:hyperlink>
    </w:p>
    <w:p w14:paraId="58BEA31E" w14:textId="102C6D63" w:rsidR="00BD1D4D" w:rsidRDefault="00BD1D4D" w:rsidP="00716889">
      <w:pPr>
        <w:pStyle w:val="Heading2"/>
      </w:pPr>
    </w:p>
    <w:p w14:paraId="7478DD38" w14:textId="2876F41D" w:rsidR="00716889" w:rsidRDefault="00716889" w:rsidP="00716889">
      <w:pPr>
        <w:pStyle w:val="Heading2"/>
      </w:pPr>
      <w:r w:rsidRPr="00716889">
        <w:t>Record keeping</w:t>
      </w:r>
    </w:p>
    <w:p w14:paraId="3B54A90F" w14:textId="1E26879B" w:rsidR="00BD1D4D" w:rsidRPr="00BD1D4D" w:rsidRDefault="00BD1D4D" w:rsidP="00BD1D4D"/>
    <w:p w14:paraId="520F6424" w14:textId="21D3C5F5" w:rsidR="00716889" w:rsidRPr="00716889" w:rsidRDefault="00716889" w:rsidP="00716889">
      <w:pPr>
        <w:rPr>
          <w:rFonts w:ascii="Arial" w:hAnsi="Arial" w:cs="Arial"/>
        </w:rPr>
      </w:pPr>
      <w:r w:rsidRPr="00716889">
        <w:rPr>
          <w:rFonts w:ascii="Arial" w:hAnsi="Arial" w:cs="Arial"/>
        </w:rPr>
        <w:t>Analysis has highlighted that a number of contractors are claiming a higher OOP expense value than the average OOP expense claim for the same supplier. We may investigate directly with contractors why their OOP expense claims are higher.</w:t>
      </w:r>
    </w:p>
    <w:p w14:paraId="51DD1FE1" w14:textId="0484D583" w:rsidR="00823556" w:rsidRDefault="00716889" w:rsidP="00716889">
      <w:pPr>
        <w:rPr>
          <w:rFonts w:ascii="Arial" w:hAnsi="Arial" w:cs="Arial"/>
        </w:rPr>
      </w:pPr>
      <w:r w:rsidRPr="00716889">
        <w:rPr>
          <w:rFonts w:ascii="Arial" w:hAnsi="Arial" w:cs="Arial"/>
        </w:rPr>
        <w:t>We advise you to keep a record of all OOP expense claims in case of query or investigation.</w:t>
      </w:r>
    </w:p>
    <w:p w14:paraId="11C66B61" w14:textId="4C88BBC4" w:rsidR="00823556" w:rsidRDefault="00823556" w:rsidP="00716889">
      <w:pPr>
        <w:rPr>
          <w:rFonts w:ascii="Arial" w:hAnsi="Arial" w:cs="Arial"/>
        </w:rPr>
      </w:pPr>
      <w:r w:rsidRPr="00716889">
        <w:rPr>
          <w:rFonts w:ascii="Arial" w:hAnsi="Arial" w:cs="Arial"/>
        </w:rPr>
        <w:t>It is recommended that evidence to support your claim is stored in the pharmacy. For example, you should keep the receipt or invoice relating to your OOP expense claims.</w:t>
      </w:r>
    </w:p>
    <w:p w14:paraId="7FD737CA" w14:textId="6ACFC4BA" w:rsidR="00BD1D4D" w:rsidRPr="00716889" w:rsidRDefault="00823556" w:rsidP="00716889">
      <w:pPr>
        <w:rPr>
          <w:rFonts w:ascii="Arial" w:hAnsi="Arial" w:cs="Arial"/>
        </w:rPr>
      </w:pPr>
      <w:r w:rsidRPr="00BD1D4D">
        <w:rPr>
          <w:rFonts w:ascii="Arial" w:hAnsi="Arial" w:cs="Arial"/>
          <w:noProof/>
        </w:rPr>
        <w:lastRenderedPageBreak/>
        <mc:AlternateContent>
          <mc:Choice Requires="wps">
            <w:drawing>
              <wp:anchor distT="45720" distB="45720" distL="114300" distR="114300" simplePos="0" relativeHeight="251665408" behindDoc="0" locked="0" layoutInCell="1" allowOverlap="1" wp14:anchorId="4341D7AE" wp14:editId="41BF814A">
                <wp:simplePos x="0" y="0"/>
                <wp:positionH relativeFrom="margin">
                  <wp:posOffset>-15766</wp:posOffset>
                </wp:positionH>
                <wp:positionV relativeFrom="paragraph">
                  <wp:posOffset>-197</wp:posOffset>
                </wp:positionV>
                <wp:extent cx="5705475" cy="1404620"/>
                <wp:effectExtent l="19050" t="19050" r="2857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2F1CB09A"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7AAFD1A5" w14:textId="353C3927" w:rsidR="00BD1D4D" w:rsidRPr="00BD1D4D" w:rsidRDefault="00BD1D4D" w:rsidP="00BD1D4D">
                            <w:pPr>
                              <w:rPr>
                                <w:rFonts w:ascii="Arial" w:hAnsi="Arial" w:cs="Arial"/>
                              </w:rPr>
                            </w:pPr>
                            <w:r w:rsidRPr="00BD1D4D">
                              <w:rPr>
                                <w:rFonts w:ascii="Arial" w:hAnsi="Arial" w:cs="Arial"/>
                              </w:rPr>
                              <w:t xml:space="preserve">We advise you to keep all receipts or invoice records in order to substantiate your OOPE expense claims. Such evidence may also help to support OOP expense claims in cases where some suppliers are charging excessively to obtain drugs.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1D7AE" id="_x0000_s1029" type="#_x0000_t202" style="position:absolute;margin-left:-1.25pt;margin-top:0;width:449.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" strokecolor="#4472c4 [3204]" strokeweight="2.25pt">
                <v:textbox style="mso-fit-shape-to-text:t">
                  <w:txbxContent>
                    <w:p w14:paraId="2F1CB09A"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7AAFD1A5" w14:textId="353C3927" w:rsidR="00BD1D4D" w:rsidRPr="00BD1D4D" w:rsidRDefault="00BD1D4D" w:rsidP="00BD1D4D">
                      <w:pPr>
                        <w:rPr>
                          <w:rFonts w:ascii="Arial" w:hAnsi="Arial" w:cs="Arial"/>
                        </w:rPr>
                      </w:pPr>
                      <w:r w:rsidRPr="00BD1D4D">
                        <w:rPr>
                          <w:rFonts w:ascii="Arial" w:hAnsi="Arial" w:cs="Arial"/>
                        </w:rPr>
                        <w:t xml:space="preserve">We advise you to keep all receipts or invoice records </w:t>
                      </w:r>
                      <w:proofErr w:type="gramStart"/>
                      <w:r w:rsidRPr="00BD1D4D">
                        <w:rPr>
                          <w:rFonts w:ascii="Arial" w:hAnsi="Arial" w:cs="Arial"/>
                        </w:rPr>
                        <w:t>in order to</w:t>
                      </w:r>
                      <w:proofErr w:type="gramEnd"/>
                      <w:r w:rsidRPr="00BD1D4D">
                        <w:rPr>
                          <w:rFonts w:ascii="Arial" w:hAnsi="Arial" w:cs="Arial"/>
                        </w:rPr>
                        <w:t xml:space="preserve"> substantiate your OOPE expense claims. Such evidence may also help to support OOP expense claims in cases where some suppliers are charging excessively to obtain drugs. </w:t>
                      </w:r>
                    </w:p>
                  </w:txbxContent>
                </v:textbox>
                <w10:wrap type="square" anchorx="margin"/>
              </v:shape>
            </w:pict>
          </mc:Fallback>
        </mc:AlternateContent>
      </w:r>
      <w:r w:rsidR="00716889" w:rsidRPr="00716889">
        <w:rPr>
          <w:rFonts w:ascii="Arial" w:hAnsi="Arial" w:cs="Arial"/>
        </w:rPr>
        <w:t xml:space="preserve"> </w:t>
      </w:r>
    </w:p>
    <w:p w14:paraId="108F4E3A" w14:textId="77777777" w:rsidR="00716889" w:rsidRPr="00716889" w:rsidRDefault="00716889" w:rsidP="00716889">
      <w:pPr>
        <w:pStyle w:val="Heading2"/>
      </w:pPr>
      <w:r w:rsidRPr="00716889">
        <w:t>Schedule of payments</w:t>
      </w:r>
    </w:p>
    <w:p w14:paraId="16CA078A" w14:textId="77777777" w:rsidR="00BD1D4D" w:rsidRDefault="00BD1D4D" w:rsidP="00716889">
      <w:pPr>
        <w:rPr>
          <w:rFonts w:ascii="Arial" w:hAnsi="Arial" w:cs="Arial"/>
        </w:rPr>
      </w:pPr>
    </w:p>
    <w:p w14:paraId="0B21894C" w14:textId="7FBD2890" w:rsidR="00716889" w:rsidRPr="00716889" w:rsidRDefault="00716889" w:rsidP="00716889">
      <w:pPr>
        <w:rPr>
          <w:rFonts w:ascii="Arial" w:hAnsi="Arial" w:cs="Arial"/>
        </w:rPr>
      </w:pPr>
      <w:r w:rsidRPr="00716889">
        <w:rPr>
          <w:rFonts w:ascii="Arial" w:hAnsi="Arial" w:cs="Arial"/>
        </w:rPr>
        <w:t>Details of the total OOP expense claims paid by us will appear on your FP34 Schedule of Payment.</w:t>
      </w:r>
    </w:p>
    <w:p w14:paraId="3D3843B7" w14:textId="62861B8E" w:rsidR="00716889" w:rsidRPr="00716889" w:rsidRDefault="00716889" w:rsidP="00716889">
      <w:pPr>
        <w:rPr>
          <w:rFonts w:ascii="Arial" w:hAnsi="Arial" w:cs="Arial"/>
        </w:rPr>
      </w:pPr>
      <w:r w:rsidRPr="00716889">
        <w:rPr>
          <w:rFonts w:ascii="Arial" w:hAnsi="Arial" w:cs="Arial"/>
        </w:rPr>
        <w:t xml:space="preserve">You can access your FP34 Schedule of Payments and detailed Prescription Item Report using the </w:t>
      </w:r>
      <w:hyperlink r:id="rId16" w:history="1">
        <w:r w:rsidRPr="00716889">
          <w:rPr>
            <w:rStyle w:val="Hyperlink"/>
            <w:rFonts w:ascii="Arial" w:hAnsi="Arial" w:cs="Arial"/>
          </w:rPr>
          <w:t>Information Services Portal (ISP).</w:t>
        </w:r>
      </w:hyperlink>
    </w:p>
    <w:p w14:paraId="6F87E311" w14:textId="18384054" w:rsidR="00716889" w:rsidRPr="00716889" w:rsidRDefault="00716889" w:rsidP="00716889">
      <w:pPr>
        <w:rPr>
          <w:rFonts w:ascii="Arial" w:hAnsi="Arial" w:cs="Arial"/>
        </w:rPr>
      </w:pPr>
      <w:r w:rsidRPr="00716889">
        <w:rPr>
          <w:rFonts w:ascii="Arial" w:hAnsi="Arial" w:cs="Arial"/>
        </w:rPr>
        <w:t xml:space="preserve">If you need help understanding your FP34 Schedule of Payments, we've published a guidance document on </w:t>
      </w:r>
      <w:hyperlink r:id="rId17" w:history="1">
        <w:r w:rsidRPr="00716889">
          <w:rPr>
            <w:rStyle w:val="Hyperlink"/>
            <w:rFonts w:ascii="Arial" w:hAnsi="Arial" w:cs="Arial"/>
          </w:rPr>
          <w:t>our website</w:t>
        </w:r>
      </w:hyperlink>
      <w:r w:rsidRPr="00716889">
        <w:rPr>
          <w:rFonts w:ascii="Arial" w:hAnsi="Arial" w:cs="Arial"/>
        </w:rPr>
        <w:t>.</w:t>
      </w:r>
    </w:p>
    <w:p w14:paraId="4B1EED80" w14:textId="77777777" w:rsidR="00716889" w:rsidRPr="00716889" w:rsidRDefault="00716889" w:rsidP="00716889">
      <w:pPr>
        <w:pStyle w:val="Heading2"/>
      </w:pPr>
    </w:p>
    <w:p w14:paraId="089A0355" w14:textId="38719234" w:rsidR="00716889" w:rsidRPr="00716889" w:rsidRDefault="00716889" w:rsidP="00716889">
      <w:pPr>
        <w:pStyle w:val="Heading2"/>
      </w:pPr>
      <w:r w:rsidRPr="00716889">
        <w:t>Unlicensed specials and imports</w:t>
      </w:r>
    </w:p>
    <w:p w14:paraId="2F0D7300" w14:textId="7FEED78F" w:rsidR="00BD1D4D" w:rsidRDefault="00BD1D4D" w:rsidP="00716889">
      <w:pPr>
        <w:rPr>
          <w:rFonts w:ascii="Arial" w:hAnsi="Arial" w:cs="Arial"/>
        </w:rPr>
      </w:pPr>
    </w:p>
    <w:p w14:paraId="177E8017" w14:textId="6E217F60" w:rsidR="00716889" w:rsidRPr="00716889" w:rsidRDefault="00716889" w:rsidP="00716889">
      <w:pPr>
        <w:rPr>
          <w:rFonts w:ascii="Arial" w:hAnsi="Arial" w:cs="Arial"/>
        </w:rPr>
      </w:pPr>
      <w:r w:rsidRPr="00716889">
        <w:rPr>
          <w:rFonts w:ascii="Arial" w:hAnsi="Arial" w:cs="Arial"/>
        </w:rPr>
        <w:t>Where a prescriber considers it appropriate to prescribe an unlicensed medicinal product for a patient, the prescription must be written out accordingly to indicate that a special is required. If a prescription specifies a licensed product which is unavailable due to a shortage or a supply issue, an unlicensed medicinal product cannot be dispensed against such a prescription unless the prescriber has included the appropriate wording to indicate that a special is required.</w:t>
      </w:r>
    </w:p>
    <w:p w14:paraId="6B04AC46" w14:textId="438F27E4" w:rsidR="00716889" w:rsidRPr="00716889" w:rsidRDefault="00716889" w:rsidP="00716889">
      <w:pPr>
        <w:rPr>
          <w:rFonts w:ascii="Arial" w:hAnsi="Arial" w:cs="Arial"/>
        </w:rPr>
      </w:pPr>
      <w:r w:rsidRPr="00716889">
        <w:rPr>
          <w:rFonts w:ascii="Arial" w:hAnsi="Arial" w:cs="Arial"/>
        </w:rPr>
        <w:t>In EPS, the prescriber must select the correct product listing on their prescribing systems to allow a pharmacy contractor to supply a special and be reimbursed accordingly. In EPS, a prescription for a special could be written as either:</w:t>
      </w:r>
    </w:p>
    <w:p w14:paraId="2D51E2EE" w14:textId="539C440A" w:rsidR="00716889" w:rsidRPr="00716889" w:rsidRDefault="00716889" w:rsidP="00716889">
      <w:pPr>
        <w:pStyle w:val="ListParagraph"/>
        <w:numPr>
          <w:ilvl w:val="0"/>
          <w:numId w:val="5"/>
        </w:numPr>
        <w:rPr>
          <w:rFonts w:ascii="Arial" w:hAnsi="Arial" w:cs="Arial"/>
        </w:rPr>
      </w:pPr>
      <w:r w:rsidRPr="00716889">
        <w:rPr>
          <w:rFonts w:ascii="Arial" w:hAnsi="Arial" w:cs="Arial"/>
        </w:rPr>
        <w:t>'Drug name (Drug Tariff Special Order)' - for a special is listed in Part VIIIB'; or</w:t>
      </w:r>
    </w:p>
    <w:p w14:paraId="397B94B6" w14:textId="05A2BD39" w:rsidR="00716889" w:rsidRPr="00716889" w:rsidRDefault="00716889" w:rsidP="00716889">
      <w:pPr>
        <w:pStyle w:val="ListParagraph"/>
        <w:numPr>
          <w:ilvl w:val="0"/>
          <w:numId w:val="5"/>
        </w:numPr>
        <w:rPr>
          <w:rFonts w:ascii="Arial" w:hAnsi="Arial" w:cs="Arial"/>
        </w:rPr>
      </w:pPr>
      <w:r w:rsidRPr="00716889">
        <w:rPr>
          <w:rFonts w:ascii="Arial" w:hAnsi="Arial" w:cs="Arial"/>
        </w:rPr>
        <w:t>'Drug name (Special Order)' - for a non-Part VIIIB special; or</w:t>
      </w:r>
    </w:p>
    <w:p w14:paraId="5504D232" w14:textId="5778F63F" w:rsidR="00716889" w:rsidRPr="00716889" w:rsidRDefault="00716889" w:rsidP="00716889">
      <w:pPr>
        <w:pStyle w:val="ListParagraph"/>
        <w:numPr>
          <w:ilvl w:val="0"/>
          <w:numId w:val="5"/>
        </w:numPr>
        <w:rPr>
          <w:rFonts w:ascii="Arial" w:hAnsi="Arial" w:cs="Arial"/>
        </w:rPr>
      </w:pPr>
      <w:r w:rsidRPr="00716889">
        <w:rPr>
          <w:rFonts w:ascii="Arial" w:hAnsi="Arial" w:cs="Arial"/>
        </w:rPr>
        <w:t>'Drug name (Imported (Country))' - for an unlicensed import</w:t>
      </w:r>
    </w:p>
    <w:p w14:paraId="78926126" w14:textId="55494053" w:rsidR="00716889" w:rsidRPr="00716889" w:rsidRDefault="00716889" w:rsidP="00716889">
      <w:pPr>
        <w:rPr>
          <w:rFonts w:ascii="Arial" w:hAnsi="Arial" w:cs="Arial"/>
        </w:rPr>
      </w:pPr>
      <w:r w:rsidRPr="00716889">
        <w:rPr>
          <w:rFonts w:ascii="Arial" w:hAnsi="Arial" w:cs="Arial"/>
        </w:rPr>
        <w:t>If a prescriber adds supplementary information for example, the words 'Special' or any other free text into a different EPS field for example, as part of the dosage instructions or ‘additional instructions’ (also known as medication specific information or notes to pharmacy), and that changes the prescribed product, this will not be taken into account for reimbursement purposes as this information is not captured by us during processing.</w:t>
      </w:r>
    </w:p>
    <w:p w14:paraId="6CB29817" w14:textId="097B5334" w:rsidR="00716889" w:rsidRDefault="00716889" w:rsidP="00716889">
      <w:pPr>
        <w:rPr>
          <w:rFonts w:ascii="Arial" w:hAnsi="Arial" w:cs="Arial"/>
        </w:rPr>
      </w:pPr>
      <w:r w:rsidRPr="00716889">
        <w:rPr>
          <w:rFonts w:ascii="Arial" w:hAnsi="Arial" w:cs="Arial"/>
        </w:rPr>
        <w:t xml:space="preserve">For unlicensed products ordered on FP10 paper prescriptions, the wording '(Special Order)' or similar, should be included in the first line of the prescribed product, ideally following the drug name. Paper prescription forms for any specials need to be separated and sorted into a red separator before submission. </w:t>
      </w:r>
    </w:p>
    <w:p w14:paraId="5B339508" w14:textId="64E93503" w:rsidR="00823556" w:rsidRDefault="00823556" w:rsidP="00716889">
      <w:pPr>
        <w:rPr>
          <w:rFonts w:ascii="Arial" w:hAnsi="Arial" w:cs="Arial"/>
        </w:rPr>
      </w:pPr>
    </w:p>
    <w:p w14:paraId="61A39D83" w14:textId="77777777" w:rsidR="00823556" w:rsidRPr="00716889" w:rsidRDefault="00823556" w:rsidP="00716889">
      <w:pPr>
        <w:rPr>
          <w:rFonts w:ascii="Arial" w:hAnsi="Arial" w:cs="Arial"/>
        </w:rPr>
      </w:pPr>
    </w:p>
    <w:p w14:paraId="7287BDFF" w14:textId="77777777" w:rsidR="00823556" w:rsidRDefault="00823556" w:rsidP="00716889">
      <w:pPr>
        <w:rPr>
          <w:rFonts w:ascii="Arial" w:hAnsi="Arial" w:cs="Arial"/>
        </w:rPr>
      </w:pPr>
    </w:p>
    <w:p w14:paraId="3CDC8D5F" w14:textId="02DCF158" w:rsidR="00823556" w:rsidRDefault="00823556" w:rsidP="00716889">
      <w:pPr>
        <w:rPr>
          <w:rFonts w:ascii="Arial" w:hAnsi="Arial" w:cs="Arial"/>
        </w:rPr>
      </w:pPr>
      <w:r w:rsidRPr="00BD1D4D">
        <w:rPr>
          <w:rFonts w:ascii="Arial" w:hAnsi="Arial" w:cs="Arial"/>
          <w:noProof/>
        </w:rPr>
        <w:lastRenderedPageBreak/>
        <mc:AlternateContent>
          <mc:Choice Requires="wps">
            <w:drawing>
              <wp:anchor distT="45720" distB="45720" distL="114300" distR="114300" simplePos="0" relativeHeight="251667456" behindDoc="0" locked="0" layoutInCell="1" allowOverlap="1" wp14:anchorId="6D24459D" wp14:editId="71236EF1">
                <wp:simplePos x="0" y="0"/>
                <wp:positionH relativeFrom="margin">
                  <wp:align>left</wp:align>
                </wp:positionH>
                <wp:positionV relativeFrom="paragraph">
                  <wp:posOffset>13730</wp:posOffset>
                </wp:positionV>
                <wp:extent cx="5705475" cy="1404620"/>
                <wp:effectExtent l="19050" t="19050" r="28575"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1130E9FC"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1C8D2CF5" w14:textId="7DD127C2" w:rsidR="00BD1D4D" w:rsidRPr="00BD1D4D" w:rsidRDefault="00BD1D4D" w:rsidP="00BD1D4D">
                            <w:pPr>
                              <w:rPr>
                                <w:rFonts w:ascii="Arial" w:hAnsi="Arial" w:cs="Arial"/>
                              </w:rPr>
                            </w:pPr>
                            <w:r w:rsidRPr="00BD1D4D">
                              <w:rPr>
                                <w:rFonts w:ascii="Arial" w:hAnsi="Arial" w:cs="Arial"/>
                              </w:rPr>
                              <w:t xml:space="preserve">For more information about additional product information in the dosage area, visit </w:t>
                            </w:r>
                            <w:hyperlink r:id="rId18" w:history="1">
                              <w:r w:rsidRPr="00BD1D4D">
                                <w:rPr>
                                  <w:rStyle w:val="Hyperlink"/>
                                  <w:rFonts w:ascii="Arial" w:hAnsi="Arial" w:cs="Arial"/>
                                </w:rPr>
                                <w:t>PSNC’s website</w:t>
                              </w:r>
                            </w:hyperlink>
                            <w:r w:rsidRPr="00BD1D4D">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4459D" id="_x0000_s1030" type="#_x0000_t202" style="position:absolute;margin-left:0;margin-top:1.1pt;width:449.2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" strokecolor="#4472c4 [3204]" strokeweight="2.25pt">
                <v:textbox style="mso-fit-shape-to-text:t">
                  <w:txbxContent>
                    <w:p w14:paraId="1130E9FC"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1C8D2CF5" w14:textId="7DD127C2" w:rsidR="00BD1D4D" w:rsidRPr="00BD1D4D" w:rsidRDefault="00BD1D4D" w:rsidP="00BD1D4D">
                      <w:pPr>
                        <w:rPr>
                          <w:rFonts w:ascii="Arial" w:hAnsi="Arial" w:cs="Arial"/>
                        </w:rPr>
                      </w:pPr>
                      <w:r w:rsidRPr="00BD1D4D">
                        <w:rPr>
                          <w:rFonts w:ascii="Arial" w:hAnsi="Arial" w:cs="Arial"/>
                        </w:rPr>
                        <w:t xml:space="preserve">For more information about additional product information in the dosage area, visit </w:t>
                      </w:r>
                      <w:hyperlink r:id="rId19" w:history="1">
                        <w:r w:rsidRPr="00BD1D4D">
                          <w:rPr>
                            <w:rStyle w:val="Hyperlink"/>
                            <w:rFonts w:ascii="Arial" w:hAnsi="Arial" w:cs="Arial"/>
                          </w:rPr>
                          <w:t>PSNC’s website</w:t>
                        </w:r>
                      </w:hyperlink>
                      <w:r w:rsidRPr="00BD1D4D">
                        <w:rPr>
                          <w:rFonts w:ascii="Arial" w:hAnsi="Arial" w:cs="Arial"/>
                        </w:rPr>
                        <w:t>.</w:t>
                      </w:r>
                    </w:p>
                  </w:txbxContent>
                </v:textbox>
                <w10:wrap type="square" anchorx="margin"/>
              </v:shape>
            </w:pict>
          </mc:Fallback>
        </mc:AlternateContent>
      </w:r>
    </w:p>
    <w:p w14:paraId="1A819116" w14:textId="5F84C095" w:rsidR="00716889" w:rsidRPr="00716889" w:rsidRDefault="00716889" w:rsidP="00716889">
      <w:pPr>
        <w:rPr>
          <w:rFonts w:ascii="Arial" w:hAnsi="Arial" w:cs="Arial"/>
        </w:rPr>
      </w:pPr>
      <w:r w:rsidRPr="00716889">
        <w:rPr>
          <w:rFonts w:ascii="Arial" w:hAnsi="Arial" w:cs="Arial"/>
        </w:rPr>
        <w:t>In addition to the drug reimbursement costs, a fixed fee of £20 is payable for any prescriptions for unlicensed specials or imports endorsed with:</w:t>
      </w:r>
    </w:p>
    <w:p w14:paraId="01BFEF14" w14:textId="77777777" w:rsidR="00716889" w:rsidRDefault="00716889" w:rsidP="00716889">
      <w:pPr>
        <w:pStyle w:val="ListParagraph"/>
        <w:numPr>
          <w:ilvl w:val="0"/>
          <w:numId w:val="11"/>
        </w:numPr>
        <w:rPr>
          <w:rFonts w:ascii="Arial" w:hAnsi="Arial" w:cs="Arial"/>
        </w:rPr>
      </w:pPr>
      <w:r w:rsidRPr="00716889">
        <w:rPr>
          <w:rFonts w:ascii="Arial" w:hAnsi="Arial" w:cs="Arial"/>
        </w:rPr>
        <w:t>‘SP’ (where sourced under a MHRA manufacturer’s specials or importer’s licence) or</w:t>
      </w:r>
    </w:p>
    <w:p w14:paraId="76BE4732" w14:textId="6751D547" w:rsidR="00716889" w:rsidRPr="00716889" w:rsidRDefault="00716889" w:rsidP="00716889">
      <w:pPr>
        <w:pStyle w:val="ListParagraph"/>
        <w:numPr>
          <w:ilvl w:val="0"/>
          <w:numId w:val="11"/>
        </w:numPr>
        <w:rPr>
          <w:rFonts w:ascii="Arial" w:hAnsi="Arial" w:cs="Arial"/>
        </w:rPr>
      </w:pPr>
      <w:r w:rsidRPr="00716889">
        <w:rPr>
          <w:rFonts w:ascii="Arial" w:hAnsi="Arial" w:cs="Arial"/>
        </w:rPr>
        <w:t>‘ED’ (where extemporaneously dispensed)</w:t>
      </w:r>
    </w:p>
    <w:p w14:paraId="7CBE2D7D" w14:textId="77777777" w:rsidR="00716889" w:rsidRPr="00716889" w:rsidRDefault="00716889" w:rsidP="00716889">
      <w:pPr>
        <w:rPr>
          <w:rFonts w:ascii="Arial" w:hAnsi="Arial" w:cs="Arial"/>
        </w:rPr>
      </w:pPr>
      <w:r w:rsidRPr="00716889">
        <w:rPr>
          <w:rFonts w:ascii="Arial" w:hAnsi="Arial" w:cs="Arial"/>
        </w:rPr>
        <w:t>The fixed fee can be claimed for costs incurred in sourcing the item. For example, costs might include:</w:t>
      </w:r>
    </w:p>
    <w:p w14:paraId="0AEB305D" w14:textId="07C726AE" w:rsidR="00716889" w:rsidRPr="00716889" w:rsidRDefault="00716889" w:rsidP="00716889">
      <w:pPr>
        <w:pStyle w:val="ListParagraph"/>
        <w:numPr>
          <w:ilvl w:val="0"/>
          <w:numId w:val="12"/>
        </w:numPr>
        <w:rPr>
          <w:rFonts w:ascii="Arial" w:hAnsi="Arial" w:cs="Arial"/>
        </w:rPr>
      </w:pPr>
      <w:r w:rsidRPr="00716889">
        <w:rPr>
          <w:rFonts w:ascii="Arial" w:hAnsi="Arial" w:cs="Arial"/>
        </w:rPr>
        <w:t>postage</w:t>
      </w:r>
    </w:p>
    <w:p w14:paraId="18398E4D" w14:textId="547B17F1" w:rsidR="00716889" w:rsidRPr="00716889" w:rsidRDefault="00716889" w:rsidP="00716889">
      <w:pPr>
        <w:pStyle w:val="ListParagraph"/>
        <w:numPr>
          <w:ilvl w:val="0"/>
          <w:numId w:val="12"/>
        </w:numPr>
        <w:rPr>
          <w:rFonts w:ascii="Arial" w:hAnsi="Arial" w:cs="Arial"/>
        </w:rPr>
      </w:pPr>
      <w:r w:rsidRPr="00716889">
        <w:rPr>
          <w:rFonts w:ascii="Arial" w:hAnsi="Arial" w:cs="Arial"/>
        </w:rPr>
        <w:t>handling</w:t>
      </w:r>
    </w:p>
    <w:p w14:paraId="01CCCB45" w14:textId="06EF17CB" w:rsidR="00716889" w:rsidRPr="00716889" w:rsidRDefault="00716889" w:rsidP="00716889">
      <w:pPr>
        <w:pStyle w:val="ListParagraph"/>
        <w:numPr>
          <w:ilvl w:val="0"/>
          <w:numId w:val="12"/>
        </w:numPr>
        <w:rPr>
          <w:rFonts w:ascii="Arial" w:hAnsi="Arial" w:cs="Arial"/>
        </w:rPr>
      </w:pPr>
      <w:r w:rsidRPr="00716889">
        <w:rPr>
          <w:rFonts w:ascii="Arial" w:hAnsi="Arial" w:cs="Arial"/>
        </w:rPr>
        <w:t>delivery</w:t>
      </w:r>
    </w:p>
    <w:p w14:paraId="289ED77B" w14:textId="6414AB8C" w:rsidR="00716889" w:rsidRPr="00716889" w:rsidRDefault="00716889" w:rsidP="00716889">
      <w:pPr>
        <w:rPr>
          <w:rFonts w:ascii="Arial" w:hAnsi="Arial" w:cs="Arial"/>
        </w:rPr>
      </w:pPr>
      <w:r w:rsidRPr="00716889">
        <w:rPr>
          <w:rFonts w:ascii="Arial" w:hAnsi="Arial" w:cs="Arial"/>
        </w:rPr>
        <w:t xml:space="preserve">Unlicensed specials or imports </w:t>
      </w:r>
      <w:r w:rsidRPr="00716889">
        <w:rPr>
          <w:rFonts w:ascii="Arial" w:hAnsi="Arial" w:cs="Arial"/>
          <w:b/>
          <w:bCs/>
        </w:rPr>
        <w:t>listed in the Drug Tariff</w:t>
      </w:r>
      <w:r w:rsidRPr="00716889">
        <w:rPr>
          <w:rFonts w:ascii="Arial" w:hAnsi="Arial" w:cs="Arial"/>
        </w:rPr>
        <w:t xml:space="preserve"> should be endorsed with:</w:t>
      </w:r>
    </w:p>
    <w:p w14:paraId="2A2A70AE" w14:textId="14CB9359" w:rsidR="00716889" w:rsidRPr="00716889" w:rsidRDefault="00716889" w:rsidP="00716889">
      <w:pPr>
        <w:pStyle w:val="ListParagraph"/>
        <w:numPr>
          <w:ilvl w:val="0"/>
          <w:numId w:val="13"/>
        </w:numPr>
        <w:rPr>
          <w:rFonts w:ascii="Arial" w:hAnsi="Arial" w:cs="Arial"/>
        </w:rPr>
      </w:pPr>
      <w:r w:rsidRPr="00716889">
        <w:rPr>
          <w:rFonts w:ascii="Arial" w:hAnsi="Arial" w:cs="Arial"/>
        </w:rPr>
        <w:t>‘SP’ only (no alternative endorsements will be accepted)</w:t>
      </w:r>
    </w:p>
    <w:p w14:paraId="3931817A" w14:textId="4F3DE833" w:rsidR="00716889" w:rsidRPr="00716889" w:rsidRDefault="00716889" w:rsidP="00716889">
      <w:pPr>
        <w:rPr>
          <w:rFonts w:ascii="Arial" w:hAnsi="Arial" w:cs="Arial"/>
        </w:rPr>
      </w:pPr>
      <w:r w:rsidRPr="00716889">
        <w:rPr>
          <w:rFonts w:ascii="Arial" w:hAnsi="Arial" w:cs="Arial"/>
        </w:rPr>
        <w:t xml:space="preserve">Unlicensed specials or imports </w:t>
      </w:r>
      <w:r w:rsidRPr="00716889">
        <w:rPr>
          <w:rFonts w:ascii="Arial" w:hAnsi="Arial" w:cs="Arial"/>
          <w:b/>
          <w:bCs/>
        </w:rPr>
        <w:t>not listed in the Drug Tariff</w:t>
      </w:r>
      <w:r w:rsidRPr="00716889">
        <w:rPr>
          <w:rFonts w:ascii="Arial" w:hAnsi="Arial" w:cs="Arial"/>
        </w:rPr>
        <w:t xml:space="preserve"> should be endorsed with:</w:t>
      </w:r>
    </w:p>
    <w:p w14:paraId="3B40FCFD" w14:textId="51EE398B" w:rsidR="00716889" w:rsidRPr="00716889" w:rsidRDefault="00716889" w:rsidP="00716889">
      <w:pPr>
        <w:pStyle w:val="ListParagraph"/>
        <w:numPr>
          <w:ilvl w:val="0"/>
          <w:numId w:val="13"/>
        </w:numPr>
        <w:rPr>
          <w:rFonts w:ascii="Arial" w:hAnsi="Arial" w:cs="Arial"/>
        </w:rPr>
      </w:pPr>
      <w:r w:rsidRPr="00716889">
        <w:rPr>
          <w:rFonts w:ascii="Arial" w:hAnsi="Arial" w:cs="Arial"/>
        </w:rPr>
        <w:t>'SP' only (no alternative endorsements will be accepted)</w:t>
      </w:r>
    </w:p>
    <w:p w14:paraId="47363D51" w14:textId="111017AB" w:rsidR="00716889" w:rsidRPr="00716889" w:rsidRDefault="00716889" w:rsidP="00716889">
      <w:pPr>
        <w:pStyle w:val="ListParagraph"/>
        <w:numPr>
          <w:ilvl w:val="0"/>
          <w:numId w:val="13"/>
        </w:numPr>
        <w:rPr>
          <w:rFonts w:ascii="Arial" w:hAnsi="Arial" w:cs="Arial"/>
        </w:rPr>
      </w:pPr>
      <w:r w:rsidRPr="00716889">
        <w:rPr>
          <w:rFonts w:ascii="Arial" w:hAnsi="Arial" w:cs="Arial"/>
        </w:rPr>
        <w:t>amount dispensed over pack size used</w:t>
      </w:r>
    </w:p>
    <w:p w14:paraId="06DB2A3D" w14:textId="35663351" w:rsidR="00716889" w:rsidRPr="00716889" w:rsidRDefault="00716889" w:rsidP="00716889">
      <w:pPr>
        <w:pStyle w:val="ListParagraph"/>
        <w:numPr>
          <w:ilvl w:val="0"/>
          <w:numId w:val="13"/>
        </w:numPr>
        <w:rPr>
          <w:rFonts w:ascii="Arial" w:hAnsi="Arial" w:cs="Arial"/>
        </w:rPr>
      </w:pPr>
      <w:r w:rsidRPr="00716889">
        <w:rPr>
          <w:rFonts w:ascii="Arial" w:hAnsi="Arial" w:cs="Arial"/>
        </w:rPr>
        <w:t>invoice price per pack size from which the order was supplied less any discount or rebate</w:t>
      </w:r>
    </w:p>
    <w:p w14:paraId="20F02986" w14:textId="21B11729" w:rsidR="00716889" w:rsidRPr="00716889" w:rsidRDefault="00716889" w:rsidP="00716889">
      <w:pPr>
        <w:pStyle w:val="ListParagraph"/>
        <w:numPr>
          <w:ilvl w:val="0"/>
          <w:numId w:val="13"/>
        </w:numPr>
        <w:rPr>
          <w:rFonts w:ascii="Arial" w:hAnsi="Arial" w:cs="Arial"/>
        </w:rPr>
      </w:pPr>
      <w:r w:rsidRPr="00716889">
        <w:rPr>
          <w:rFonts w:ascii="Arial" w:hAnsi="Arial" w:cs="Arial"/>
        </w:rPr>
        <w:t>manufacturers’/Importers’ MHRA licence number</w:t>
      </w:r>
    </w:p>
    <w:p w14:paraId="3875B878" w14:textId="776419AC" w:rsidR="00716889" w:rsidRDefault="00716889" w:rsidP="00716889">
      <w:pPr>
        <w:pStyle w:val="ListParagraph"/>
        <w:numPr>
          <w:ilvl w:val="0"/>
          <w:numId w:val="13"/>
        </w:numPr>
        <w:rPr>
          <w:rFonts w:ascii="Arial" w:hAnsi="Arial" w:cs="Arial"/>
        </w:rPr>
      </w:pPr>
      <w:r w:rsidRPr="00716889">
        <w:rPr>
          <w:rFonts w:ascii="Arial" w:hAnsi="Arial" w:cs="Arial"/>
        </w:rPr>
        <w:t>batch number of the product supplied</w:t>
      </w:r>
    </w:p>
    <w:p w14:paraId="5639D1A5" w14:textId="77777777" w:rsidR="00823556" w:rsidRPr="00716889" w:rsidRDefault="00823556" w:rsidP="00823556">
      <w:pPr>
        <w:pStyle w:val="ListParagraph"/>
        <w:rPr>
          <w:rFonts w:ascii="Arial" w:hAnsi="Arial" w:cs="Arial"/>
        </w:rPr>
      </w:pPr>
    </w:p>
    <w:p w14:paraId="0F707EC6" w14:textId="73D22C34" w:rsidR="00716889" w:rsidRPr="00716889" w:rsidRDefault="00716889" w:rsidP="00716889">
      <w:pPr>
        <w:rPr>
          <w:rFonts w:ascii="Arial" w:hAnsi="Arial" w:cs="Arial"/>
        </w:rPr>
      </w:pPr>
      <w:r>
        <w:rPr>
          <w:noProof/>
        </w:rPr>
        <w:drawing>
          <wp:inline distT="0" distB="0" distL="0" distR="0" wp14:anchorId="0AE870D9" wp14:editId="68392876">
            <wp:extent cx="5339715" cy="2596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9715" cy="2596515"/>
                    </a:xfrm>
                    <a:prstGeom prst="rect">
                      <a:avLst/>
                    </a:prstGeom>
                    <a:noFill/>
                    <a:ln>
                      <a:noFill/>
                    </a:ln>
                  </pic:spPr>
                </pic:pic>
              </a:graphicData>
            </a:graphic>
          </wp:inline>
        </w:drawing>
      </w:r>
    </w:p>
    <w:p w14:paraId="69BC2BFF" w14:textId="69DBD62F" w:rsidR="00716889" w:rsidRPr="00716889" w:rsidRDefault="00716889" w:rsidP="00716889">
      <w:pPr>
        <w:rPr>
          <w:rFonts w:ascii="Arial" w:hAnsi="Arial" w:cs="Arial"/>
        </w:rPr>
      </w:pPr>
    </w:p>
    <w:p w14:paraId="72F0CD12" w14:textId="77777777" w:rsidR="00716889" w:rsidRPr="00716889" w:rsidRDefault="00716889" w:rsidP="00716889">
      <w:pPr>
        <w:rPr>
          <w:rFonts w:ascii="Arial" w:hAnsi="Arial" w:cs="Arial"/>
        </w:rPr>
      </w:pPr>
      <w:r w:rsidRPr="00716889">
        <w:rPr>
          <w:rFonts w:ascii="Arial" w:hAnsi="Arial" w:cs="Arial"/>
          <w:b/>
          <w:bCs/>
        </w:rPr>
        <w:lastRenderedPageBreak/>
        <w:t>Extemporaneously dispensed unlicensed specials</w:t>
      </w:r>
      <w:r w:rsidRPr="00716889">
        <w:rPr>
          <w:rFonts w:ascii="Arial" w:hAnsi="Arial" w:cs="Arial"/>
        </w:rPr>
        <w:t xml:space="preserve"> manufactured under the Section 10 exemption from the Medicines Act 1968 (either by the contractor or a third party) should be endorsed with:</w:t>
      </w:r>
    </w:p>
    <w:p w14:paraId="1AF819E9" w14:textId="727C5BCC" w:rsidR="00716889" w:rsidRPr="00716889" w:rsidRDefault="00716889" w:rsidP="00716889">
      <w:pPr>
        <w:pStyle w:val="ListParagraph"/>
        <w:numPr>
          <w:ilvl w:val="0"/>
          <w:numId w:val="14"/>
        </w:numPr>
        <w:rPr>
          <w:rFonts w:ascii="Arial" w:hAnsi="Arial" w:cs="Arial"/>
        </w:rPr>
      </w:pPr>
      <w:r w:rsidRPr="00716889">
        <w:rPr>
          <w:rFonts w:ascii="Arial" w:hAnsi="Arial" w:cs="Arial"/>
        </w:rPr>
        <w:t>ED for costs incurred in dispensing a product prepared under the Section 10 exemption</w:t>
      </w:r>
    </w:p>
    <w:p w14:paraId="3B06C88D" w14:textId="0B87EFC8" w:rsidR="00716889" w:rsidRPr="00716889" w:rsidRDefault="00716889" w:rsidP="00716889">
      <w:pPr>
        <w:pStyle w:val="ListParagraph"/>
        <w:numPr>
          <w:ilvl w:val="0"/>
          <w:numId w:val="14"/>
        </w:numPr>
        <w:rPr>
          <w:rFonts w:ascii="Arial" w:hAnsi="Arial" w:cs="Arial"/>
        </w:rPr>
      </w:pPr>
      <w:r w:rsidRPr="00716889">
        <w:rPr>
          <w:rFonts w:ascii="Arial" w:hAnsi="Arial" w:cs="Arial"/>
        </w:rPr>
        <w:t>the names, quantities and cost of the ingredients used in preparing the product</w:t>
      </w:r>
    </w:p>
    <w:p w14:paraId="780F14C9" w14:textId="77777777" w:rsidR="00716889" w:rsidRDefault="00716889" w:rsidP="00716889">
      <w:pPr>
        <w:rPr>
          <w:rFonts w:ascii="Arial" w:hAnsi="Arial" w:cs="Arial"/>
        </w:rPr>
      </w:pPr>
    </w:p>
    <w:p w14:paraId="12205FF2" w14:textId="759D616C" w:rsidR="00716889" w:rsidRPr="00716889" w:rsidRDefault="00716889" w:rsidP="00716889">
      <w:pPr>
        <w:rPr>
          <w:rFonts w:ascii="Arial" w:hAnsi="Arial" w:cs="Arial"/>
        </w:rPr>
      </w:pPr>
      <w:r w:rsidRPr="00716889">
        <w:rPr>
          <w:rFonts w:ascii="Arial" w:hAnsi="Arial" w:cs="Arial"/>
        </w:rPr>
        <w:t>Broken Bulk can be claimed on the ingredients used to make the product</w:t>
      </w:r>
    </w:p>
    <w:p w14:paraId="6E6B4C05" w14:textId="70D05E34" w:rsidR="00716889" w:rsidRPr="00716889" w:rsidRDefault="00716889" w:rsidP="00716889">
      <w:pPr>
        <w:rPr>
          <w:rFonts w:ascii="Arial" w:hAnsi="Arial" w:cs="Arial"/>
        </w:rPr>
      </w:pPr>
      <w:r w:rsidRPr="00716889">
        <w:rPr>
          <w:rFonts w:ascii="Arial" w:hAnsi="Arial" w:cs="Arial"/>
        </w:rPr>
        <w:t xml:space="preserve">For more information on claiming for SP fees, see the </w:t>
      </w:r>
      <w:hyperlink r:id="rId21" w:history="1">
        <w:r w:rsidRPr="00716889">
          <w:rPr>
            <w:rStyle w:val="Hyperlink"/>
            <w:rFonts w:ascii="Arial" w:hAnsi="Arial" w:cs="Arial"/>
          </w:rPr>
          <w:t>PSNC website</w:t>
        </w:r>
      </w:hyperlink>
      <w:r w:rsidRPr="00716889">
        <w:rPr>
          <w:rFonts w:ascii="Arial" w:hAnsi="Arial" w:cs="Arial"/>
        </w:rPr>
        <w:t xml:space="preserve"> or the </w:t>
      </w:r>
      <w:hyperlink r:id="rId22" w:history="1">
        <w:r w:rsidRPr="00716889">
          <w:rPr>
            <w:rStyle w:val="Hyperlink"/>
            <w:rFonts w:ascii="Arial" w:hAnsi="Arial" w:cs="Arial"/>
          </w:rPr>
          <w:t>Unlicensed Specials and Imports Dispensing Factsheet</w:t>
        </w:r>
      </w:hyperlink>
      <w:r w:rsidRPr="00716889">
        <w:rPr>
          <w:rFonts w:ascii="Arial" w:hAnsi="Arial" w:cs="Arial"/>
        </w:rPr>
        <w:t>.</w:t>
      </w:r>
    </w:p>
    <w:p w14:paraId="76E7CBC8" w14:textId="342A81A5" w:rsidR="00BD1D4D" w:rsidRDefault="00BD1D4D" w:rsidP="00716889">
      <w:pPr>
        <w:rPr>
          <w:rFonts w:ascii="Arial" w:hAnsi="Arial" w:cs="Arial"/>
        </w:rPr>
      </w:pPr>
      <w:r w:rsidRPr="00BD1D4D">
        <w:rPr>
          <w:rFonts w:ascii="Arial" w:hAnsi="Arial" w:cs="Arial"/>
          <w:noProof/>
        </w:rPr>
        <mc:AlternateContent>
          <mc:Choice Requires="wps">
            <w:drawing>
              <wp:anchor distT="45720" distB="45720" distL="114300" distR="114300" simplePos="0" relativeHeight="251669504" behindDoc="0" locked="0" layoutInCell="1" allowOverlap="1" wp14:anchorId="5DBC7281" wp14:editId="2181975B">
                <wp:simplePos x="0" y="0"/>
                <wp:positionH relativeFrom="margin">
                  <wp:posOffset>0</wp:posOffset>
                </wp:positionH>
                <wp:positionV relativeFrom="paragraph">
                  <wp:posOffset>313690</wp:posOffset>
                </wp:positionV>
                <wp:extent cx="5705475" cy="1404620"/>
                <wp:effectExtent l="19050" t="19050" r="2857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28575">
                          <a:solidFill>
                            <a:schemeClr val="accent1"/>
                          </a:solidFill>
                          <a:miter lim="800000"/>
                          <a:headEnd/>
                          <a:tailEnd/>
                        </a:ln>
                      </wps:spPr>
                      <wps:txbx>
                        <w:txbxContent>
                          <w:p w14:paraId="35819D6A"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4880A953" w14:textId="6B8177C4" w:rsidR="00BD1D4D" w:rsidRPr="00BD1D4D" w:rsidRDefault="00BD1D4D" w:rsidP="00BD1D4D">
                            <w:pPr>
                              <w:rPr>
                                <w:rFonts w:ascii="Arial" w:hAnsi="Arial" w:cs="Arial"/>
                              </w:rPr>
                            </w:pPr>
                            <w:r w:rsidRPr="00BD1D4D">
                              <w:rPr>
                                <w:rFonts w:ascii="Arial" w:hAnsi="Arial" w:cs="Arial"/>
                              </w:rPr>
                              <w:t>The 'OOP' or 'XP' endorsement cannot be used on prescriptions for unlicensed specials or imports.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C7281" id="_x0000_s1031" type="#_x0000_t202" style="position:absolute;margin-left:0;margin-top:24.7pt;width:449.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" strokecolor="#4472c4 [3204]" strokeweight="2.25pt">
                <v:textbox style="mso-fit-shape-to-text:t">
                  <w:txbxContent>
                    <w:p w14:paraId="35819D6A" w14:textId="77777777" w:rsidR="00BD1D4D" w:rsidRPr="00BD1D4D" w:rsidRDefault="00BD1D4D" w:rsidP="00BD1D4D">
                      <w:pPr>
                        <w:rPr>
                          <w:rFonts w:ascii="Arial" w:hAnsi="Arial" w:cs="Arial"/>
                          <w:b/>
                          <w:bCs/>
                          <w:sz w:val="24"/>
                          <w:szCs w:val="24"/>
                        </w:rPr>
                      </w:pPr>
                      <w:r w:rsidRPr="00BD1D4D">
                        <w:rPr>
                          <w:rFonts w:ascii="Arial" w:hAnsi="Arial" w:cs="Arial"/>
                          <w:b/>
                          <w:bCs/>
                          <w:sz w:val="24"/>
                          <w:szCs w:val="24"/>
                        </w:rPr>
                        <w:t>Tip:</w:t>
                      </w:r>
                    </w:p>
                    <w:p w14:paraId="4880A953" w14:textId="6B8177C4" w:rsidR="00BD1D4D" w:rsidRPr="00BD1D4D" w:rsidRDefault="00BD1D4D" w:rsidP="00BD1D4D">
                      <w:pPr>
                        <w:rPr>
                          <w:rFonts w:ascii="Arial" w:hAnsi="Arial" w:cs="Arial"/>
                        </w:rPr>
                      </w:pPr>
                      <w:r w:rsidRPr="00BD1D4D">
                        <w:rPr>
                          <w:rFonts w:ascii="Arial" w:hAnsi="Arial" w:cs="Arial"/>
                        </w:rPr>
                        <w:t>The 'OOP' or 'XP' endorsement cannot be used on prescriptions for unlicensed specials or imports.</w:t>
                      </w:r>
                    </w:p>
                  </w:txbxContent>
                </v:textbox>
                <w10:wrap type="square" anchorx="margin"/>
              </v:shape>
            </w:pict>
          </mc:Fallback>
        </mc:AlternateContent>
      </w:r>
    </w:p>
    <w:p w14:paraId="06BB2089" w14:textId="77777777" w:rsidR="00BD1D4D" w:rsidRDefault="00BD1D4D" w:rsidP="00716889">
      <w:pPr>
        <w:pStyle w:val="Heading2"/>
      </w:pPr>
    </w:p>
    <w:p w14:paraId="7871F292" w14:textId="60DC83DA" w:rsidR="00716889" w:rsidRPr="00716889" w:rsidRDefault="00716889" w:rsidP="00716889">
      <w:pPr>
        <w:pStyle w:val="Heading2"/>
      </w:pPr>
      <w:r w:rsidRPr="00716889">
        <w:t>Support</w:t>
      </w:r>
    </w:p>
    <w:p w14:paraId="32A80662" w14:textId="77777777" w:rsidR="00BD1D4D" w:rsidRDefault="00BD1D4D" w:rsidP="00716889">
      <w:pPr>
        <w:rPr>
          <w:rFonts w:ascii="Arial" w:hAnsi="Arial" w:cs="Arial"/>
        </w:rPr>
      </w:pPr>
    </w:p>
    <w:p w14:paraId="67E47DC7" w14:textId="53DBCF2E" w:rsidR="00716889" w:rsidRPr="00716889" w:rsidRDefault="00716889" w:rsidP="00716889">
      <w:pPr>
        <w:rPr>
          <w:rFonts w:ascii="Arial" w:hAnsi="Arial" w:cs="Arial"/>
        </w:rPr>
      </w:pPr>
      <w:r w:rsidRPr="00716889">
        <w:rPr>
          <w:rFonts w:ascii="Arial" w:hAnsi="Arial" w:cs="Arial"/>
        </w:rPr>
        <w:t xml:space="preserve">For further help and support with claiming for out of pocket expenses, contact us at nhsbsa.pharmacysupport@nhs.net. </w:t>
      </w:r>
    </w:p>
    <w:p w14:paraId="43BA2577" w14:textId="77777777" w:rsidR="00716889" w:rsidRPr="00716889" w:rsidRDefault="00716889" w:rsidP="00716889">
      <w:pPr>
        <w:rPr>
          <w:rFonts w:ascii="Arial" w:hAnsi="Arial" w:cs="Arial"/>
        </w:rPr>
      </w:pPr>
    </w:p>
    <w:p w14:paraId="573C2ED4" w14:textId="77777777" w:rsidR="00716889" w:rsidRPr="00716889" w:rsidRDefault="00716889" w:rsidP="00716889">
      <w:pPr>
        <w:rPr>
          <w:rFonts w:ascii="Arial" w:hAnsi="Arial" w:cs="Arial"/>
        </w:rPr>
      </w:pPr>
    </w:p>
    <w:p w14:paraId="3ADD6ABC" w14:textId="77777777" w:rsidR="00716889" w:rsidRPr="00716889" w:rsidRDefault="00716889" w:rsidP="00716889">
      <w:pPr>
        <w:rPr>
          <w:rFonts w:ascii="Arial" w:hAnsi="Arial" w:cs="Arial"/>
        </w:rPr>
      </w:pPr>
    </w:p>
    <w:p w14:paraId="5B548177" w14:textId="77777777" w:rsidR="00716889" w:rsidRPr="00716889" w:rsidRDefault="00716889" w:rsidP="00716889">
      <w:pPr>
        <w:rPr>
          <w:rFonts w:ascii="Arial" w:hAnsi="Arial" w:cs="Arial"/>
        </w:rPr>
      </w:pPr>
    </w:p>
    <w:p w14:paraId="4E8F0934" w14:textId="77777777" w:rsidR="006B6F85" w:rsidRPr="00716889" w:rsidRDefault="006B6F85">
      <w:pPr>
        <w:rPr>
          <w:rFonts w:ascii="Arial" w:hAnsi="Arial" w:cs="Arial"/>
        </w:rPr>
      </w:pPr>
    </w:p>
    <w:sectPr w:rsidR="006B6F85" w:rsidRPr="00716889" w:rsidSect="00716889">
      <w:head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728C" w14:textId="77777777" w:rsidR="00D21006" w:rsidRDefault="00D21006" w:rsidP="00716889">
      <w:pPr>
        <w:spacing w:after="0" w:line="240" w:lineRule="auto"/>
      </w:pPr>
      <w:r>
        <w:separator/>
      </w:r>
    </w:p>
  </w:endnote>
  <w:endnote w:type="continuationSeparator" w:id="0">
    <w:p w14:paraId="6DE2CA41" w14:textId="77777777" w:rsidR="00D21006" w:rsidRDefault="00D21006" w:rsidP="0071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A3AD" w14:textId="77777777" w:rsidR="00D21006" w:rsidRDefault="00D21006" w:rsidP="00716889">
      <w:pPr>
        <w:spacing w:after="0" w:line="240" w:lineRule="auto"/>
      </w:pPr>
      <w:r>
        <w:separator/>
      </w:r>
    </w:p>
  </w:footnote>
  <w:footnote w:type="continuationSeparator" w:id="0">
    <w:p w14:paraId="1218F032" w14:textId="77777777" w:rsidR="00D21006" w:rsidRDefault="00D21006" w:rsidP="00716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A1A8" w14:textId="61A3C768" w:rsidR="00716889" w:rsidRDefault="00716889">
    <w:pPr>
      <w:pStyle w:val="Header"/>
    </w:pPr>
  </w:p>
  <w:p w14:paraId="247280D2" w14:textId="77777777" w:rsidR="00716889" w:rsidRDefault="00716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D50E" w14:textId="66EF2DEF" w:rsidR="00716889" w:rsidRDefault="00716889">
    <w:pPr>
      <w:pStyle w:val="Header"/>
    </w:pPr>
    <w:r>
      <w:rPr>
        <w:noProof/>
        <w:lang w:eastAsia="en-GB"/>
      </w:rPr>
      <w:drawing>
        <wp:anchor distT="0" distB="0" distL="114300" distR="114300" simplePos="0" relativeHeight="251659264" behindDoc="0" locked="0" layoutInCell="1" allowOverlap="1" wp14:anchorId="00C20A43" wp14:editId="3BB28577">
          <wp:simplePos x="0" y="0"/>
          <wp:positionH relativeFrom="page">
            <wp:align>left</wp:align>
          </wp:positionH>
          <wp:positionV relativeFrom="page">
            <wp:posOffset>35069</wp:posOffset>
          </wp:positionV>
          <wp:extent cx="7595870" cy="1630045"/>
          <wp:effectExtent l="0" t="0" r="508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h - Mailchim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630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5C3"/>
    <w:multiLevelType w:val="hybridMultilevel"/>
    <w:tmpl w:val="3664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B5D30"/>
    <w:multiLevelType w:val="hybridMultilevel"/>
    <w:tmpl w:val="A8D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25455"/>
    <w:multiLevelType w:val="hybridMultilevel"/>
    <w:tmpl w:val="2B36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34294"/>
    <w:multiLevelType w:val="hybridMultilevel"/>
    <w:tmpl w:val="BB40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675BD"/>
    <w:multiLevelType w:val="hybridMultilevel"/>
    <w:tmpl w:val="46B02920"/>
    <w:lvl w:ilvl="0" w:tplc="046E6C1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405941"/>
    <w:multiLevelType w:val="hybridMultilevel"/>
    <w:tmpl w:val="CD467A9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4306D9"/>
    <w:multiLevelType w:val="hybridMultilevel"/>
    <w:tmpl w:val="B3D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1129A"/>
    <w:multiLevelType w:val="hybridMultilevel"/>
    <w:tmpl w:val="9764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6031F"/>
    <w:multiLevelType w:val="hybridMultilevel"/>
    <w:tmpl w:val="F9D4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76F71"/>
    <w:multiLevelType w:val="hybridMultilevel"/>
    <w:tmpl w:val="095A1676"/>
    <w:lvl w:ilvl="0" w:tplc="046E6C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12FFE"/>
    <w:multiLevelType w:val="hybridMultilevel"/>
    <w:tmpl w:val="A49A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54159"/>
    <w:multiLevelType w:val="hybridMultilevel"/>
    <w:tmpl w:val="01F8FF8A"/>
    <w:lvl w:ilvl="0" w:tplc="046E6C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03631"/>
    <w:multiLevelType w:val="hybridMultilevel"/>
    <w:tmpl w:val="57B2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50C52"/>
    <w:multiLevelType w:val="hybridMultilevel"/>
    <w:tmpl w:val="D162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0"/>
  </w:num>
  <w:num w:numId="5">
    <w:abstractNumId w:val="12"/>
  </w:num>
  <w:num w:numId="6">
    <w:abstractNumId w:val="3"/>
  </w:num>
  <w:num w:numId="7">
    <w:abstractNumId w:val="11"/>
  </w:num>
  <w:num w:numId="8">
    <w:abstractNumId w:val="4"/>
  </w:num>
  <w:num w:numId="9">
    <w:abstractNumId w:val="9"/>
  </w:num>
  <w:num w:numId="10">
    <w:abstractNumId w:val="5"/>
  </w:num>
  <w:num w:numId="11">
    <w:abstractNumId w:val="8"/>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89"/>
    <w:rsid w:val="000A148C"/>
    <w:rsid w:val="00661D9E"/>
    <w:rsid w:val="006B6F85"/>
    <w:rsid w:val="00716889"/>
    <w:rsid w:val="00823556"/>
    <w:rsid w:val="0091341D"/>
    <w:rsid w:val="00BD1D4D"/>
    <w:rsid w:val="00D21006"/>
    <w:rsid w:val="00FE1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CB58"/>
  <w15:chartTrackingRefBased/>
  <w15:docId w15:val="{F3B663DF-67E8-47E0-8B49-3D1996F3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889"/>
    <w:pPr>
      <w:keepNext/>
      <w:keepLines/>
      <w:spacing w:before="240" w:after="0"/>
      <w:outlineLvl w:val="0"/>
    </w:pPr>
    <w:rPr>
      <w:rFonts w:ascii="Arial" w:eastAsiaTheme="majorEastAsia" w:hAnsi="Arial" w:cstheme="majorBidi"/>
      <w:b/>
      <w:color w:val="005EB8"/>
      <w:sz w:val="32"/>
      <w:szCs w:val="32"/>
    </w:rPr>
  </w:style>
  <w:style w:type="paragraph" w:styleId="Heading2">
    <w:name w:val="heading 2"/>
    <w:basedOn w:val="Normal"/>
    <w:next w:val="Normal"/>
    <w:link w:val="Heading2Char"/>
    <w:uiPriority w:val="9"/>
    <w:unhideWhenUsed/>
    <w:qFormat/>
    <w:rsid w:val="00716889"/>
    <w:pPr>
      <w:keepNext/>
      <w:keepLines/>
      <w:spacing w:before="40" w:after="0"/>
      <w:outlineLvl w:val="1"/>
    </w:pPr>
    <w:rPr>
      <w:rFonts w:ascii="Arial" w:eastAsiaTheme="majorEastAsia" w:hAnsi="Arial" w:cstheme="majorBidi"/>
      <w:b/>
      <w:color w:val="005EB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889"/>
  </w:style>
  <w:style w:type="paragraph" w:styleId="Footer">
    <w:name w:val="footer"/>
    <w:basedOn w:val="Normal"/>
    <w:link w:val="FooterChar"/>
    <w:uiPriority w:val="99"/>
    <w:unhideWhenUsed/>
    <w:rsid w:val="00716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889"/>
  </w:style>
  <w:style w:type="character" w:customStyle="1" w:styleId="Heading1Char">
    <w:name w:val="Heading 1 Char"/>
    <w:basedOn w:val="DefaultParagraphFont"/>
    <w:link w:val="Heading1"/>
    <w:uiPriority w:val="9"/>
    <w:rsid w:val="00716889"/>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rsid w:val="00716889"/>
    <w:rPr>
      <w:rFonts w:ascii="Arial" w:eastAsiaTheme="majorEastAsia" w:hAnsi="Arial" w:cstheme="majorBidi"/>
      <w:b/>
      <w:color w:val="005EB8"/>
      <w:sz w:val="28"/>
      <w:szCs w:val="26"/>
    </w:rPr>
  </w:style>
  <w:style w:type="character" w:styleId="Hyperlink">
    <w:name w:val="Hyperlink"/>
    <w:basedOn w:val="DefaultParagraphFont"/>
    <w:uiPriority w:val="99"/>
    <w:unhideWhenUsed/>
    <w:rsid w:val="00716889"/>
    <w:rPr>
      <w:color w:val="0563C1" w:themeColor="hyperlink"/>
      <w:u w:val="single"/>
    </w:rPr>
  </w:style>
  <w:style w:type="character" w:styleId="UnresolvedMention">
    <w:name w:val="Unresolved Mention"/>
    <w:basedOn w:val="DefaultParagraphFont"/>
    <w:uiPriority w:val="99"/>
    <w:semiHidden/>
    <w:unhideWhenUsed/>
    <w:rsid w:val="00716889"/>
    <w:rPr>
      <w:color w:val="605E5C"/>
      <w:shd w:val="clear" w:color="auto" w:fill="E1DFDD"/>
    </w:rPr>
  </w:style>
  <w:style w:type="character" w:styleId="CommentReference">
    <w:name w:val="annotation reference"/>
    <w:basedOn w:val="DefaultParagraphFont"/>
    <w:uiPriority w:val="99"/>
    <w:semiHidden/>
    <w:unhideWhenUsed/>
    <w:rsid w:val="00716889"/>
    <w:rPr>
      <w:sz w:val="16"/>
      <w:szCs w:val="16"/>
    </w:rPr>
  </w:style>
  <w:style w:type="paragraph" w:styleId="CommentText">
    <w:name w:val="annotation text"/>
    <w:basedOn w:val="Normal"/>
    <w:link w:val="CommentTextChar"/>
    <w:uiPriority w:val="99"/>
    <w:semiHidden/>
    <w:unhideWhenUsed/>
    <w:rsid w:val="00716889"/>
    <w:pPr>
      <w:spacing w:line="240" w:lineRule="auto"/>
    </w:pPr>
    <w:rPr>
      <w:sz w:val="20"/>
      <w:szCs w:val="20"/>
    </w:rPr>
  </w:style>
  <w:style w:type="character" w:customStyle="1" w:styleId="CommentTextChar">
    <w:name w:val="Comment Text Char"/>
    <w:basedOn w:val="DefaultParagraphFont"/>
    <w:link w:val="CommentText"/>
    <w:uiPriority w:val="99"/>
    <w:semiHidden/>
    <w:rsid w:val="00716889"/>
    <w:rPr>
      <w:sz w:val="20"/>
      <w:szCs w:val="20"/>
    </w:rPr>
  </w:style>
  <w:style w:type="paragraph" w:styleId="CommentSubject">
    <w:name w:val="annotation subject"/>
    <w:basedOn w:val="CommentText"/>
    <w:next w:val="CommentText"/>
    <w:link w:val="CommentSubjectChar"/>
    <w:uiPriority w:val="99"/>
    <w:semiHidden/>
    <w:unhideWhenUsed/>
    <w:rsid w:val="00716889"/>
    <w:rPr>
      <w:b/>
      <w:bCs/>
    </w:rPr>
  </w:style>
  <w:style w:type="character" w:customStyle="1" w:styleId="CommentSubjectChar">
    <w:name w:val="Comment Subject Char"/>
    <w:basedOn w:val="CommentTextChar"/>
    <w:link w:val="CommentSubject"/>
    <w:uiPriority w:val="99"/>
    <w:semiHidden/>
    <w:rsid w:val="00716889"/>
    <w:rPr>
      <w:b/>
      <w:bCs/>
      <w:sz w:val="20"/>
      <w:szCs w:val="20"/>
    </w:rPr>
  </w:style>
  <w:style w:type="paragraph" w:styleId="ListParagraph">
    <w:name w:val="List Paragraph"/>
    <w:basedOn w:val="Normal"/>
    <w:uiPriority w:val="34"/>
    <w:qFormat/>
    <w:rsid w:val="00716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psnc.org.uk/dispensing-supply/eps/endorsing-and-submission/problem-with-product-information-in-dosage-instruc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snc.org.uk/dispensing-supply/endorsement/fees-allowances/" TargetMode="External"/><Relationship Id="rId7" Type="http://schemas.openxmlformats.org/officeDocument/2006/relationships/hyperlink" Target="https://www.nhsbsa.nhs.uk/pharmacies-gp-practices-and-appliance-contractors/drug-tariff" TargetMode="External"/><Relationship Id="rId12" Type="http://schemas.openxmlformats.org/officeDocument/2006/relationships/hyperlink" Target="https://psnc.org.uk/dispensing-supply/endorsement/endorsement-guidance/" TargetMode="External"/><Relationship Id="rId17" Type="http://schemas.openxmlformats.org/officeDocument/2006/relationships/hyperlink" Target="https://www.nhsbsa.nhs.uk/pharmacies-gp-practices-and-appliance-contractors/dispensing-contractors-information/pay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bsa.nhs.uk/pharmacies-gp-practices-and-appliance-contractors/dispensing-contractors-information/payment-information"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nc.org.uk/dispensing-supply/endorsement/fees-allowanc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snc.org.uk/dispensing-supply/payment-accuracy/prescription-submission/how-to-prepare-your-prescription-bundle/" TargetMode="External"/><Relationship Id="rId23" Type="http://schemas.openxmlformats.org/officeDocument/2006/relationships/header" Target="header1.xml"/><Relationship Id="rId10" Type="http://schemas.openxmlformats.org/officeDocument/2006/relationships/hyperlink" Target="https://www.nhsbsa.nhs.uk/sites/default/files/2019-06/NHSBSAGuidanceforEndorsement_v7.1_May_2019_Final%20%28PDF%20420kb%29.pdf" TargetMode="External"/><Relationship Id="rId19" Type="http://schemas.openxmlformats.org/officeDocument/2006/relationships/hyperlink" Target="https://psnc.org.uk/dispensing-supply/eps/endorsing-and-submission/problem-with-product-information-in-dosage-instruc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hsbsa.nhs.uk/pharmacies-gp-practices-and-appliance-contractors/submitting-prescriptions/sorting-your-fp10s" TargetMode="External"/><Relationship Id="rId22" Type="http://schemas.openxmlformats.org/officeDocument/2006/relationships/hyperlink" Target="https://psnc.org.uk/wp-content/uploads/2013/07/Dispensing-Factsheet-Unlicensed-specials-and-impor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Andrew Green</cp:lastModifiedBy>
  <cp:revision>4</cp:revision>
  <dcterms:created xsi:type="dcterms:W3CDTF">2021-04-28T15:23:00Z</dcterms:created>
  <dcterms:modified xsi:type="dcterms:W3CDTF">2021-04-30T06:42:00Z</dcterms:modified>
</cp:coreProperties>
</file>