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DF66" w14:textId="77777777" w:rsidR="002547CC" w:rsidRDefault="002547CC" w:rsidP="002547CC">
      <w:pPr>
        <w:spacing w:after="0"/>
        <w:rPr>
          <w:rFonts w:ascii="Arial" w:hAnsi="Arial" w:cs="Arial"/>
          <w:b/>
          <w:color w:val="548DD4"/>
          <w:sz w:val="28"/>
          <w:szCs w:val="28"/>
        </w:rPr>
      </w:pPr>
    </w:p>
    <w:p w14:paraId="070241C5" w14:textId="77777777" w:rsidR="00535DC1" w:rsidRDefault="00535DC1" w:rsidP="002547CC">
      <w:pPr>
        <w:spacing w:after="0"/>
        <w:rPr>
          <w:rFonts w:ascii="Arial" w:hAnsi="Arial" w:cs="Arial"/>
          <w:b/>
          <w:color w:val="548DD4"/>
          <w:sz w:val="28"/>
          <w:szCs w:val="28"/>
        </w:rPr>
      </w:pPr>
    </w:p>
    <w:p w14:paraId="7CA1E3D3" w14:textId="77777777" w:rsidR="005C7751" w:rsidRDefault="00D400A3" w:rsidP="00D400A3">
      <w:pPr>
        <w:tabs>
          <w:tab w:val="left" w:pos="2322"/>
        </w:tabs>
        <w:spacing w:after="0"/>
        <w:rPr>
          <w:rFonts w:ascii="Arial" w:hAnsi="Arial" w:cs="Arial"/>
          <w:b/>
          <w:color w:val="548DD4"/>
          <w:sz w:val="48"/>
          <w:szCs w:val="48"/>
        </w:rPr>
      </w:pPr>
      <w:r>
        <w:rPr>
          <w:rFonts w:ascii="Arial" w:hAnsi="Arial" w:cs="Arial"/>
          <w:b/>
          <w:color w:val="548DD4"/>
          <w:sz w:val="48"/>
          <w:szCs w:val="48"/>
        </w:rPr>
        <w:tab/>
      </w:r>
    </w:p>
    <w:p w14:paraId="57BCD68B" w14:textId="270AFB78" w:rsidR="003A5E47" w:rsidRDefault="00F14685" w:rsidP="002547CC">
      <w:pPr>
        <w:spacing w:after="0"/>
        <w:rPr>
          <w:rFonts w:ascii="Arial" w:hAnsi="Arial" w:cs="Arial"/>
          <w:b/>
          <w:color w:val="548DD4"/>
          <w:sz w:val="48"/>
          <w:szCs w:val="48"/>
        </w:rPr>
      </w:pPr>
      <w:r w:rsidRPr="008A6C13">
        <w:rPr>
          <w:rFonts w:ascii="Arial" w:hAnsi="Arial" w:cs="Arial"/>
          <w:b/>
          <w:color w:val="548DD4"/>
          <w:sz w:val="48"/>
          <w:szCs w:val="48"/>
        </w:rPr>
        <w:t>Antimicrobial Stewardship</w:t>
      </w:r>
      <w:r w:rsidR="00621B1B">
        <w:rPr>
          <w:rFonts w:ascii="Arial" w:hAnsi="Arial" w:cs="Arial"/>
          <w:b/>
          <w:color w:val="548DD4"/>
          <w:sz w:val="48"/>
          <w:szCs w:val="48"/>
        </w:rPr>
        <w:t xml:space="preserve"> </w:t>
      </w:r>
    </w:p>
    <w:p w14:paraId="665DF301" w14:textId="77777777" w:rsidR="00621B1B" w:rsidRPr="008A6C13" w:rsidRDefault="00621B1B" w:rsidP="002547CC">
      <w:pPr>
        <w:spacing w:after="0"/>
        <w:rPr>
          <w:rFonts w:ascii="Arial" w:hAnsi="Arial" w:cs="Arial"/>
          <w:b/>
          <w:color w:val="548DD4"/>
          <w:sz w:val="48"/>
          <w:szCs w:val="48"/>
        </w:rPr>
      </w:pPr>
    </w:p>
    <w:p w14:paraId="027F66DF" w14:textId="1FA1C193" w:rsidR="0020700E" w:rsidRPr="008A6C13" w:rsidRDefault="008F1CCB" w:rsidP="002547CC">
      <w:pPr>
        <w:spacing w:after="0"/>
        <w:rPr>
          <w:rFonts w:ascii="Arial" w:hAnsi="Arial" w:cs="Arial"/>
          <w:b/>
          <w:color w:val="548DD4"/>
          <w:sz w:val="44"/>
          <w:szCs w:val="44"/>
        </w:rPr>
      </w:pPr>
      <w:r w:rsidRPr="00E5045A">
        <w:rPr>
          <w:rFonts w:ascii="Arial" w:hAnsi="Arial" w:cs="Arial"/>
          <w:b/>
          <w:color w:val="548DD4"/>
          <w:sz w:val="44"/>
          <w:szCs w:val="44"/>
        </w:rPr>
        <w:t>Dashboard – Children</w:t>
      </w:r>
      <w:r>
        <w:rPr>
          <w:rFonts w:ascii="Arial" w:hAnsi="Arial" w:cs="Arial"/>
          <w:b/>
          <w:color w:val="548DD4"/>
          <w:sz w:val="44"/>
          <w:szCs w:val="44"/>
        </w:rPr>
        <w:t xml:space="preserve"> </w:t>
      </w:r>
    </w:p>
    <w:p w14:paraId="6C9A1A5A" w14:textId="77777777" w:rsidR="00C726A3" w:rsidRPr="008A6C13" w:rsidRDefault="00C726A3" w:rsidP="002547CC">
      <w:pPr>
        <w:spacing w:after="0"/>
        <w:rPr>
          <w:rFonts w:ascii="Arial" w:hAnsi="Arial" w:cs="Arial"/>
          <w:b/>
          <w:color w:val="548DD4"/>
          <w:sz w:val="44"/>
          <w:szCs w:val="44"/>
        </w:rPr>
      </w:pPr>
    </w:p>
    <w:p w14:paraId="6EF1E861" w14:textId="77777777" w:rsidR="0052604E" w:rsidRPr="008A6C13" w:rsidRDefault="00C726A3" w:rsidP="002547CC">
      <w:pPr>
        <w:spacing w:after="0"/>
        <w:rPr>
          <w:rFonts w:ascii="Arial" w:hAnsi="Arial" w:cs="Arial"/>
          <w:b/>
          <w:color w:val="548DD4"/>
          <w:sz w:val="44"/>
          <w:szCs w:val="44"/>
        </w:rPr>
      </w:pPr>
      <w:r w:rsidRPr="008A6C13">
        <w:rPr>
          <w:rFonts w:ascii="Arial" w:hAnsi="Arial" w:cs="Arial"/>
          <w:b/>
          <w:color w:val="548DD4"/>
          <w:sz w:val="44"/>
          <w:szCs w:val="44"/>
        </w:rPr>
        <w:t xml:space="preserve">Version: </w:t>
      </w:r>
      <w:r w:rsidR="009E632C">
        <w:rPr>
          <w:rFonts w:ascii="Arial" w:hAnsi="Arial" w:cs="Arial"/>
          <w:b/>
          <w:color w:val="548DD4"/>
          <w:sz w:val="44"/>
          <w:szCs w:val="44"/>
        </w:rPr>
        <w:t>September</w:t>
      </w:r>
      <w:r w:rsidR="00F26409" w:rsidRPr="008A6C13">
        <w:rPr>
          <w:rFonts w:ascii="Arial" w:hAnsi="Arial" w:cs="Arial"/>
          <w:b/>
          <w:color w:val="548DD4"/>
          <w:sz w:val="44"/>
          <w:szCs w:val="44"/>
        </w:rPr>
        <w:t xml:space="preserve"> </w:t>
      </w:r>
      <w:r w:rsidR="00F14685" w:rsidRPr="008A6C13">
        <w:rPr>
          <w:rFonts w:ascii="Arial" w:hAnsi="Arial" w:cs="Arial"/>
          <w:b/>
          <w:color w:val="548DD4"/>
          <w:sz w:val="44"/>
          <w:szCs w:val="44"/>
        </w:rPr>
        <w:t>202</w:t>
      </w:r>
      <w:r w:rsidR="00F26409" w:rsidRPr="008A6C13">
        <w:rPr>
          <w:rFonts w:ascii="Arial" w:hAnsi="Arial" w:cs="Arial"/>
          <w:b/>
          <w:color w:val="548DD4"/>
          <w:sz w:val="44"/>
          <w:szCs w:val="44"/>
        </w:rPr>
        <w:t>1</w:t>
      </w:r>
    </w:p>
    <w:p w14:paraId="516CC18E" w14:textId="77777777" w:rsidR="0052604E" w:rsidRPr="008A6C13" w:rsidRDefault="0052604E" w:rsidP="002547CC">
      <w:pPr>
        <w:spacing w:after="0"/>
        <w:rPr>
          <w:rFonts w:ascii="Arial" w:hAnsi="Arial" w:cs="Arial"/>
          <w:b/>
          <w:color w:val="548DD4"/>
          <w:sz w:val="48"/>
          <w:szCs w:val="48"/>
        </w:rPr>
      </w:pPr>
    </w:p>
    <w:p w14:paraId="544A4937" w14:textId="77777777" w:rsidR="005C7751" w:rsidRPr="008A6C13" w:rsidRDefault="005C7751" w:rsidP="002547CC">
      <w:pPr>
        <w:spacing w:after="0"/>
        <w:rPr>
          <w:rFonts w:ascii="Arial" w:hAnsi="Arial" w:cs="Arial"/>
          <w:b/>
          <w:color w:val="548DD4"/>
          <w:sz w:val="44"/>
          <w:szCs w:val="44"/>
        </w:rPr>
      </w:pPr>
    </w:p>
    <w:p w14:paraId="40E79AA6" w14:textId="77777777" w:rsidR="00C9175E" w:rsidRPr="008A6C13" w:rsidRDefault="0052604E" w:rsidP="002547CC">
      <w:pPr>
        <w:spacing w:after="0"/>
        <w:rPr>
          <w:rFonts w:ascii="Arial" w:hAnsi="Arial" w:cs="Arial"/>
          <w:b/>
          <w:color w:val="548DD4"/>
          <w:sz w:val="44"/>
          <w:szCs w:val="44"/>
        </w:rPr>
      </w:pPr>
      <w:r w:rsidRPr="008A6C13">
        <w:rPr>
          <w:rFonts w:ascii="Arial" w:hAnsi="Arial" w:cs="Arial"/>
          <w:b/>
          <w:color w:val="548DD4"/>
          <w:sz w:val="44"/>
          <w:szCs w:val="44"/>
        </w:rPr>
        <w:t>Comparator Descriptions and Specifications</w:t>
      </w:r>
      <w:r w:rsidR="002547CC" w:rsidRPr="008A6C13">
        <w:rPr>
          <w:rFonts w:ascii="Arial" w:hAnsi="Arial" w:cs="Arial"/>
          <w:b/>
          <w:color w:val="548DD4"/>
          <w:sz w:val="44"/>
          <w:szCs w:val="44"/>
        </w:rPr>
        <w:t xml:space="preserve"> </w:t>
      </w:r>
    </w:p>
    <w:p w14:paraId="102499B7" w14:textId="77777777" w:rsidR="008A139B" w:rsidRPr="008A6C13" w:rsidRDefault="008A139B" w:rsidP="008A139B">
      <w:pPr>
        <w:pStyle w:val="Heading1"/>
        <w:rPr>
          <w:sz w:val="22"/>
          <w:szCs w:val="22"/>
        </w:rPr>
      </w:pPr>
    </w:p>
    <w:p w14:paraId="6729B8ED" w14:textId="77777777" w:rsidR="008A139B" w:rsidRPr="008A6C13" w:rsidRDefault="008A139B" w:rsidP="008A139B"/>
    <w:p w14:paraId="46A845D2" w14:textId="77777777" w:rsidR="008A139B" w:rsidRPr="008A6C13" w:rsidRDefault="008A139B" w:rsidP="008A139B"/>
    <w:p w14:paraId="408B6E71" w14:textId="77777777" w:rsidR="008A139B" w:rsidRPr="008A6C13" w:rsidRDefault="008A139B" w:rsidP="008A139B"/>
    <w:p w14:paraId="4018C722" w14:textId="77777777" w:rsidR="008A139B" w:rsidRPr="008A6C13" w:rsidRDefault="008A139B" w:rsidP="008A139B"/>
    <w:p w14:paraId="119C3447" w14:textId="77777777" w:rsidR="008A139B" w:rsidRPr="008A6C13" w:rsidRDefault="008A139B" w:rsidP="008A139B"/>
    <w:p w14:paraId="308E41DD" w14:textId="77777777" w:rsidR="008A139B" w:rsidRPr="008A6C13" w:rsidRDefault="008A139B" w:rsidP="008A139B"/>
    <w:p w14:paraId="5C818C5B" w14:textId="77777777" w:rsidR="008A139B" w:rsidRPr="008A6C13" w:rsidRDefault="008A139B" w:rsidP="008A139B"/>
    <w:p w14:paraId="70F26D6D" w14:textId="77777777" w:rsidR="008A139B" w:rsidRPr="008A6C13" w:rsidRDefault="008A139B" w:rsidP="008A139B"/>
    <w:p w14:paraId="1F5CDDCB" w14:textId="77777777" w:rsidR="008A139B" w:rsidRPr="008A6C13" w:rsidRDefault="008A139B">
      <w:pPr>
        <w:pStyle w:val="TOCHeading"/>
        <w:rPr>
          <w:color w:val="auto"/>
        </w:rPr>
      </w:pPr>
    </w:p>
    <w:p w14:paraId="48B57D80" w14:textId="77777777" w:rsidR="00C93395" w:rsidRPr="00DD6354" w:rsidRDefault="002059A2" w:rsidP="002059A2">
      <w:pPr>
        <w:rPr>
          <w:rFonts w:ascii="Arial" w:hAnsi="Arial" w:cs="Arial"/>
          <w:b/>
          <w:bCs/>
        </w:rPr>
      </w:pPr>
      <w:r>
        <w:br w:type="page"/>
      </w:r>
      <w:bookmarkStart w:id="0" w:name="_Toc473297126"/>
      <w:bookmarkStart w:id="1" w:name="_Toc473635659"/>
      <w:bookmarkStart w:id="2" w:name="_Toc473636473"/>
      <w:bookmarkStart w:id="3" w:name="_Toc475027473"/>
      <w:r w:rsidR="00C93395" w:rsidRPr="00DD6354">
        <w:rPr>
          <w:rFonts w:ascii="Arial" w:hAnsi="Arial" w:cs="Arial"/>
          <w:b/>
          <w:bCs/>
        </w:rPr>
        <w:lastRenderedPageBreak/>
        <w:t>Contents</w:t>
      </w:r>
    </w:p>
    <w:p w14:paraId="0B1CBC04" w14:textId="62566E6F" w:rsidR="00DD6354" w:rsidRPr="00DD6354" w:rsidRDefault="00C93395">
      <w:pPr>
        <w:pStyle w:val="TOC1"/>
        <w:tabs>
          <w:tab w:val="right" w:leader="dot" w:pos="9628"/>
        </w:tabs>
        <w:rPr>
          <w:rFonts w:ascii="Arial" w:eastAsiaTheme="minorEastAsia" w:hAnsi="Arial" w:cs="Arial"/>
          <w:noProof/>
          <w:lang w:eastAsia="en-GB"/>
        </w:rPr>
      </w:pPr>
      <w:r w:rsidRPr="00DD6354">
        <w:rPr>
          <w:rFonts w:ascii="Arial" w:hAnsi="Arial" w:cs="Arial"/>
        </w:rPr>
        <w:fldChar w:fldCharType="begin"/>
      </w:r>
      <w:r w:rsidRPr="00DD6354">
        <w:rPr>
          <w:rFonts w:ascii="Arial" w:hAnsi="Arial" w:cs="Arial"/>
        </w:rPr>
        <w:instrText xml:space="preserve"> TOC \o "1-3" \h \z \u </w:instrText>
      </w:r>
      <w:r w:rsidRPr="00DD6354">
        <w:rPr>
          <w:rFonts w:ascii="Arial" w:hAnsi="Arial" w:cs="Arial"/>
        </w:rPr>
        <w:fldChar w:fldCharType="separate"/>
      </w:r>
      <w:hyperlink w:anchor="_Toc82592067" w:history="1">
        <w:r w:rsidR="00DD6354" w:rsidRPr="00DD6354">
          <w:rPr>
            <w:rStyle w:val="Hyperlink"/>
            <w:rFonts w:ascii="Arial" w:hAnsi="Arial" w:cs="Arial"/>
            <w:noProof/>
          </w:rPr>
          <w:t>Background</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_Toc82592067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4</w:t>
        </w:r>
        <w:r w:rsidR="00DD6354" w:rsidRPr="00DD6354">
          <w:rPr>
            <w:rFonts w:ascii="Arial" w:hAnsi="Arial" w:cs="Arial"/>
            <w:noProof/>
            <w:webHidden/>
          </w:rPr>
          <w:fldChar w:fldCharType="end"/>
        </w:r>
      </w:hyperlink>
    </w:p>
    <w:p w14:paraId="68658E23" w14:textId="657AFC53" w:rsidR="00DD6354" w:rsidRPr="00DD6354" w:rsidRDefault="00593B60">
      <w:pPr>
        <w:pStyle w:val="TOC1"/>
        <w:tabs>
          <w:tab w:val="right" w:leader="dot" w:pos="9628"/>
        </w:tabs>
        <w:rPr>
          <w:rFonts w:ascii="Arial" w:eastAsiaTheme="minorEastAsia" w:hAnsi="Arial" w:cs="Arial"/>
          <w:noProof/>
          <w:lang w:eastAsia="en-GB"/>
        </w:rPr>
      </w:pPr>
      <w:hyperlink w:anchor="_Toc82592068" w:history="1">
        <w:r w:rsidR="00DD6354" w:rsidRPr="00DD6354">
          <w:rPr>
            <w:rStyle w:val="Hyperlink"/>
            <w:rFonts w:ascii="Arial" w:hAnsi="Arial" w:cs="Arial"/>
            <w:noProof/>
          </w:rPr>
          <w:t>Purpose</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_Toc82592068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5</w:t>
        </w:r>
        <w:r w:rsidR="00DD6354" w:rsidRPr="00DD6354">
          <w:rPr>
            <w:rFonts w:ascii="Arial" w:hAnsi="Arial" w:cs="Arial"/>
            <w:noProof/>
            <w:webHidden/>
          </w:rPr>
          <w:fldChar w:fldCharType="end"/>
        </w:r>
      </w:hyperlink>
    </w:p>
    <w:p w14:paraId="1B0AC6C2" w14:textId="7F2A251B" w:rsidR="00DD6354" w:rsidRPr="00DD6354" w:rsidRDefault="00593B60">
      <w:pPr>
        <w:pStyle w:val="TOC1"/>
        <w:tabs>
          <w:tab w:val="right" w:leader="dot" w:pos="9628"/>
        </w:tabs>
        <w:rPr>
          <w:rFonts w:ascii="Arial" w:eastAsiaTheme="minorEastAsia" w:hAnsi="Arial" w:cs="Arial"/>
          <w:noProof/>
          <w:lang w:eastAsia="en-GB"/>
        </w:rPr>
      </w:pPr>
      <w:hyperlink w:anchor="_Toc82592069" w:history="1">
        <w:r w:rsidR="00DD6354" w:rsidRPr="00DD6354">
          <w:rPr>
            <w:rStyle w:val="Hyperlink"/>
            <w:rFonts w:ascii="Arial" w:hAnsi="Arial" w:cs="Arial"/>
            <w:noProof/>
          </w:rPr>
          <w:t>Limitations</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_Toc82592069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5</w:t>
        </w:r>
        <w:r w:rsidR="00DD6354" w:rsidRPr="00DD6354">
          <w:rPr>
            <w:rFonts w:ascii="Arial" w:hAnsi="Arial" w:cs="Arial"/>
            <w:noProof/>
            <w:webHidden/>
          </w:rPr>
          <w:fldChar w:fldCharType="end"/>
        </w:r>
      </w:hyperlink>
    </w:p>
    <w:p w14:paraId="0777C57D" w14:textId="504EF63C" w:rsidR="00DD6354" w:rsidRPr="00DD6354" w:rsidRDefault="00593B60">
      <w:pPr>
        <w:pStyle w:val="TOC1"/>
        <w:tabs>
          <w:tab w:val="right" w:leader="dot" w:pos="9628"/>
        </w:tabs>
        <w:rPr>
          <w:rFonts w:ascii="Arial" w:eastAsiaTheme="minorEastAsia" w:hAnsi="Arial" w:cs="Arial"/>
          <w:noProof/>
          <w:lang w:eastAsia="en-GB"/>
        </w:rPr>
      </w:pPr>
      <w:hyperlink w:anchor="_Toc82592070" w:history="1">
        <w:r w:rsidR="00DD6354" w:rsidRPr="00DD6354">
          <w:rPr>
            <w:rStyle w:val="Hyperlink"/>
            <w:rFonts w:ascii="Arial" w:hAnsi="Arial" w:cs="Arial"/>
            <w:noProof/>
          </w:rPr>
          <w:t>Table 1: List of comparators</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_Toc82592070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5</w:t>
        </w:r>
        <w:r w:rsidR="00DD6354" w:rsidRPr="00DD6354">
          <w:rPr>
            <w:rFonts w:ascii="Arial" w:hAnsi="Arial" w:cs="Arial"/>
            <w:noProof/>
            <w:webHidden/>
          </w:rPr>
          <w:fldChar w:fldCharType="end"/>
        </w:r>
      </w:hyperlink>
    </w:p>
    <w:p w14:paraId="18E00B0E" w14:textId="0363D9BF" w:rsidR="00DD6354" w:rsidRPr="00DD6354" w:rsidRDefault="00593B60">
      <w:pPr>
        <w:pStyle w:val="TOC1"/>
        <w:tabs>
          <w:tab w:val="right" w:leader="dot" w:pos="9628"/>
        </w:tabs>
        <w:rPr>
          <w:rFonts w:ascii="Arial" w:eastAsiaTheme="minorEastAsia" w:hAnsi="Arial" w:cs="Arial"/>
          <w:noProof/>
          <w:lang w:eastAsia="en-GB"/>
        </w:rPr>
      </w:pPr>
      <w:hyperlink w:anchor="_Toc82592071" w:history="1">
        <w:r w:rsidR="00DD6354" w:rsidRPr="00DD6354">
          <w:rPr>
            <w:rStyle w:val="Hyperlink"/>
            <w:rFonts w:ascii="Arial" w:hAnsi="Arial" w:cs="Arial"/>
            <w:noProof/>
          </w:rPr>
          <w:t>Prescribing data used in these comparators</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_Toc82592071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5</w:t>
        </w:r>
        <w:r w:rsidR="00DD6354" w:rsidRPr="00DD6354">
          <w:rPr>
            <w:rFonts w:ascii="Arial" w:hAnsi="Arial" w:cs="Arial"/>
            <w:noProof/>
            <w:webHidden/>
          </w:rPr>
          <w:fldChar w:fldCharType="end"/>
        </w:r>
      </w:hyperlink>
    </w:p>
    <w:p w14:paraId="6614C5DD" w14:textId="4271EE7F" w:rsidR="00DD6354" w:rsidRPr="00DD6354" w:rsidRDefault="00593B60">
      <w:pPr>
        <w:pStyle w:val="TOC1"/>
        <w:tabs>
          <w:tab w:val="right" w:leader="dot" w:pos="9628"/>
        </w:tabs>
        <w:rPr>
          <w:rFonts w:ascii="Arial" w:eastAsiaTheme="minorEastAsia" w:hAnsi="Arial" w:cs="Arial"/>
          <w:noProof/>
          <w:lang w:eastAsia="en-GB"/>
        </w:rPr>
      </w:pPr>
      <w:hyperlink w:anchor="_Toc82592072" w:history="1">
        <w:r w:rsidR="00DD6354" w:rsidRPr="00DD6354">
          <w:rPr>
            <w:rStyle w:val="Hyperlink"/>
            <w:rFonts w:ascii="Arial" w:hAnsi="Arial" w:cs="Arial"/>
            <w:noProof/>
          </w:rPr>
          <w:t>How to use these comparators</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_Toc82592072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6</w:t>
        </w:r>
        <w:r w:rsidR="00DD6354" w:rsidRPr="00DD6354">
          <w:rPr>
            <w:rFonts w:ascii="Arial" w:hAnsi="Arial" w:cs="Arial"/>
            <w:noProof/>
            <w:webHidden/>
          </w:rPr>
          <w:fldChar w:fldCharType="end"/>
        </w:r>
      </w:hyperlink>
    </w:p>
    <w:p w14:paraId="119E4C6E" w14:textId="7756B4F1" w:rsidR="00DD6354" w:rsidRPr="00DD6354" w:rsidRDefault="00593B60">
      <w:pPr>
        <w:pStyle w:val="TOC1"/>
        <w:tabs>
          <w:tab w:val="right" w:leader="dot" w:pos="9628"/>
        </w:tabs>
        <w:rPr>
          <w:rFonts w:ascii="Arial" w:eastAsiaTheme="minorEastAsia" w:hAnsi="Arial" w:cs="Arial"/>
          <w:noProof/>
          <w:lang w:eastAsia="en-GB"/>
        </w:rPr>
      </w:pPr>
      <w:hyperlink w:anchor="_Toc82592077" w:history="1">
        <w:r w:rsidR="00DD6354" w:rsidRPr="00DD6354">
          <w:rPr>
            <w:rStyle w:val="Hyperlink"/>
            <w:rFonts w:ascii="Arial" w:hAnsi="Arial" w:cs="Arial"/>
            <w:noProof/>
          </w:rPr>
          <w:t>Data Source:</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_Toc82592077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7</w:t>
        </w:r>
        <w:r w:rsidR="00DD6354" w:rsidRPr="00DD6354">
          <w:rPr>
            <w:rFonts w:ascii="Arial" w:hAnsi="Arial" w:cs="Arial"/>
            <w:noProof/>
            <w:webHidden/>
          </w:rPr>
          <w:fldChar w:fldCharType="end"/>
        </w:r>
      </w:hyperlink>
    </w:p>
    <w:p w14:paraId="00E6DD93" w14:textId="18E0817F" w:rsidR="00DD6354" w:rsidRPr="00DD6354" w:rsidRDefault="00593B60">
      <w:pPr>
        <w:pStyle w:val="TOC1"/>
        <w:tabs>
          <w:tab w:val="right" w:leader="dot" w:pos="9628"/>
        </w:tabs>
        <w:rPr>
          <w:rFonts w:ascii="Arial" w:eastAsiaTheme="minorEastAsia" w:hAnsi="Arial" w:cs="Arial"/>
          <w:noProof/>
          <w:lang w:eastAsia="en-GB"/>
        </w:rPr>
      </w:pPr>
      <w:hyperlink w:anchor="_Toc82592078" w:history="1">
        <w:r w:rsidR="00DD6354" w:rsidRPr="00DD6354">
          <w:rPr>
            <w:rStyle w:val="Hyperlink"/>
            <w:rFonts w:ascii="Arial" w:hAnsi="Arial" w:cs="Arial"/>
            <w:noProof/>
          </w:rPr>
          <w:t>Data owner &amp; contact details:</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_Toc82592078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7</w:t>
        </w:r>
        <w:r w:rsidR="00DD6354" w:rsidRPr="00DD6354">
          <w:rPr>
            <w:rFonts w:ascii="Arial" w:hAnsi="Arial" w:cs="Arial"/>
            <w:noProof/>
            <w:webHidden/>
          </w:rPr>
          <w:fldChar w:fldCharType="end"/>
        </w:r>
      </w:hyperlink>
    </w:p>
    <w:p w14:paraId="33CEFA10" w14:textId="5FE7F25C" w:rsidR="00DD6354" w:rsidRPr="00DD6354" w:rsidRDefault="00593B60">
      <w:pPr>
        <w:pStyle w:val="TOC1"/>
        <w:tabs>
          <w:tab w:val="right" w:leader="dot" w:pos="9628"/>
        </w:tabs>
        <w:rPr>
          <w:rFonts w:ascii="Arial" w:eastAsiaTheme="minorEastAsia" w:hAnsi="Arial" w:cs="Arial"/>
          <w:noProof/>
          <w:lang w:eastAsia="en-GB"/>
        </w:rPr>
      </w:pPr>
      <w:hyperlink w:anchor="_Toc82592079" w:history="1">
        <w:r w:rsidR="00DD6354" w:rsidRPr="00DD6354">
          <w:rPr>
            <w:rStyle w:val="Hyperlink"/>
            <w:rFonts w:ascii="Arial" w:hAnsi="Arial" w:cs="Arial"/>
            <w:noProof/>
          </w:rPr>
          <w:t>Time Frame:</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_Toc82592079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7</w:t>
        </w:r>
        <w:r w:rsidR="00DD6354" w:rsidRPr="00DD6354">
          <w:rPr>
            <w:rFonts w:ascii="Arial" w:hAnsi="Arial" w:cs="Arial"/>
            <w:noProof/>
            <w:webHidden/>
          </w:rPr>
          <w:fldChar w:fldCharType="end"/>
        </w:r>
      </w:hyperlink>
    </w:p>
    <w:p w14:paraId="265C115B" w14:textId="787DD9F0" w:rsidR="00DD6354" w:rsidRPr="00DD6354" w:rsidRDefault="00593B60">
      <w:pPr>
        <w:pStyle w:val="TOC1"/>
        <w:tabs>
          <w:tab w:val="right" w:leader="dot" w:pos="9628"/>
        </w:tabs>
        <w:rPr>
          <w:rFonts w:ascii="Arial" w:eastAsiaTheme="minorEastAsia" w:hAnsi="Arial" w:cs="Arial"/>
          <w:noProof/>
          <w:lang w:eastAsia="en-GB"/>
        </w:rPr>
      </w:pPr>
      <w:hyperlink w:anchor="_Toc82592080" w:history="1">
        <w:r w:rsidR="00DD6354" w:rsidRPr="00DD6354">
          <w:rPr>
            <w:rStyle w:val="Hyperlink"/>
            <w:rFonts w:ascii="Arial" w:hAnsi="Arial" w:cs="Arial"/>
            <w:noProof/>
          </w:rPr>
          <w:t>Data quality assurance</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_Toc82592080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7</w:t>
        </w:r>
        <w:r w:rsidR="00DD6354" w:rsidRPr="00DD6354">
          <w:rPr>
            <w:rFonts w:ascii="Arial" w:hAnsi="Arial" w:cs="Arial"/>
            <w:noProof/>
            <w:webHidden/>
          </w:rPr>
          <w:fldChar w:fldCharType="end"/>
        </w:r>
      </w:hyperlink>
    </w:p>
    <w:p w14:paraId="3512915C" w14:textId="4381B203" w:rsidR="00DD6354" w:rsidRPr="00DD6354" w:rsidRDefault="00593B60">
      <w:pPr>
        <w:pStyle w:val="TOC1"/>
        <w:tabs>
          <w:tab w:val="right" w:leader="dot" w:pos="9628"/>
        </w:tabs>
        <w:rPr>
          <w:rFonts w:ascii="Arial" w:eastAsiaTheme="minorEastAsia" w:hAnsi="Arial" w:cs="Arial"/>
          <w:noProof/>
          <w:lang w:eastAsia="en-GB"/>
        </w:rPr>
      </w:pPr>
      <w:hyperlink w:anchor="_Toc82592081" w:history="1">
        <w:r w:rsidR="00DD6354" w:rsidRPr="00DD6354">
          <w:rPr>
            <w:rStyle w:val="Hyperlink"/>
            <w:rFonts w:ascii="Arial" w:hAnsi="Arial" w:cs="Arial"/>
            <w:noProof/>
          </w:rPr>
          <w:t>Comparator Specifications</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_Toc82592081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8</w:t>
        </w:r>
        <w:r w:rsidR="00DD6354" w:rsidRPr="00DD6354">
          <w:rPr>
            <w:rFonts w:ascii="Arial" w:hAnsi="Arial" w:cs="Arial"/>
            <w:noProof/>
            <w:webHidden/>
          </w:rPr>
          <w:fldChar w:fldCharType="end"/>
        </w:r>
      </w:hyperlink>
    </w:p>
    <w:p w14:paraId="418C4BF5" w14:textId="0FDF1E1E" w:rsidR="00DD6354" w:rsidRPr="00DD6354" w:rsidRDefault="00593B60">
      <w:pPr>
        <w:pStyle w:val="TOC1"/>
        <w:tabs>
          <w:tab w:val="right" w:leader="dot" w:pos="9628"/>
        </w:tabs>
        <w:rPr>
          <w:rFonts w:ascii="Arial" w:eastAsiaTheme="minorEastAsia" w:hAnsi="Arial" w:cs="Arial"/>
          <w:noProof/>
          <w:lang w:eastAsia="en-GB"/>
        </w:rPr>
      </w:pPr>
      <w:hyperlink w:anchor="_Toc82592087" w:history="1">
        <w:r w:rsidR="00DD6354" w:rsidRPr="00DD6354">
          <w:rPr>
            <w:rStyle w:val="Hyperlink"/>
            <w:rFonts w:ascii="Arial" w:hAnsi="Arial" w:cs="Arial"/>
            <w:noProof/>
          </w:rPr>
          <w:t>References</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_Toc82592087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13</w:t>
        </w:r>
        <w:r w:rsidR="00DD6354" w:rsidRPr="00DD6354">
          <w:rPr>
            <w:rFonts w:ascii="Arial" w:hAnsi="Arial" w:cs="Arial"/>
            <w:noProof/>
            <w:webHidden/>
          </w:rPr>
          <w:fldChar w:fldCharType="end"/>
        </w:r>
      </w:hyperlink>
    </w:p>
    <w:p w14:paraId="3E4AD756" w14:textId="35D3DF15" w:rsidR="00DD6354" w:rsidRPr="00DD6354" w:rsidRDefault="00593B60">
      <w:pPr>
        <w:pStyle w:val="TOC1"/>
        <w:tabs>
          <w:tab w:val="right" w:leader="dot" w:pos="9628"/>
        </w:tabs>
        <w:rPr>
          <w:rFonts w:ascii="Arial" w:eastAsiaTheme="minorEastAsia" w:hAnsi="Arial" w:cs="Arial"/>
          <w:noProof/>
          <w:lang w:eastAsia="en-GB"/>
        </w:rPr>
      </w:pPr>
      <w:hyperlink w:anchor="_Toc82592088" w:history="1">
        <w:r w:rsidR="00DD6354" w:rsidRPr="00DD6354">
          <w:rPr>
            <w:rStyle w:val="Hyperlink"/>
            <w:rFonts w:ascii="Arial" w:hAnsi="Arial" w:cs="Arial"/>
            <w:noProof/>
          </w:rPr>
          <w:t>Appendix 1: Antimicrobial Stewardship Children’s Dashboard</w:t>
        </w:r>
        <w:r w:rsidR="00DD6354" w:rsidRPr="00DD6354">
          <w:rPr>
            <w:rFonts w:ascii="Arial" w:hAnsi="Arial" w:cs="Arial"/>
            <w:noProof/>
            <w:webHidden/>
          </w:rPr>
          <w:tab/>
        </w:r>
        <w:r w:rsidR="00DD6354" w:rsidRPr="00DD6354">
          <w:rPr>
            <w:rFonts w:ascii="Arial" w:hAnsi="Arial" w:cs="Arial"/>
            <w:noProof/>
            <w:webHidden/>
          </w:rPr>
          <w:fldChar w:fldCharType="begin"/>
        </w:r>
        <w:r w:rsidR="00DD6354" w:rsidRPr="00DD6354">
          <w:rPr>
            <w:rFonts w:ascii="Arial" w:hAnsi="Arial" w:cs="Arial"/>
            <w:noProof/>
            <w:webHidden/>
          </w:rPr>
          <w:instrText xml:space="preserve"> PAGEREF _Toc82592088 \h </w:instrText>
        </w:r>
        <w:r w:rsidR="00DD6354" w:rsidRPr="00DD6354">
          <w:rPr>
            <w:rFonts w:ascii="Arial" w:hAnsi="Arial" w:cs="Arial"/>
            <w:noProof/>
            <w:webHidden/>
          </w:rPr>
        </w:r>
        <w:r w:rsidR="00DD6354" w:rsidRPr="00DD6354">
          <w:rPr>
            <w:rFonts w:ascii="Arial" w:hAnsi="Arial" w:cs="Arial"/>
            <w:noProof/>
            <w:webHidden/>
          </w:rPr>
          <w:fldChar w:fldCharType="separate"/>
        </w:r>
        <w:r w:rsidR="00DD6354" w:rsidRPr="00DD6354">
          <w:rPr>
            <w:rFonts w:ascii="Arial" w:hAnsi="Arial" w:cs="Arial"/>
            <w:noProof/>
            <w:webHidden/>
          </w:rPr>
          <w:t>14</w:t>
        </w:r>
        <w:r w:rsidR="00DD6354" w:rsidRPr="00DD6354">
          <w:rPr>
            <w:rFonts w:ascii="Arial" w:hAnsi="Arial" w:cs="Arial"/>
            <w:noProof/>
            <w:webHidden/>
          </w:rPr>
          <w:fldChar w:fldCharType="end"/>
        </w:r>
      </w:hyperlink>
    </w:p>
    <w:p w14:paraId="5833D635" w14:textId="09D68AB7" w:rsidR="00DD6354" w:rsidRPr="00DD6354" w:rsidRDefault="00593B60">
      <w:pPr>
        <w:pStyle w:val="TOC2"/>
        <w:rPr>
          <w:rFonts w:eastAsiaTheme="minorEastAsia"/>
          <w:b w:val="0"/>
          <w:noProof/>
          <w:sz w:val="22"/>
          <w:szCs w:val="22"/>
          <w:lang w:eastAsia="en-GB"/>
        </w:rPr>
      </w:pPr>
      <w:hyperlink w:anchor="_Toc82592089" w:history="1">
        <w:r w:rsidR="00DD6354" w:rsidRPr="00DD6354">
          <w:rPr>
            <w:rStyle w:val="Hyperlink"/>
            <w:b w:val="0"/>
            <w:noProof/>
            <w:sz w:val="22"/>
            <w:szCs w:val="22"/>
          </w:rPr>
          <w:t>Working group:</w:t>
        </w:r>
        <w:r w:rsidR="00DD6354" w:rsidRPr="00DD6354">
          <w:rPr>
            <w:b w:val="0"/>
            <w:noProof/>
            <w:webHidden/>
            <w:sz w:val="22"/>
            <w:szCs w:val="22"/>
          </w:rPr>
          <w:tab/>
        </w:r>
        <w:r w:rsidR="00DD6354" w:rsidRPr="00DD6354">
          <w:rPr>
            <w:b w:val="0"/>
            <w:noProof/>
            <w:webHidden/>
            <w:sz w:val="22"/>
            <w:szCs w:val="22"/>
          </w:rPr>
          <w:fldChar w:fldCharType="begin"/>
        </w:r>
        <w:r w:rsidR="00DD6354" w:rsidRPr="00DD6354">
          <w:rPr>
            <w:b w:val="0"/>
            <w:noProof/>
            <w:webHidden/>
            <w:sz w:val="22"/>
            <w:szCs w:val="22"/>
          </w:rPr>
          <w:instrText xml:space="preserve"> PAGEREF _Toc82592089 \h </w:instrText>
        </w:r>
        <w:r w:rsidR="00DD6354" w:rsidRPr="00DD6354">
          <w:rPr>
            <w:b w:val="0"/>
            <w:noProof/>
            <w:webHidden/>
            <w:sz w:val="22"/>
            <w:szCs w:val="22"/>
          </w:rPr>
        </w:r>
        <w:r w:rsidR="00DD6354" w:rsidRPr="00DD6354">
          <w:rPr>
            <w:b w:val="0"/>
            <w:noProof/>
            <w:webHidden/>
            <w:sz w:val="22"/>
            <w:szCs w:val="22"/>
          </w:rPr>
          <w:fldChar w:fldCharType="separate"/>
        </w:r>
        <w:r w:rsidR="00DD6354" w:rsidRPr="00DD6354">
          <w:rPr>
            <w:b w:val="0"/>
            <w:noProof/>
            <w:webHidden/>
            <w:sz w:val="22"/>
            <w:szCs w:val="22"/>
          </w:rPr>
          <w:t>14</w:t>
        </w:r>
        <w:r w:rsidR="00DD6354" w:rsidRPr="00DD6354">
          <w:rPr>
            <w:b w:val="0"/>
            <w:noProof/>
            <w:webHidden/>
            <w:sz w:val="22"/>
            <w:szCs w:val="22"/>
          </w:rPr>
          <w:fldChar w:fldCharType="end"/>
        </w:r>
      </w:hyperlink>
    </w:p>
    <w:p w14:paraId="6DCB6C7A" w14:textId="57AD9288" w:rsidR="00C93395" w:rsidRPr="003F4E97" w:rsidRDefault="00C93395" w:rsidP="00CF2715">
      <w:pPr>
        <w:rPr>
          <w:rFonts w:ascii="Arial" w:hAnsi="Arial" w:cs="Arial"/>
          <w:sz w:val="18"/>
          <w:szCs w:val="18"/>
        </w:rPr>
      </w:pPr>
      <w:r w:rsidRPr="00DD6354">
        <w:rPr>
          <w:rFonts w:ascii="Arial" w:hAnsi="Arial" w:cs="Arial"/>
          <w:noProof/>
        </w:rPr>
        <w:fldChar w:fldCharType="end"/>
      </w:r>
    </w:p>
    <w:p w14:paraId="300D6EB8" w14:textId="77777777" w:rsidR="00B6566C" w:rsidRDefault="00B6566C" w:rsidP="008A139B">
      <w:pPr>
        <w:pStyle w:val="Heading1"/>
      </w:pPr>
    </w:p>
    <w:p w14:paraId="0E5D5FFD" w14:textId="77777777" w:rsidR="00B6566C" w:rsidRDefault="00B6566C" w:rsidP="00B6566C">
      <w:pPr>
        <w:rPr>
          <w:rFonts w:ascii="Arial" w:eastAsia="Times New Roman" w:hAnsi="Arial"/>
          <w:b/>
          <w:bCs/>
          <w:sz w:val="24"/>
          <w:szCs w:val="28"/>
        </w:rPr>
      </w:pPr>
    </w:p>
    <w:p w14:paraId="2F3829E7" w14:textId="77777777" w:rsidR="00B6566C" w:rsidRPr="00B6566C" w:rsidRDefault="00B6566C" w:rsidP="00B6566C">
      <w:pPr>
        <w:ind w:firstLine="720"/>
      </w:pPr>
    </w:p>
    <w:p w14:paraId="18AC5737" w14:textId="77777777" w:rsidR="00B6566C" w:rsidRDefault="00B6566C" w:rsidP="008A139B">
      <w:pPr>
        <w:pStyle w:val="Heading1"/>
      </w:pPr>
    </w:p>
    <w:p w14:paraId="2C8E488C" w14:textId="77777777" w:rsidR="00DD6354" w:rsidRDefault="00DD6354" w:rsidP="008A139B">
      <w:pPr>
        <w:pStyle w:val="Heading1"/>
      </w:pPr>
    </w:p>
    <w:p w14:paraId="3675827E" w14:textId="77777777" w:rsidR="00DD6354" w:rsidRPr="00DD6354" w:rsidRDefault="00DD6354" w:rsidP="00DD6354"/>
    <w:p w14:paraId="28E76508" w14:textId="77777777" w:rsidR="00DD6354" w:rsidRPr="00DD6354" w:rsidRDefault="00DD6354" w:rsidP="00DD6354"/>
    <w:p w14:paraId="5325BBBD" w14:textId="77777777" w:rsidR="00DD6354" w:rsidRPr="00DD6354" w:rsidRDefault="00DD6354" w:rsidP="00DD6354"/>
    <w:p w14:paraId="408215B2" w14:textId="77777777" w:rsidR="00DD6354" w:rsidRPr="00DD6354" w:rsidRDefault="00DD6354" w:rsidP="00DD6354"/>
    <w:p w14:paraId="30037D0C" w14:textId="77777777" w:rsidR="00DD6354" w:rsidRPr="00DD6354" w:rsidRDefault="00DD6354" w:rsidP="00DD6354"/>
    <w:p w14:paraId="2278E713" w14:textId="77777777" w:rsidR="00DD6354" w:rsidRPr="00DD6354" w:rsidRDefault="00DD6354" w:rsidP="00DD6354"/>
    <w:p w14:paraId="6F9F00C1" w14:textId="77777777" w:rsidR="00DD6354" w:rsidRPr="00DD6354" w:rsidRDefault="00DD6354" w:rsidP="00DD6354">
      <w:pPr>
        <w:ind w:firstLine="720"/>
      </w:pPr>
    </w:p>
    <w:p w14:paraId="3972205A" w14:textId="77777777" w:rsidR="00DD6354" w:rsidRDefault="00DD6354" w:rsidP="008A139B">
      <w:pPr>
        <w:pStyle w:val="Heading1"/>
      </w:pPr>
    </w:p>
    <w:p w14:paraId="269A99B8" w14:textId="27EC908C" w:rsidR="00120B9B" w:rsidRDefault="00F35AB5" w:rsidP="008A139B">
      <w:pPr>
        <w:pStyle w:val="Heading1"/>
      </w:pPr>
      <w:r w:rsidRPr="00DD6354">
        <w:br w:type="page"/>
      </w:r>
      <w:bookmarkStart w:id="4" w:name="_Toc82592067"/>
      <w:r w:rsidR="00120B9B" w:rsidRPr="008A6C13">
        <w:lastRenderedPageBreak/>
        <w:t>Background</w:t>
      </w:r>
      <w:bookmarkEnd w:id="0"/>
      <w:bookmarkEnd w:id="1"/>
      <w:bookmarkEnd w:id="2"/>
      <w:bookmarkEnd w:id="3"/>
      <w:bookmarkEnd w:id="4"/>
    </w:p>
    <w:p w14:paraId="3B454DB6" w14:textId="7A974C9C" w:rsidR="002928C3" w:rsidRPr="000E6093" w:rsidRDefault="002928C3" w:rsidP="00401B96">
      <w:pPr>
        <w:rPr>
          <w:rFonts w:ascii="Arial" w:hAnsi="Arial" w:cs="Arial"/>
        </w:rPr>
      </w:pPr>
      <w:r w:rsidRPr="000E6093">
        <w:rPr>
          <w:rFonts w:ascii="Arial" w:hAnsi="Arial" w:cs="Arial"/>
        </w:rPr>
        <w:t xml:space="preserve">Antimicrobial resistance (AMR) is a global problem that impacts all countries and all people, regardless of their wealth or status. The scale of the AMR threat, and the need to contain and control it, is widely acknowledged by country governments, international agencies, </w:t>
      </w:r>
      <w:proofErr w:type="gramStart"/>
      <w:r w:rsidRPr="000E6093">
        <w:rPr>
          <w:rFonts w:ascii="Arial" w:hAnsi="Arial" w:cs="Arial"/>
        </w:rPr>
        <w:t>researchers</w:t>
      </w:r>
      <w:proofErr w:type="gramEnd"/>
      <w:r w:rsidRPr="000E6093">
        <w:rPr>
          <w:rFonts w:ascii="Arial" w:hAnsi="Arial" w:cs="Arial"/>
        </w:rPr>
        <w:t xml:space="preserve"> and private companies alike. The Department of Health and Social Care sets out a 5-year national action plan and a 20-year vision to tackle AMR. The</w:t>
      </w:r>
      <w:r w:rsidR="00401B96" w:rsidRPr="000E6093">
        <w:rPr>
          <w:rFonts w:ascii="Arial" w:hAnsi="Arial" w:cs="Arial"/>
        </w:rPr>
        <w:t xml:space="preserve"> </w:t>
      </w:r>
      <w:hyperlink r:id="rId12" w:history="1">
        <w:r w:rsidR="00401B96" w:rsidRPr="000E6093">
          <w:rPr>
            <w:rStyle w:val="Hyperlink"/>
            <w:rFonts w:ascii="Arial" w:hAnsi="Arial" w:cs="Arial"/>
          </w:rPr>
          <w:t>UK 5-year action plan: Tackling antimicrobial resistance 2019 to 2024</w:t>
        </w:r>
      </w:hyperlink>
      <w:r w:rsidR="00401B96" w:rsidRPr="000E6093">
        <w:rPr>
          <w:rFonts w:ascii="Arial" w:hAnsi="Arial" w:cs="Arial"/>
        </w:rPr>
        <w:t xml:space="preserve">, </w:t>
      </w:r>
      <w:r w:rsidRPr="000E6093">
        <w:rPr>
          <w:rFonts w:ascii="Arial" w:hAnsi="Arial" w:cs="Arial"/>
        </w:rPr>
        <w:t>focuses on three key ways of tackling AMR:</w:t>
      </w:r>
    </w:p>
    <w:p w14:paraId="13D7DE39" w14:textId="730D5AF5" w:rsidR="002928C3" w:rsidRPr="00E320F5" w:rsidRDefault="002928C3" w:rsidP="00E320F5">
      <w:pPr>
        <w:pStyle w:val="ListParagraph"/>
        <w:numPr>
          <w:ilvl w:val="0"/>
          <w:numId w:val="30"/>
        </w:numPr>
        <w:rPr>
          <w:rFonts w:ascii="Arial" w:hAnsi="Arial" w:cs="Arial"/>
        </w:rPr>
      </w:pPr>
      <w:r w:rsidRPr="00E320F5">
        <w:rPr>
          <w:rFonts w:ascii="Arial" w:hAnsi="Arial" w:cs="Arial"/>
        </w:rPr>
        <w:t xml:space="preserve">reducing need for, and unintentional exposure to, </w:t>
      </w:r>
      <w:proofErr w:type="gramStart"/>
      <w:r w:rsidRPr="00E320F5">
        <w:rPr>
          <w:rFonts w:ascii="Arial" w:hAnsi="Arial" w:cs="Arial"/>
        </w:rPr>
        <w:t>antimicrobials;</w:t>
      </w:r>
      <w:proofErr w:type="gramEnd"/>
      <w:r w:rsidRPr="00E320F5">
        <w:rPr>
          <w:rFonts w:ascii="Arial" w:hAnsi="Arial" w:cs="Arial"/>
        </w:rPr>
        <w:t xml:space="preserve"> </w:t>
      </w:r>
    </w:p>
    <w:p w14:paraId="2E17F41C" w14:textId="13C2B53F" w:rsidR="002928C3" w:rsidRPr="00E320F5" w:rsidRDefault="002928C3" w:rsidP="00E320F5">
      <w:pPr>
        <w:pStyle w:val="ListParagraph"/>
        <w:numPr>
          <w:ilvl w:val="0"/>
          <w:numId w:val="30"/>
        </w:numPr>
        <w:rPr>
          <w:rFonts w:ascii="Arial" w:hAnsi="Arial" w:cs="Arial"/>
        </w:rPr>
      </w:pPr>
      <w:r w:rsidRPr="00E320F5">
        <w:rPr>
          <w:rFonts w:ascii="Arial" w:hAnsi="Arial" w:cs="Arial"/>
        </w:rPr>
        <w:t xml:space="preserve">optimising use of antimicrobials; and </w:t>
      </w:r>
    </w:p>
    <w:p w14:paraId="1B9F7B30" w14:textId="2B014957" w:rsidR="002928C3" w:rsidRPr="00E320F5" w:rsidRDefault="002928C3" w:rsidP="00E320F5">
      <w:pPr>
        <w:pStyle w:val="ListParagraph"/>
        <w:numPr>
          <w:ilvl w:val="0"/>
          <w:numId w:val="30"/>
        </w:numPr>
        <w:rPr>
          <w:rFonts w:ascii="Arial" w:hAnsi="Arial" w:cs="Arial"/>
        </w:rPr>
      </w:pPr>
      <w:r w:rsidRPr="00E320F5">
        <w:rPr>
          <w:rFonts w:ascii="Arial" w:hAnsi="Arial" w:cs="Arial"/>
        </w:rPr>
        <w:t xml:space="preserve">investing in innovation, </w:t>
      </w:r>
      <w:proofErr w:type="gramStart"/>
      <w:r w:rsidRPr="00E320F5">
        <w:rPr>
          <w:rFonts w:ascii="Arial" w:hAnsi="Arial" w:cs="Arial"/>
        </w:rPr>
        <w:t>supply</w:t>
      </w:r>
      <w:proofErr w:type="gramEnd"/>
      <w:r w:rsidRPr="00E320F5">
        <w:rPr>
          <w:rFonts w:ascii="Arial" w:hAnsi="Arial" w:cs="Arial"/>
        </w:rPr>
        <w:t xml:space="preserve"> and access.</w:t>
      </w:r>
    </w:p>
    <w:p w14:paraId="130969FF" w14:textId="29497893" w:rsidR="00645FCE" w:rsidRPr="000E6093" w:rsidRDefault="002928C3" w:rsidP="00401B96">
      <w:pPr>
        <w:rPr>
          <w:rFonts w:ascii="Arial" w:hAnsi="Arial" w:cs="Arial"/>
        </w:rPr>
      </w:pPr>
      <w:r w:rsidRPr="000E6093">
        <w:rPr>
          <w:rFonts w:ascii="Arial" w:hAnsi="Arial" w:cs="Arial"/>
        </w:rPr>
        <w:t>Th</w:t>
      </w:r>
      <w:r w:rsidR="00CF3551" w:rsidRPr="000E6093">
        <w:rPr>
          <w:rFonts w:ascii="Arial" w:hAnsi="Arial" w:cs="Arial"/>
        </w:rPr>
        <w:t>is</w:t>
      </w:r>
      <w:r w:rsidRPr="000E6093">
        <w:rPr>
          <w:rFonts w:ascii="Arial" w:hAnsi="Arial" w:cs="Arial"/>
        </w:rPr>
        <w:t xml:space="preserve"> </w:t>
      </w:r>
      <w:r w:rsidR="00CF3551" w:rsidRPr="000E6093">
        <w:rPr>
          <w:rFonts w:ascii="Arial" w:hAnsi="Arial" w:cs="Arial"/>
        </w:rPr>
        <w:t xml:space="preserve">UK </w:t>
      </w:r>
      <w:r w:rsidRPr="000E6093">
        <w:rPr>
          <w:rFonts w:ascii="Arial" w:hAnsi="Arial" w:cs="Arial"/>
        </w:rPr>
        <w:t xml:space="preserve">national action plan includes an </w:t>
      </w:r>
      <w:r w:rsidR="00401B96" w:rsidRPr="000E6093">
        <w:rPr>
          <w:rFonts w:ascii="Arial" w:hAnsi="Arial" w:cs="Arial"/>
        </w:rPr>
        <w:t>ambition to reduce antibiotic prescribing in humans by 15% by 2024</w:t>
      </w:r>
      <w:r w:rsidRPr="000E6093">
        <w:rPr>
          <w:rFonts w:ascii="Arial" w:hAnsi="Arial" w:cs="Arial"/>
        </w:rPr>
        <w:t xml:space="preserve">, and </w:t>
      </w:r>
      <w:r w:rsidR="004E3D29" w:rsidRPr="000E6093">
        <w:rPr>
          <w:rFonts w:ascii="Arial" w:hAnsi="Arial" w:cs="Arial"/>
        </w:rPr>
        <w:t>a</w:t>
      </w:r>
      <w:r w:rsidR="00401B96" w:rsidRPr="000E6093">
        <w:rPr>
          <w:rFonts w:ascii="Arial" w:hAnsi="Arial" w:cs="Arial"/>
        </w:rPr>
        <w:t xml:space="preserve"> 25% reduction in antibiotic use in the community</w:t>
      </w:r>
      <w:r w:rsidR="004E3D29" w:rsidRPr="000E6093">
        <w:rPr>
          <w:rFonts w:ascii="Arial" w:hAnsi="Arial" w:cs="Arial"/>
        </w:rPr>
        <w:t>. Following</w:t>
      </w:r>
      <w:r w:rsidR="001E1B77" w:rsidRPr="000E6093">
        <w:rPr>
          <w:rFonts w:ascii="Arial" w:hAnsi="Arial" w:cs="Arial"/>
        </w:rPr>
        <w:t xml:space="preserve"> inclusion of AMR within</w:t>
      </w:r>
      <w:r w:rsidR="004E3D29" w:rsidRPr="000E6093">
        <w:rPr>
          <w:rFonts w:ascii="Arial" w:hAnsi="Arial" w:cs="Arial"/>
        </w:rPr>
        <w:t xml:space="preserve"> the </w:t>
      </w:r>
      <w:hyperlink r:id="rId13" w:history="1">
        <w:r w:rsidR="004E3D29" w:rsidRPr="000E6093">
          <w:rPr>
            <w:rStyle w:val="Hyperlink"/>
            <w:rFonts w:ascii="Arial" w:hAnsi="Arial" w:cs="Arial"/>
          </w:rPr>
          <w:t>NHS Long Term Plan</w:t>
        </w:r>
      </w:hyperlink>
      <w:r w:rsidR="004E3D29" w:rsidRPr="000E6093">
        <w:rPr>
          <w:rFonts w:ascii="Arial" w:hAnsi="Arial" w:cs="Arial"/>
        </w:rPr>
        <w:t xml:space="preserve"> an</w:t>
      </w:r>
      <w:r w:rsidR="00B43EBB" w:rsidRPr="000E6093">
        <w:rPr>
          <w:rFonts w:ascii="Arial" w:hAnsi="Arial" w:cs="Arial"/>
        </w:rPr>
        <w:t xml:space="preserve">d </w:t>
      </w:r>
      <w:r w:rsidR="004E3D29" w:rsidRPr="000E6093">
        <w:rPr>
          <w:rFonts w:ascii="Arial" w:hAnsi="Arial" w:cs="Arial"/>
        </w:rPr>
        <w:t xml:space="preserve"> </w:t>
      </w:r>
      <w:hyperlink r:id="rId14" w:history="1">
        <w:r w:rsidR="00B43EBB" w:rsidRPr="000E6093">
          <w:rPr>
            <w:rStyle w:val="Hyperlink"/>
            <w:rFonts w:ascii="Arial" w:hAnsi="Arial" w:cs="Arial"/>
          </w:rPr>
          <w:t>NHS Patient Safety Strategy</w:t>
        </w:r>
      </w:hyperlink>
      <w:r w:rsidR="00B43EBB" w:rsidRPr="000E6093">
        <w:rPr>
          <w:rFonts w:ascii="Arial" w:hAnsi="Arial" w:cs="Arial"/>
        </w:rPr>
        <w:t xml:space="preserve"> </w:t>
      </w:r>
      <w:r w:rsidR="00355EF8" w:rsidRPr="000E6093">
        <w:rPr>
          <w:rFonts w:ascii="Arial" w:hAnsi="Arial" w:cs="Arial"/>
        </w:rPr>
        <w:t xml:space="preserve">the </w:t>
      </w:r>
      <w:r w:rsidR="004E3D29" w:rsidRPr="000E6093">
        <w:rPr>
          <w:rFonts w:ascii="Arial" w:hAnsi="Arial" w:cs="Arial"/>
        </w:rPr>
        <w:t>NHS AMR Programme has been established</w:t>
      </w:r>
      <w:r w:rsidR="00CF3551" w:rsidRPr="000E6093">
        <w:rPr>
          <w:rFonts w:ascii="Arial" w:hAnsi="Arial" w:cs="Arial"/>
        </w:rPr>
        <w:t xml:space="preserve"> to support implementation within th</w:t>
      </w:r>
      <w:r w:rsidR="008475D1" w:rsidRPr="000E6093">
        <w:rPr>
          <w:rFonts w:ascii="Arial" w:hAnsi="Arial" w:cs="Arial"/>
        </w:rPr>
        <w:t>e NHS</w:t>
      </w:r>
      <w:r w:rsidR="00355EF8" w:rsidRPr="000E6093">
        <w:rPr>
          <w:rFonts w:ascii="Arial" w:hAnsi="Arial" w:cs="Arial"/>
        </w:rPr>
        <w:t xml:space="preserve">. </w:t>
      </w:r>
      <w:r w:rsidR="004427FC" w:rsidRPr="000E6093">
        <w:rPr>
          <w:rFonts w:ascii="Arial" w:hAnsi="Arial" w:cs="Arial"/>
        </w:rPr>
        <w:t>P</w:t>
      </w:r>
      <w:r w:rsidR="001E1B77" w:rsidRPr="000E6093">
        <w:rPr>
          <w:rFonts w:ascii="Arial" w:hAnsi="Arial" w:cs="Arial"/>
        </w:rPr>
        <w:t xml:space="preserve">rimary care antibiotic prescribing accounts for </w:t>
      </w:r>
      <w:hyperlink r:id="rId15" w:history="1">
        <w:r w:rsidR="001E1B77" w:rsidRPr="000E6093">
          <w:rPr>
            <w:rStyle w:val="Hyperlink"/>
            <w:rFonts w:ascii="Arial" w:hAnsi="Arial" w:cs="Arial"/>
          </w:rPr>
          <w:t>7</w:t>
        </w:r>
        <w:r w:rsidR="00F5081F" w:rsidRPr="000E6093">
          <w:rPr>
            <w:rStyle w:val="Hyperlink"/>
            <w:rFonts w:ascii="Arial" w:hAnsi="Arial" w:cs="Arial"/>
          </w:rPr>
          <w:t>2</w:t>
        </w:r>
        <w:r w:rsidR="001E1B77" w:rsidRPr="000E6093">
          <w:rPr>
            <w:rStyle w:val="Hyperlink"/>
            <w:rFonts w:ascii="Arial" w:hAnsi="Arial" w:cs="Arial"/>
          </w:rPr>
          <w:t>% of all antibiotic prescribing in England</w:t>
        </w:r>
      </w:hyperlink>
      <w:r w:rsidR="001E1B77" w:rsidRPr="000E6093">
        <w:rPr>
          <w:rFonts w:ascii="Arial" w:hAnsi="Arial" w:cs="Arial"/>
        </w:rPr>
        <w:t xml:space="preserve"> and primary care prescribing has been reducing each year since 2015. </w:t>
      </w:r>
      <w:r w:rsidR="00F32215" w:rsidRPr="000E6093">
        <w:rPr>
          <w:rFonts w:ascii="Arial" w:hAnsi="Arial" w:cs="Arial"/>
        </w:rPr>
        <w:t>The NHSBSA</w:t>
      </w:r>
      <w:r w:rsidR="00C322A1" w:rsidRPr="000E6093">
        <w:rPr>
          <w:rFonts w:ascii="Arial" w:hAnsi="Arial" w:cs="Arial"/>
        </w:rPr>
        <w:t xml:space="preserve"> capture and report dispensed </w:t>
      </w:r>
      <w:r w:rsidR="00A77232" w:rsidRPr="000E6093">
        <w:rPr>
          <w:rFonts w:ascii="Arial" w:hAnsi="Arial" w:cs="Arial"/>
        </w:rPr>
        <w:t xml:space="preserve">NHS </w:t>
      </w:r>
      <w:r w:rsidR="00C322A1" w:rsidRPr="000E6093">
        <w:rPr>
          <w:rFonts w:ascii="Arial" w:hAnsi="Arial" w:cs="Arial"/>
        </w:rPr>
        <w:t>prescription</w:t>
      </w:r>
      <w:r w:rsidR="00A77232" w:rsidRPr="000E6093">
        <w:rPr>
          <w:rFonts w:ascii="Arial" w:hAnsi="Arial" w:cs="Arial"/>
        </w:rPr>
        <w:t xml:space="preserve"> data</w:t>
      </w:r>
      <w:r w:rsidR="00BC67D2" w:rsidRPr="000E6093">
        <w:rPr>
          <w:rFonts w:ascii="Arial" w:hAnsi="Arial" w:cs="Arial"/>
        </w:rPr>
        <w:t xml:space="preserve"> with patient </w:t>
      </w:r>
      <w:r w:rsidR="0053695A" w:rsidRPr="000E6093">
        <w:rPr>
          <w:rFonts w:ascii="Arial" w:hAnsi="Arial" w:cs="Arial"/>
        </w:rPr>
        <w:t>identifiers,</w:t>
      </w:r>
      <w:r w:rsidR="00BC67D2" w:rsidRPr="000E6093">
        <w:rPr>
          <w:rFonts w:ascii="Arial" w:hAnsi="Arial" w:cs="Arial"/>
        </w:rPr>
        <w:t xml:space="preserve"> and this </w:t>
      </w:r>
      <w:r w:rsidR="00CA6520" w:rsidRPr="000E6093">
        <w:rPr>
          <w:rFonts w:ascii="Arial" w:hAnsi="Arial" w:cs="Arial"/>
        </w:rPr>
        <w:t xml:space="preserve">has enabled improved reporting </w:t>
      </w:r>
      <w:r w:rsidR="00136690" w:rsidRPr="000E6093">
        <w:rPr>
          <w:rFonts w:ascii="Arial" w:hAnsi="Arial" w:cs="Arial"/>
        </w:rPr>
        <w:t xml:space="preserve">of activity by age </w:t>
      </w:r>
      <w:r w:rsidR="00CA6520" w:rsidRPr="000E6093">
        <w:rPr>
          <w:rFonts w:ascii="Arial" w:hAnsi="Arial" w:cs="Arial"/>
        </w:rPr>
        <w:t>in the ePACT2 system</w:t>
      </w:r>
      <w:r w:rsidR="00136690" w:rsidRPr="000E6093">
        <w:rPr>
          <w:rFonts w:ascii="Arial" w:hAnsi="Arial" w:cs="Arial"/>
        </w:rPr>
        <w:t>.</w:t>
      </w:r>
      <w:r w:rsidR="00A77232" w:rsidRPr="000E6093">
        <w:rPr>
          <w:rFonts w:ascii="Arial" w:hAnsi="Arial" w:cs="Arial"/>
        </w:rPr>
        <w:t xml:space="preserve"> </w:t>
      </w:r>
      <w:r w:rsidR="00C322A1" w:rsidRPr="000E6093">
        <w:rPr>
          <w:rFonts w:ascii="Arial" w:hAnsi="Arial" w:cs="Arial"/>
        </w:rPr>
        <w:t xml:space="preserve"> </w:t>
      </w:r>
      <w:r w:rsidR="00F5081F" w:rsidRPr="000E6093">
        <w:rPr>
          <w:rFonts w:ascii="Arial" w:hAnsi="Arial" w:cs="Arial"/>
        </w:rPr>
        <w:t>In FY 2019-20</w:t>
      </w:r>
      <w:r w:rsidR="001E1B77" w:rsidRPr="000E6093">
        <w:rPr>
          <w:rFonts w:ascii="Arial" w:hAnsi="Arial" w:cs="Arial"/>
        </w:rPr>
        <w:t xml:space="preserve"> </w:t>
      </w:r>
      <w:r w:rsidR="00036C70" w:rsidRPr="000E6093">
        <w:rPr>
          <w:rFonts w:ascii="Arial" w:hAnsi="Arial" w:cs="Arial"/>
        </w:rPr>
        <w:t>around 30 million</w:t>
      </w:r>
      <w:r w:rsidR="00F5081F" w:rsidRPr="000E6093">
        <w:rPr>
          <w:rFonts w:ascii="Arial" w:hAnsi="Arial" w:cs="Arial"/>
        </w:rPr>
        <w:t xml:space="preserve"> antibiotic prescription items were dispensed</w:t>
      </w:r>
      <w:r w:rsidR="00036C70" w:rsidRPr="000E6093">
        <w:rPr>
          <w:rFonts w:ascii="Arial" w:hAnsi="Arial" w:cs="Arial"/>
        </w:rPr>
        <w:t>.  Children aged 0-14 years accounted for 3.6 million (12%) of these items, of which 48% was prescribed to children aged 0-4 years.  A</w:t>
      </w:r>
      <w:r w:rsidR="004B27C6" w:rsidRPr="000E6093">
        <w:rPr>
          <w:rFonts w:ascii="Arial" w:hAnsi="Arial" w:cs="Arial"/>
        </w:rPr>
        <w:t>moxicillin</w:t>
      </w:r>
      <w:r w:rsidR="00036C70" w:rsidRPr="000E6093">
        <w:rPr>
          <w:rFonts w:ascii="Arial" w:hAnsi="Arial" w:cs="Arial"/>
        </w:rPr>
        <w:t xml:space="preserve"> is the </w:t>
      </w:r>
      <w:proofErr w:type="gramStart"/>
      <w:r w:rsidR="00036C70" w:rsidRPr="000E6093">
        <w:rPr>
          <w:rFonts w:ascii="Arial" w:hAnsi="Arial" w:cs="Arial"/>
        </w:rPr>
        <w:t>most commonly prescribed</w:t>
      </w:r>
      <w:proofErr w:type="gramEnd"/>
      <w:r w:rsidR="00036C70" w:rsidRPr="000E6093">
        <w:rPr>
          <w:rFonts w:ascii="Arial" w:hAnsi="Arial" w:cs="Arial"/>
        </w:rPr>
        <w:t xml:space="preserve"> antibiotic to children, and accounts for 53% of all antibiotic use in 0-4</w:t>
      </w:r>
      <w:r w:rsidR="007B785A">
        <w:rPr>
          <w:rFonts w:ascii="Arial" w:hAnsi="Arial" w:cs="Arial"/>
        </w:rPr>
        <w:t>-</w:t>
      </w:r>
      <w:r w:rsidR="00036C70" w:rsidRPr="000E6093">
        <w:rPr>
          <w:rFonts w:ascii="Arial" w:hAnsi="Arial" w:cs="Arial"/>
        </w:rPr>
        <w:t>year</w:t>
      </w:r>
      <w:r w:rsidR="007B785A">
        <w:rPr>
          <w:rFonts w:ascii="Arial" w:hAnsi="Arial" w:cs="Arial"/>
        </w:rPr>
        <w:t>-</w:t>
      </w:r>
      <w:r w:rsidR="00036C70" w:rsidRPr="000E6093">
        <w:rPr>
          <w:rFonts w:ascii="Arial" w:hAnsi="Arial" w:cs="Arial"/>
        </w:rPr>
        <w:t>olds.</w:t>
      </w:r>
      <w:r w:rsidR="001E1B77" w:rsidRPr="000E6093">
        <w:rPr>
          <w:rFonts w:ascii="Arial" w:hAnsi="Arial" w:cs="Arial"/>
        </w:rPr>
        <w:t xml:space="preserve"> There is </w:t>
      </w:r>
      <w:r w:rsidR="004B27C6" w:rsidRPr="000E6093">
        <w:rPr>
          <w:rFonts w:ascii="Arial" w:hAnsi="Arial" w:cs="Arial"/>
        </w:rPr>
        <w:t>significant seasonal</w:t>
      </w:r>
      <w:r w:rsidR="001E1B77" w:rsidRPr="000E6093">
        <w:rPr>
          <w:rFonts w:ascii="Arial" w:hAnsi="Arial" w:cs="Arial"/>
        </w:rPr>
        <w:t xml:space="preserve"> variability associated </w:t>
      </w:r>
      <w:r w:rsidR="004B27C6" w:rsidRPr="000E6093">
        <w:rPr>
          <w:rFonts w:ascii="Arial" w:hAnsi="Arial" w:cs="Arial"/>
        </w:rPr>
        <w:t xml:space="preserve">with antibiotic prescribing in children with greatest antibiotic </w:t>
      </w:r>
      <w:r w:rsidR="00F5081F" w:rsidRPr="000E6093">
        <w:rPr>
          <w:rFonts w:ascii="Arial" w:hAnsi="Arial" w:cs="Arial"/>
        </w:rPr>
        <w:t>prescribing for</w:t>
      </w:r>
      <w:r w:rsidR="004B27C6" w:rsidRPr="000E6093">
        <w:rPr>
          <w:rFonts w:ascii="Arial" w:hAnsi="Arial" w:cs="Arial"/>
        </w:rPr>
        <w:t xml:space="preserve"> respiratory infections during the winter months.</w:t>
      </w:r>
      <w:r w:rsidR="00D31979" w:rsidRPr="000E6093">
        <w:rPr>
          <w:rFonts w:ascii="Arial" w:hAnsi="Arial" w:cs="Arial"/>
        </w:rPr>
        <w:t xml:space="preserve"> There is </w:t>
      </w:r>
      <w:r w:rsidR="00277912" w:rsidRPr="000E6093">
        <w:rPr>
          <w:rFonts w:ascii="Arial" w:hAnsi="Arial" w:cs="Arial"/>
        </w:rPr>
        <w:t>unexplained</w:t>
      </w:r>
      <w:r w:rsidR="009A5347" w:rsidRPr="000E6093">
        <w:rPr>
          <w:rFonts w:ascii="Arial" w:hAnsi="Arial" w:cs="Arial"/>
        </w:rPr>
        <w:t xml:space="preserve"> </w:t>
      </w:r>
      <w:r w:rsidR="00F127E2" w:rsidRPr="000E6093">
        <w:rPr>
          <w:rFonts w:ascii="Arial" w:hAnsi="Arial" w:cs="Arial"/>
        </w:rPr>
        <w:t xml:space="preserve">variation </w:t>
      </w:r>
      <w:r w:rsidR="009A5347" w:rsidRPr="000E6093">
        <w:rPr>
          <w:rFonts w:ascii="Arial" w:hAnsi="Arial" w:cs="Arial"/>
        </w:rPr>
        <w:t>in</w:t>
      </w:r>
      <w:r w:rsidR="00590745" w:rsidRPr="000E6093">
        <w:rPr>
          <w:rFonts w:ascii="Arial" w:hAnsi="Arial" w:cs="Arial"/>
        </w:rPr>
        <w:t xml:space="preserve"> primary </w:t>
      </w:r>
      <w:r w:rsidR="00D002D5" w:rsidRPr="000E6093">
        <w:rPr>
          <w:rFonts w:ascii="Arial" w:hAnsi="Arial" w:cs="Arial"/>
        </w:rPr>
        <w:t>care antibiotic</w:t>
      </w:r>
      <w:r w:rsidR="009A5347" w:rsidRPr="000E6093">
        <w:rPr>
          <w:rFonts w:ascii="Arial" w:hAnsi="Arial" w:cs="Arial"/>
        </w:rPr>
        <w:t xml:space="preserve"> prescribing for children </w:t>
      </w:r>
      <w:r w:rsidR="00593571" w:rsidRPr="000E6093">
        <w:rPr>
          <w:rFonts w:ascii="Arial" w:hAnsi="Arial" w:cs="Arial"/>
        </w:rPr>
        <w:t>between</w:t>
      </w:r>
      <w:r w:rsidR="00FF5A98" w:rsidRPr="000E6093">
        <w:rPr>
          <w:rFonts w:ascii="Arial" w:hAnsi="Arial" w:cs="Arial"/>
        </w:rPr>
        <w:t xml:space="preserve"> and within</w:t>
      </w:r>
      <w:r w:rsidR="00593571" w:rsidRPr="000E6093">
        <w:rPr>
          <w:rFonts w:ascii="Arial" w:hAnsi="Arial" w:cs="Arial"/>
        </w:rPr>
        <w:t xml:space="preserve"> NHS </w:t>
      </w:r>
      <w:r w:rsidR="00590745" w:rsidRPr="000E6093">
        <w:rPr>
          <w:rFonts w:ascii="Arial" w:hAnsi="Arial" w:cs="Arial"/>
        </w:rPr>
        <w:t>systems</w:t>
      </w:r>
      <w:r w:rsidR="00D25686" w:rsidRPr="000E6093">
        <w:rPr>
          <w:rFonts w:ascii="Arial" w:hAnsi="Arial" w:cs="Arial"/>
        </w:rPr>
        <w:t>.</w:t>
      </w:r>
      <w:r w:rsidR="00D002D5" w:rsidRPr="000E6093">
        <w:rPr>
          <w:rFonts w:ascii="Arial" w:hAnsi="Arial" w:cs="Arial"/>
        </w:rPr>
        <w:t xml:space="preserve"> </w:t>
      </w:r>
    </w:p>
    <w:bookmarkStart w:id="5" w:name="_Hlk82157710"/>
    <w:p w14:paraId="02AFA28A" w14:textId="4B29B3EF" w:rsidR="00401B96" w:rsidRPr="000E6093" w:rsidRDefault="00847CAA" w:rsidP="00401B96">
      <w:pPr>
        <w:rPr>
          <w:rFonts w:ascii="Arial" w:hAnsi="Arial" w:cs="Arial"/>
        </w:rPr>
      </w:pPr>
      <w:r w:rsidRPr="000E6093">
        <w:rPr>
          <w:rFonts w:ascii="Arial" w:hAnsi="Arial" w:cs="Arial"/>
        </w:rPr>
        <w:fldChar w:fldCharType="begin"/>
      </w:r>
      <w:r w:rsidRPr="000E6093">
        <w:rPr>
          <w:rFonts w:ascii="Arial" w:hAnsi="Arial" w:cs="Arial"/>
        </w:rPr>
        <w:instrText xml:space="preserve"> HYPERLINK "https://www.nice.org.uk/guidance/health-protection/communicable-diseases/antimicrobial-stewardship" </w:instrText>
      </w:r>
      <w:r w:rsidRPr="000E6093">
        <w:rPr>
          <w:rFonts w:ascii="Arial" w:hAnsi="Arial" w:cs="Arial"/>
        </w:rPr>
        <w:fldChar w:fldCharType="separate"/>
      </w:r>
      <w:r w:rsidR="00D61B22" w:rsidRPr="000E6093">
        <w:rPr>
          <w:rStyle w:val="Hyperlink"/>
          <w:rFonts w:ascii="Arial" w:hAnsi="Arial" w:cs="Arial"/>
        </w:rPr>
        <w:t>NICE</w:t>
      </w:r>
      <w:r w:rsidRPr="000E6093">
        <w:rPr>
          <w:rFonts w:ascii="Arial" w:hAnsi="Arial" w:cs="Arial"/>
        </w:rPr>
        <w:fldChar w:fldCharType="end"/>
      </w:r>
      <w:r w:rsidR="00D61B22" w:rsidRPr="000E6093">
        <w:rPr>
          <w:rFonts w:ascii="Arial" w:hAnsi="Arial" w:cs="Arial"/>
        </w:rPr>
        <w:t xml:space="preserve"> publish antimicrobial prescribing guidelines</w:t>
      </w:r>
      <w:r w:rsidR="00EE7AD8" w:rsidRPr="000E6093">
        <w:rPr>
          <w:rFonts w:ascii="Arial" w:hAnsi="Arial" w:cs="Arial"/>
        </w:rPr>
        <w:t xml:space="preserve"> </w:t>
      </w:r>
      <w:r w:rsidR="00466601" w:rsidRPr="000E6093">
        <w:rPr>
          <w:rFonts w:ascii="Arial" w:hAnsi="Arial" w:cs="Arial"/>
        </w:rPr>
        <w:t xml:space="preserve">for a variety of common infections </w:t>
      </w:r>
      <w:r w:rsidR="00096405" w:rsidRPr="000E6093">
        <w:rPr>
          <w:rFonts w:ascii="Arial" w:hAnsi="Arial" w:cs="Arial"/>
        </w:rPr>
        <w:t>and re</w:t>
      </w:r>
      <w:r w:rsidR="00D264BC" w:rsidRPr="000E6093">
        <w:rPr>
          <w:rFonts w:ascii="Arial" w:hAnsi="Arial" w:cs="Arial"/>
        </w:rPr>
        <w:t xml:space="preserve">commend appropriate </w:t>
      </w:r>
      <w:r w:rsidR="006C2B29" w:rsidRPr="000E6093">
        <w:rPr>
          <w:rFonts w:ascii="Arial" w:hAnsi="Arial" w:cs="Arial"/>
        </w:rPr>
        <w:t xml:space="preserve">use of </w:t>
      </w:r>
      <w:r w:rsidR="00D264BC" w:rsidRPr="000E6093">
        <w:rPr>
          <w:rFonts w:ascii="Arial" w:hAnsi="Arial" w:cs="Arial"/>
        </w:rPr>
        <w:t>antibiotic</w:t>
      </w:r>
      <w:r w:rsidR="006C2B29" w:rsidRPr="000E6093">
        <w:rPr>
          <w:rFonts w:ascii="Arial" w:hAnsi="Arial" w:cs="Arial"/>
        </w:rPr>
        <w:t>s</w:t>
      </w:r>
      <w:r w:rsidR="00921C6E" w:rsidRPr="000E6093">
        <w:rPr>
          <w:rFonts w:ascii="Arial" w:hAnsi="Arial" w:cs="Arial"/>
        </w:rPr>
        <w:t>,</w:t>
      </w:r>
      <w:r w:rsidR="00350D7A" w:rsidRPr="000E6093">
        <w:rPr>
          <w:rFonts w:ascii="Arial" w:hAnsi="Arial" w:cs="Arial"/>
        </w:rPr>
        <w:t xml:space="preserve"> </w:t>
      </w:r>
      <w:r w:rsidR="00096405" w:rsidRPr="000E6093">
        <w:rPr>
          <w:rFonts w:ascii="Arial" w:hAnsi="Arial" w:cs="Arial"/>
        </w:rPr>
        <w:t xml:space="preserve">advice for </w:t>
      </w:r>
      <w:r w:rsidR="00AC6BBF" w:rsidRPr="000E6093">
        <w:rPr>
          <w:rFonts w:ascii="Arial" w:hAnsi="Arial" w:cs="Arial"/>
        </w:rPr>
        <w:t>self</w:t>
      </w:r>
      <w:r w:rsidR="006E5A02" w:rsidRPr="000E6093">
        <w:rPr>
          <w:rFonts w:ascii="Arial" w:hAnsi="Arial" w:cs="Arial"/>
        </w:rPr>
        <w:t>-</w:t>
      </w:r>
      <w:r w:rsidR="00AC6BBF" w:rsidRPr="000E6093">
        <w:rPr>
          <w:rFonts w:ascii="Arial" w:hAnsi="Arial" w:cs="Arial"/>
        </w:rPr>
        <w:t>care</w:t>
      </w:r>
      <w:r w:rsidR="00E21B23" w:rsidRPr="000E6093">
        <w:rPr>
          <w:rFonts w:ascii="Arial" w:hAnsi="Arial" w:cs="Arial"/>
        </w:rPr>
        <w:t xml:space="preserve">, and include information for </w:t>
      </w:r>
      <w:r w:rsidR="008E510C" w:rsidRPr="000E6093">
        <w:rPr>
          <w:rFonts w:ascii="Arial" w:hAnsi="Arial" w:cs="Arial"/>
        </w:rPr>
        <w:t>the public</w:t>
      </w:r>
      <w:r w:rsidR="00E21B23" w:rsidRPr="000E6093">
        <w:rPr>
          <w:rFonts w:ascii="Arial" w:hAnsi="Arial" w:cs="Arial"/>
        </w:rPr>
        <w:t>.</w:t>
      </w:r>
      <w:r w:rsidR="00921C6E" w:rsidRPr="000E6093">
        <w:rPr>
          <w:rFonts w:ascii="Arial" w:hAnsi="Arial" w:cs="Arial"/>
        </w:rPr>
        <w:t xml:space="preserve"> Public Health England publish </w:t>
      </w:r>
      <w:hyperlink r:id="rId16" w:history="1">
        <w:r w:rsidR="00C87D9C" w:rsidRPr="000E6093">
          <w:rPr>
            <w:rStyle w:val="Hyperlink"/>
            <w:rFonts w:ascii="Arial" w:hAnsi="Arial" w:cs="Arial"/>
          </w:rPr>
          <w:t>TARGET</w:t>
        </w:r>
      </w:hyperlink>
      <w:r w:rsidR="00C87D9C" w:rsidRPr="000E6093">
        <w:rPr>
          <w:rFonts w:ascii="Arial" w:hAnsi="Arial" w:cs="Arial"/>
        </w:rPr>
        <w:t xml:space="preserve"> resources to support </w:t>
      </w:r>
      <w:r w:rsidR="00953DEF" w:rsidRPr="000E6093">
        <w:rPr>
          <w:rFonts w:ascii="Arial" w:hAnsi="Arial" w:cs="Arial"/>
        </w:rPr>
        <w:t>antimicrobial stewardship</w:t>
      </w:r>
      <w:r w:rsidR="0091025D" w:rsidRPr="000E6093">
        <w:rPr>
          <w:rFonts w:ascii="Arial" w:hAnsi="Arial" w:cs="Arial"/>
        </w:rPr>
        <w:t xml:space="preserve"> in primary care</w:t>
      </w:r>
      <w:r w:rsidR="00953DEF" w:rsidRPr="000E6093">
        <w:rPr>
          <w:rFonts w:ascii="Arial" w:hAnsi="Arial" w:cs="Arial"/>
        </w:rPr>
        <w:t xml:space="preserve"> and these include</w:t>
      </w:r>
      <w:r w:rsidR="00550656" w:rsidRPr="000E6093">
        <w:rPr>
          <w:rFonts w:ascii="Arial" w:hAnsi="Arial" w:cs="Arial"/>
        </w:rPr>
        <w:t xml:space="preserve"> </w:t>
      </w:r>
      <w:r w:rsidR="0091025D" w:rsidRPr="000E6093">
        <w:rPr>
          <w:rFonts w:ascii="Arial" w:hAnsi="Arial" w:cs="Arial"/>
        </w:rPr>
        <w:t xml:space="preserve">patient information leaflets. </w:t>
      </w:r>
      <w:hyperlink r:id="rId17" w:history="1">
        <w:r w:rsidR="00B44D17" w:rsidRPr="000E6093">
          <w:rPr>
            <w:rStyle w:val="Hyperlink"/>
            <w:rFonts w:ascii="Arial" w:hAnsi="Arial" w:cs="Arial"/>
          </w:rPr>
          <w:t>‘</w:t>
        </w:r>
        <w:r w:rsidR="00227694" w:rsidRPr="000E6093">
          <w:rPr>
            <w:rStyle w:val="Hyperlink"/>
            <w:rFonts w:ascii="Arial" w:hAnsi="Arial" w:cs="Arial"/>
          </w:rPr>
          <w:t>When should I worry?</w:t>
        </w:r>
        <w:r w:rsidR="00B44D17" w:rsidRPr="000E6093">
          <w:rPr>
            <w:rStyle w:val="Hyperlink"/>
            <w:rFonts w:ascii="Arial" w:hAnsi="Arial" w:cs="Arial"/>
          </w:rPr>
          <w:t>’</w:t>
        </w:r>
      </w:hyperlink>
      <w:r w:rsidR="007067CE" w:rsidRPr="000E6093">
        <w:rPr>
          <w:rFonts w:ascii="Arial" w:hAnsi="Arial" w:cs="Arial"/>
        </w:rPr>
        <w:t xml:space="preserve"> is a booklet that provides information for parents about the management of respiratory tract infections (coughs, colds, sore throats, and </w:t>
      </w:r>
      <w:r w:rsidR="00807818" w:rsidRPr="000E6093">
        <w:rPr>
          <w:rFonts w:ascii="Arial" w:hAnsi="Arial" w:cs="Arial"/>
        </w:rPr>
        <w:t>earaches</w:t>
      </w:r>
      <w:r w:rsidR="007067CE" w:rsidRPr="000E6093">
        <w:rPr>
          <w:rFonts w:ascii="Arial" w:hAnsi="Arial" w:cs="Arial"/>
        </w:rPr>
        <w:t>) in children, and has been designed to be used in primary care consultations.</w:t>
      </w:r>
      <w:r w:rsidR="00ED4971" w:rsidRPr="000E6093">
        <w:rPr>
          <w:rFonts w:ascii="Arial" w:hAnsi="Arial" w:cs="Arial"/>
        </w:rPr>
        <w:t xml:space="preserve"> </w:t>
      </w:r>
      <w:r w:rsidR="001E23B9" w:rsidRPr="000E6093">
        <w:rPr>
          <w:rFonts w:ascii="Arial" w:hAnsi="Arial" w:cs="Arial"/>
        </w:rPr>
        <w:t xml:space="preserve">The </w:t>
      </w:r>
      <w:hyperlink r:id="rId18" w:history="1">
        <w:r w:rsidR="00ED4971" w:rsidRPr="000E6093">
          <w:rPr>
            <w:rStyle w:val="Hyperlink"/>
            <w:rFonts w:ascii="Arial" w:hAnsi="Arial" w:cs="Arial"/>
          </w:rPr>
          <w:t xml:space="preserve">Caring for </w:t>
        </w:r>
        <w:r w:rsidR="001E23B9" w:rsidRPr="000E6093">
          <w:rPr>
            <w:rStyle w:val="Hyperlink"/>
            <w:rFonts w:ascii="Arial" w:hAnsi="Arial" w:cs="Arial"/>
          </w:rPr>
          <w:t>c</w:t>
        </w:r>
        <w:r w:rsidR="00ED4971" w:rsidRPr="000E6093">
          <w:rPr>
            <w:rStyle w:val="Hyperlink"/>
            <w:rFonts w:ascii="Arial" w:hAnsi="Arial" w:cs="Arial"/>
          </w:rPr>
          <w:t xml:space="preserve">hildren with </w:t>
        </w:r>
        <w:r w:rsidR="001E23B9" w:rsidRPr="000E6093">
          <w:rPr>
            <w:rStyle w:val="Hyperlink"/>
            <w:rFonts w:ascii="Arial" w:hAnsi="Arial" w:cs="Arial"/>
          </w:rPr>
          <w:t>c</w:t>
        </w:r>
        <w:r w:rsidR="00ED4971" w:rsidRPr="000E6093">
          <w:rPr>
            <w:rStyle w:val="Hyperlink"/>
            <w:rFonts w:ascii="Arial" w:hAnsi="Arial" w:cs="Arial"/>
          </w:rPr>
          <w:t>oughs</w:t>
        </w:r>
      </w:hyperlink>
      <w:r w:rsidR="001E23B9" w:rsidRPr="000E6093">
        <w:rPr>
          <w:rFonts w:ascii="Arial" w:hAnsi="Arial" w:cs="Arial"/>
        </w:rPr>
        <w:t xml:space="preserve"> website was created by a collaboration of researchers and </w:t>
      </w:r>
      <w:r w:rsidR="00807818" w:rsidRPr="000E6093">
        <w:rPr>
          <w:rFonts w:ascii="Arial" w:hAnsi="Arial" w:cs="Arial"/>
        </w:rPr>
        <w:t>parents and</w:t>
      </w:r>
      <w:r w:rsidR="001E23B9" w:rsidRPr="000E6093">
        <w:rPr>
          <w:rFonts w:ascii="Arial" w:hAnsi="Arial" w:cs="Arial"/>
        </w:rPr>
        <w:t xml:space="preserve"> provides information for parent when their child had a cough. </w:t>
      </w:r>
      <w:r w:rsidR="00FD61F8" w:rsidRPr="000E6093">
        <w:rPr>
          <w:rFonts w:ascii="Arial" w:hAnsi="Arial" w:cs="Arial"/>
        </w:rPr>
        <w:t>P</w:t>
      </w:r>
      <w:r w:rsidR="009F7F5A" w:rsidRPr="000E6093">
        <w:rPr>
          <w:rFonts w:ascii="Arial" w:hAnsi="Arial" w:cs="Arial"/>
        </w:rPr>
        <w:t xml:space="preserve">ublic Health England publish </w:t>
      </w:r>
      <w:hyperlink r:id="rId19" w:history="1">
        <w:r w:rsidR="009F7F5A" w:rsidRPr="000E6093">
          <w:rPr>
            <w:rStyle w:val="Hyperlink"/>
            <w:rFonts w:ascii="Arial" w:hAnsi="Arial" w:cs="Arial"/>
          </w:rPr>
          <w:t>e-Bug</w:t>
        </w:r>
      </w:hyperlink>
      <w:r w:rsidR="009F7F5A" w:rsidRPr="000E6093">
        <w:rPr>
          <w:rFonts w:ascii="Arial" w:hAnsi="Arial" w:cs="Arial"/>
        </w:rPr>
        <w:t xml:space="preserve"> resources </w:t>
      </w:r>
      <w:r w:rsidR="000B29F4" w:rsidRPr="000E6093">
        <w:rPr>
          <w:rFonts w:ascii="Arial" w:hAnsi="Arial" w:cs="Arial"/>
        </w:rPr>
        <w:t>that are free educational resource</w:t>
      </w:r>
      <w:r w:rsidR="009768A5" w:rsidRPr="000E6093">
        <w:rPr>
          <w:rFonts w:ascii="Arial" w:hAnsi="Arial" w:cs="Arial"/>
        </w:rPr>
        <w:t xml:space="preserve">s for schools </w:t>
      </w:r>
      <w:r w:rsidR="000B29F4" w:rsidRPr="000E6093">
        <w:rPr>
          <w:rFonts w:ascii="Arial" w:hAnsi="Arial" w:cs="Arial"/>
        </w:rPr>
        <w:t xml:space="preserve">about micro-organisms, the spread, </w:t>
      </w:r>
      <w:proofErr w:type="gramStart"/>
      <w:r w:rsidR="000B29F4" w:rsidRPr="000E6093">
        <w:rPr>
          <w:rFonts w:ascii="Arial" w:hAnsi="Arial" w:cs="Arial"/>
        </w:rPr>
        <w:t>prevention</w:t>
      </w:r>
      <w:proofErr w:type="gramEnd"/>
      <w:r w:rsidR="000B29F4" w:rsidRPr="000E6093">
        <w:rPr>
          <w:rFonts w:ascii="Arial" w:hAnsi="Arial" w:cs="Arial"/>
        </w:rPr>
        <w:t xml:space="preserve"> and treatment of infection</w:t>
      </w:r>
      <w:r w:rsidR="009768A5" w:rsidRPr="000E6093">
        <w:rPr>
          <w:rFonts w:ascii="Arial" w:hAnsi="Arial" w:cs="Arial"/>
        </w:rPr>
        <w:t>.</w:t>
      </w:r>
      <w:r w:rsidR="00146773" w:rsidRPr="000E6093">
        <w:rPr>
          <w:rFonts w:ascii="Arial" w:hAnsi="Arial" w:cs="Arial"/>
        </w:rPr>
        <w:t xml:space="preserve"> </w:t>
      </w:r>
      <w:r w:rsidR="00086F59" w:rsidRPr="000E6093">
        <w:rPr>
          <w:rFonts w:ascii="Arial" w:hAnsi="Arial" w:cs="Arial"/>
        </w:rPr>
        <w:t>Paediatric antimicrobial stewardship resources are</w:t>
      </w:r>
      <w:r w:rsidR="00E865BF" w:rsidRPr="000E6093">
        <w:rPr>
          <w:rFonts w:ascii="Arial" w:hAnsi="Arial" w:cs="Arial"/>
        </w:rPr>
        <w:t xml:space="preserve"> </w:t>
      </w:r>
      <w:r w:rsidR="00EA1229" w:rsidRPr="000E6093">
        <w:rPr>
          <w:rFonts w:ascii="Arial" w:hAnsi="Arial" w:cs="Arial"/>
        </w:rPr>
        <w:t xml:space="preserve">also </w:t>
      </w:r>
      <w:r w:rsidR="00E865BF" w:rsidRPr="000E6093">
        <w:rPr>
          <w:rFonts w:ascii="Arial" w:hAnsi="Arial" w:cs="Arial"/>
        </w:rPr>
        <w:t xml:space="preserve">hosted </w:t>
      </w:r>
      <w:r w:rsidR="00646B43" w:rsidRPr="000E6093">
        <w:rPr>
          <w:rFonts w:ascii="Arial" w:hAnsi="Arial" w:cs="Arial"/>
        </w:rPr>
        <w:t xml:space="preserve">by </w:t>
      </w:r>
      <w:r w:rsidR="00E865BF" w:rsidRPr="000E6093">
        <w:rPr>
          <w:rFonts w:ascii="Arial" w:hAnsi="Arial" w:cs="Arial"/>
        </w:rPr>
        <w:t xml:space="preserve">the </w:t>
      </w:r>
      <w:hyperlink r:id="rId20" w:history="1">
        <w:r w:rsidR="00FA6C92" w:rsidRPr="000E6093">
          <w:rPr>
            <w:rStyle w:val="Hyperlink"/>
            <w:rFonts w:ascii="Arial" w:hAnsi="Arial" w:cs="Arial"/>
          </w:rPr>
          <w:t>British Society for Antimicrobial Chemotherapy</w:t>
        </w:r>
      </w:hyperlink>
      <w:r w:rsidR="00FA6C92" w:rsidRPr="000E6093">
        <w:rPr>
          <w:rFonts w:ascii="Arial" w:hAnsi="Arial" w:cs="Arial"/>
        </w:rPr>
        <w:t xml:space="preserve"> (BSAC)</w:t>
      </w:r>
      <w:r w:rsidR="00646B43" w:rsidRPr="000E6093">
        <w:rPr>
          <w:rFonts w:ascii="Arial" w:hAnsi="Arial" w:cs="Arial"/>
        </w:rPr>
        <w:t>.</w:t>
      </w:r>
    </w:p>
    <w:p w14:paraId="66F8A254" w14:textId="2178D2FB" w:rsidR="00B861F9" w:rsidRDefault="00B861F9" w:rsidP="008A139B">
      <w:pPr>
        <w:pStyle w:val="Heading1"/>
      </w:pPr>
      <w:bookmarkStart w:id="6" w:name="_Toc473297127"/>
      <w:bookmarkStart w:id="7" w:name="_Toc473635660"/>
      <w:bookmarkStart w:id="8" w:name="_Toc473636474"/>
      <w:bookmarkStart w:id="9" w:name="_Toc474398575"/>
      <w:bookmarkStart w:id="10" w:name="_Toc475027474"/>
      <w:bookmarkEnd w:id="5"/>
    </w:p>
    <w:p w14:paraId="33429A96" w14:textId="1D314E33" w:rsidR="00B861F9" w:rsidRDefault="00B861F9" w:rsidP="00B861F9"/>
    <w:p w14:paraId="0791CEFA" w14:textId="3A1F8052" w:rsidR="00B861F9" w:rsidRDefault="00B861F9" w:rsidP="00B861F9"/>
    <w:p w14:paraId="658AA6D9" w14:textId="77777777" w:rsidR="00186A92" w:rsidRPr="00B861F9" w:rsidRDefault="00186A92" w:rsidP="00B861F9"/>
    <w:p w14:paraId="11D96C63" w14:textId="1A2DB800" w:rsidR="004C11F0" w:rsidRPr="008A6C13" w:rsidRDefault="004C11F0" w:rsidP="008A139B">
      <w:pPr>
        <w:pStyle w:val="Heading1"/>
      </w:pPr>
      <w:bookmarkStart w:id="11" w:name="_Toc82592068"/>
      <w:r w:rsidRPr="008A6C13">
        <w:lastRenderedPageBreak/>
        <w:t>Purpose</w:t>
      </w:r>
      <w:bookmarkEnd w:id="6"/>
      <w:bookmarkEnd w:id="7"/>
      <w:bookmarkEnd w:id="8"/>
      <w:bookmarkEnd w:id="9"/>
      <w:bookmarkEnd w:id="10"/>
      <w:bookmarkEnd w:id="11"/>
      <w:r w:rsidRPr="008A6C13">
        <w:t xml:space="preserve"> </w:t>
      </w:r>
    </w:p>
    <w:p w14:paraId="4B1DFF59" w14:textId="377396EE" w:rsidR="00FF6FFE" w:rsidRPr="008A6C13" w:rsidRDefault="00FF6FFE" w:rsidP="00FF6FFE">
      <w:pPr>
        <w:rPr>
          <w:rFonts w:ascii="Arial" w:hAnsi="Arial" w:cs="Arial"/>
        </w:rPr>
      </w:pPr>
      <w:bookmarkStart w:id="12" w:name="_Toc473297128"/>
      <w:bookmarkStart w:id="13" w:name="_Toc473635661"/>
      <w:bookmarkStart w:id="14" w:name="_Toc473636475"/>
      <w:bookmarkStart w:id="15" w:name="_Toc474398576"/>
      <w:bookmarkStart w:id="16" w:name="_Toc475027475"/>
      <w:r w:rsidRPr="008A6C13">
        <w:rPr>
          <w:rFonts w:ascii="Arial" w:hAnsi="Arial" w:cs="Arial"/>
        </w:rPr>
        <w:t xml:space="preserve">The purpose of the </w:t>
      </w:r>
      <w:r>
        <w:rPr>
          <w:rFonts w:ascii="Arial" w:hAnsi="Arial" w:cs="Arial"/>
        </w:rPr>
        <w:t xml:space="preserve">Antimicrobial Stewardship </w:t>
      </w:r>
      <w:r w:rsidR="00D21A1C">
        <w:rPr>
          <w:rFonts w:ascii="Arial" w:hAnsi="Arial" w:cs="Arial"/>
        </w:rPr>
        <w:t>dashboard - Children</w:t>
      </w:r>
      <w:r w:rsidRPr="008A6C13">
        <w:rPr>
          <w:rFonts w:ascii="Arial" w:hAnsi="Arial" w:cs="Arial"/>
        </w:rPr>
        <w:t xml:space="preserve"> is to allow </w:t>
      </w:r>
      <w:r w:rsidR="0093455F">
        <w:rPr>
          <w:rFonts w:ascii="Arial" w:hAnsi="Arial" w:cs="Arial"/>
        </w:rPr>
        <w:t xml:space="preserve">NHS </w:t>
      </w:r>
      <w:r w:rsidR="000E4EF3">
        <w:rPr>
          <w:rFonts w:ascii="Arial" w:hAnsi="Arial" w:cs="Arial"/>
        </w:rPr>
        <w:t xml:space="preserve">organisations </w:t>
      </w:r>
      <w:r w:rsidR="009053D8">
        <w:rPr>
          <w:rFonts w:ascii="Arial" w:hAnsi="Arial" w:cs="Arial"/>
        </w:rPr>
        <w:t>to</w:t>
      </w:r>
    </w:p>
    <w:p w14:paraId="58D9D7E4" w14:textId="6FBF9C68" w:rsidR="00FF6FFE" w:rsidRPr="00601E07" w:rsidRDefault="00FF6FFE" w:rsidP="00601E07">
      <w:pPr>
        <w:pStyle w:val="ListParagraph"/>
        <w:numPr>
          <w:ilvl w:val="0"/>
          <w:numId w:val="26"/>
        </w:numPr>
        <w:spacing w:after="0"/>
        <w:rPr>
          <w:rFonts w:ascii="Arial" w:hAnsi="Arial" w:cs="Arial"/>
        </w:rPr>
      </w:pPr>
      <w:r w:rsidRPr="00601E07">
        <w:rPr>
          <w:rFonts w:ascii="Arial" w:hAnsi="Arial" w:cs="Arial"/>
        </w:rPr>
        <w:t xml:space="preserve">see the variation in antibiotic prescribing for </w:t>
      </w:r>
      <w:r w:rsidR="00D21A1C" w:rsidRPr="00601E07">
        <w:rPr>
          <w:rFonts w:ascii="Arial" w:hAnsi="Arial" w:cs="Arial"/>
        </w:rPr>
        <w:t>children aged 0-14 years</w:t>
      </w:r>
    </w:p>
    <w:p w14:paraId="383C2882" w14:textId="613DF973" w:rsidR="00FF6FFE" w:rsidRPr="008A6C13" w:rsidRDefault="00FF6FFE" w:rsidP="00FF6FFE">
      <w:pPr>
        <w:numPr>
          <w:ilvl w:val="0"/>
          <w:numId w:val="18"/>
        </w:numPr>
        <w:spacing w:after="0"/>
        <w:ind w:left="709" w:hanging="349"/>
        <w:rPr>
          <w:rFonts w:ascii="Arial" w:hAnsi="Arial" w:cs="Arial"/>
        </w:rPr>
      </w:pPr>
      <w:r w:rsidRPr="008A6C13">
        <w:rPr>
          <w:rFonts w:ascii="Arial" w:hAnsi="Arial" w:cs="Arial"/>
        </w:rPr>
        <w:t>compare antibiotic pre</w:t>
      </w:r>
      <w:r w:rsidR="0046049B">
        <w:rPr>
          <w:rFonts w:ascii="Arial" w:hAnsi="Arial" w:cs="Arial"/>
        </w:rPr>
        <w:t>scr</w:t>
      </w:r>
      <w:r w:rsidR="00915417">
        <w:rPr>
          <w:rFonts w:ascii="Arial" w:hAnsi="Arial" w:cs="Arial"/>
        </w:rPr>
        <w:t xml:space="preserve">ibing rates </w:t>
      </w:r>
      <w:r w:rsidR="00E53119">
        <w:rPr>
          <w:rFonts w:ascii="Arial" w:hAnsi="Arial" w:cs="Arial"/>
        </w:rPr>
        <w:t>over time and between organisations</w:t>
      </w:r>
    </w:p>
    <w:p w14:paraId="4E098192" w14:textId="77777777" w:rsidR="00601E07" w:rsidRDefault="00FF6FFE" w:rsidP="00601E07">
      <w:pPr>
        <w:numPr>
          <w:ilvl w:val="0"/>
          <w:numId w:val="18"/>
        </w:numPr>
        <w:spacing w:after="0"/>
        <w:ind w:left="709" w:hanging="349"/>
        <w:rPr>
          <w:rFonts w:ascii="Arial" w:hAnsi="Arial" w:cs="Arial"/>
        </w:rPr>
      </w:pPr>
      <w:r w:rsidRPr="008A6C13">
        <w:rPr>
          <w:rFonts w:ascii="Arial" w:hAnsi="Arial" w:cs="Arial"/>
        </w:rPr>
        <w:t xml:space="preserve">understand how many </w:t>
      </w:r>
      <w:r w:rsidR="009B30EC">
        <w:rPr>
          <w:rFonts w:ascii="Arial" w:hAnsi="Arial" w:cs="Arial"/>
        </w:rPr>
        <w:t xml:space="preserve">children are prescribed </w:t>
      </w:r>
      <w:r w:rsidR="001232CF">
        <w:rPr>
          <w:rFonts w:ascii="Arial" w:hAnsi="Arial" w:cs="Arial"/>
        </w:rPr>
        <w:t xml:space="preserve">one or more </w:t>
      </w:r>
      <w:r w:rsidR="009B30EC">
        <w:rPr>
          <w:rFonts w:ascii="Arial" w:hAnsi="Arial" w:cs="Arial"/>
        </w:rPr>
        <w:t>antibiotic</w:t>
      </w:r>
      <w:r w:rsidR="008716BC">
        <w:rPr>
          <w:rFonts w:ascii="Arial" w:hAnsi="Arial" w:cs="Arial"/>
        </w:rPr>
        <w:t>s</w:t>
      </w:r>
      <w:r w:rsidR="009B30EC">
        <w:rPr>
          <w:rFonts w:ascii="Arial" w:hAnsi="Arial" w:cs="Arial"/>
        </w:rPr>
        <w:t xml:space="preserve"> </w:t>
      </w:r>
    </w:p>
    <w:p w14:paraId="659534FE" w14:textId="77777777" w:rsidR="00601E07" w:rsidRDefault="00FF6FFE" w:rsidP="00601E07">
      <w:pPr>
        <w:numPr>
          <w:ilvl w:val="0"/>
          <w:numId w:val="18"/>
        </w:numPr>
        <w:spacing w:after="0"/>
        <w:ind w:left="709" w:hanging="349"/>
        <w:rPr>
          <w:rFonts w:ascii="Arial" w:hAnsi="Arial" w:cs="Arial"/>
        </w:rPr>
      </w:pPr>
      <w:r w:rsidRPr="00601E07">
        <w:rPr>
          <w:rFonts w:ascii="Arial" w:hAnsi="Arial" w:cs="Arial"/>
        </w:rPr>
        <w:t xml:space="preserve">identify </w:t>
      </w:r>
      <w:r w:rsidR="00D5128E" w:rsidRPr="00601E07">
        <w:rPr>
          <w:rFonts w:ascii="Arial" w:hAnsi="Arial" w:cs="Arial"/>
        </w:rPr>
        <w:t xml:space="preserve">and prioritise opportunities </w:t>
      </w:r>
      <w:r w:rsidR="00C703E6" w:rsidRPr="00601E07">
        <w:rPr>
          <w:rFonts w:ascii="Arial" w:hAnsi="Arial" w:cs="Arial"/>
        </w:rPr>
        <w:t xml:space="preserve">for </w:t>
      </w:r>
      <w:r w:rsidR="00DA322C" w:rsidRPr="00601E07">
        <w:rPr>
          <w:rFonts w:ascii="Arial" w:hAnsi="Arial" w:cs="Arial"/>
        </w:rPr>
        <w:t xml:space="preserve">antimicrobial stewardship </w:t>
      </w:r>
      <w:r w:rsidRPr="00601E07">
        <w:rPr>
          <w:rFonts w:ascii="Arial" w:hAnsi="Arial" w:cs="Arial"/>
        </w:rPr>
        <w:t>improvement</w:t>
      </w:r>
    </w:p>
    <w:p w14:paraId="0B3569F2" w14:textId="78C2D5E9" w:rsidR="00FF6FFE" w:rsidRPr="00601E07" w:rsidRDefault="009F10BC" w:rsidP="00601E07">
      <w:pPr>
        <w:numPr>
          <w:ilvl w:val="0"/>
          <w:numId w:val="18"/>
        </w:numPr>
        <w:spacing w:after="0"/>
        <w:ind w:left="709" w:hanging="349"/>
        <w:rPr>
          <w:rFonts w:ascii="Arial" w:hAnsi="Arial" w:cs="Arial"/>
        </w:rPr>
      </w:pPr>
      <w:r w:rsidRPr="00601E07">
        <w:rPr>
          <w:rFonts w:ascii="Arial" w:hAnsi="Arial" w:cs="Arial"/>
        </w:rPr>
        <w:t>monitor and report</w:t>
      </w:r>
      <w:r w:rsidR="00FF6FFE" w:rsidRPr="00601E07">
        <w:rPr>
          <w:rFonts w:ascii="Arial" w:hAnsi="Arial" w:cs="Arial"/>
        </w:rPr>
        <w:t xml:space="preserve"> </w:t>
      </w:r>
      <w:r w:rsidR="00D83E7B" w:rsidRPr="00601E07">
        <w:rPr>
          <w:rFonts w:ascii="Arial" w:hAnsi="Arial" w:cs="Arial"/>
        </w:rPr>
        <w:t>antimicrobial stewardship</w:t>
      </w:r>
      <w:r w:rsidR="00FF6FFE" w:rsidRPr="00601E07">
        <w:rPr>
          <w:rFonts w:ascii="Arial" w:hAnsi="Arial" w:cs="Arial"/>
        </w:rPr>
        <w:t xml:space="preserve"> improvement</w:t>
      </w:r>
    </w:p>
    <w:p w14:paraId="2958F588" w14:textId="77777777" w:rsidR="00653332" w:rsidRPr="008A6C13" w:rsidRDefault="004C11F0" w:rsidP="008A139B">
      <w:pPr>
        <w:pStyle w:val="Heading1"/>
      </w:pPr>
      <w:bookmarkStart w:id="17" w:name="_Toc82592069"/>
      <w:r w:rsidRPr="008A6C13">
        <w:t>Limitations</w:t>
      </w:r>
      <w:bookmarkEnd w:id="12"/>
      <w:bookmarkEnd w:id="13"/>
      <w:bookmarkEnd w:id="14"/>
      <w:bookmarkEnd w:id="15"/>
      <w:bookmarkEnd w:id="16"/>
      <w:bookmarkEnd w:id="17"/>
    </w:p>
    <w:p w14:paraId="54D02BC3" w14:textId="77777777" w:rsidR="00F26409" w:rsidRPr="008A6C13" w:rsidRDefault="00F26409" w:rsidP="00F26409">
      <w:pPr>
        <w:spacing w:after="120"/>
        <w:rPr>
          <w:rFonts w:ascii="Arial" w:hAnsi="Arial" w:cs="Arial"/>
        </w:rPr>
      </w:pPr>
      <w:r w:rsidRPr="008A6C13">
        <w:rPr>
          <w:rFonts w:ascii="Arial" w:hAnsi="Arial" w:cs="Arial"/>
        </w:rPr>
        <w:t xml:space="preserve">Historically, primary care prescribing information was derived from the reimbursement processes for dispensed medicines. However, the NHSBSA is now able to capture extra information that undoubtedly adds value to prescribing measures. The NHS number of the recipient of a medicine prescribed in primary care can now be linked to items prescribed. This development enables the data to show how many patients are prescribed a medicine or group of medicines (rather than presentation of drugs prescribed by each GP practice). In this way, we </w:t>
      </w:r>
      <w:proofErr w:type="gramStart"/>
      <w:r w:rsidRPr="008A6C13">
        <w:rPr>
          <w:rFonts w:ascii="Arial" w:hAnsi="Arial" w:cs="Arial"/>
        </w:rPr>
        <w:t>are able to</w:t>
      </w:r>
      <w:proofErr w:type="gramEnd"/>
      <w:r w:rsidRPr="008A6C13">
        <w:rPr>
          <w:rFonts w:ascii="Arial" w:hAnsi="Arial" w:cs="Arial"/>
        </w:rPr>
        <w:t xml:space="preserve"> demonstrate much better the quality of prescribing in key areas. </w:t>
      </w:r>
    </w:p>
    <w:p w14:paraId="512BAB02" w14:textId="77777777" w:rsidR="00F26409" w:rsidRPr="008A6C13" w:rsidRDefault="00F26409" w:rsidP="00F26409">
      <w:pPr>
        <w:rPr>
          <w:rFonts w:ascii="Arial" w:hAnsi="Arial" w:cs="Arial"/>
          <w:sz w:val="20"/>
          <w:szCs w:val="20"/>
        </w:rPr>
      </w:pPr>
      <w:r w:rsidRPr="008A6C13">
        <w:rPr>
          <w:rFonts w:ascii="Arial" w:hAnsi="Arial" w:cs="Arial"/>
        </w:rPr>
        <w:t>Information governance is very important and in the preparation of these</w:t>
      </w:r>
      <w:r w:rsidRPr="008A6C13">
        <w:t xml:space="preserve"> </w:t>
      </w:r>
      <w:r w:rsidRPr="008A6C13">
        <w:rPr>
          <w:rFonts w:ascii="Arial" w:hAnsi="Arial" w:cs="Arial"/>
        </w:rPr>
        <w:t>comparators, all data protection legislation and patient confidentiality has been carefully considered and adhered to. While comparators may be derived from patient level records, personal identifiable data will not be included within the reports.</w:t>
      </w:r>
    </w:p>
    <w:p w14:paraId="134C5D65" w14:textId="77777777" w:rsidR="00F26409" w:rsidRPr="008A6C13" w:rsidRDefault="00F26409" w:rsidP="00F26409">
      <w:pPr>
        <w:spacing w:after="120"/>
        <w:rPr>
          <w:rFonts w:ascii="Arial" w:hAnsi="Arial" w:cs="Arial"/>
        </w:rPr>
      </w:pPr>
      <w:r w:rsidRPr="008A6C13">
        <w:rPr>
          <w:rFonts w:ascii="Arial" w:hAnsi="Arial" w:cs="Arial"/>
        </w:rPr>
        <w:t>Each comparator has a full specification outlining the evidence base behind the comparator; the rationale for inclusion and the data source (see Table 1 for list of comparators).</w:t>
      </w:r>
    </w:p>
    <w:p w14:paraId="73A7B438" w14:textId="77777777" w:rsidR="00F26409" w:rsidRPr="008A6C13" w:rsidRDefault="00F26409" w:rsidP="00F26409">
      <w:pPr>
        <w:spacing w:after="120"/>
        <w:rPr>
          <w:rFonts w:ascii="Arial" w:hAnsi="Arial" w:cs="Arial"/>
          <w:b/>
        </w:rPr>
      </w:pPr>
      <w:r w:rsidRPr="008A6C13">
        <w:rPr>
          <w:rFonts w:ascii="Arial" w:hAnsi="Arial" w:cs="Arial"/>
          <w:b/>
        </w:rPr>
        <w:t xml:space="preserve">This comparator specification document is NOT a prescribing guideline. It simply shows how the comparators were developed and the rationale behind each comparator. </w:t>
      </w:r>
    </w:p>
    <w:p w14:paraId="03B9C1F5" w14:textId="77777777" w:rsidR="00F26409" w:rsidRPr="008A6C13" w:rsidRDefault="00F26409" w:rsidP="00F26409"/>
    <w:p w14:paraId="08527FFE" w14:textId="77777777" w:rsidR="00036AB8" w:rsidRPr="008A6C13" w:rsidRDefault="0070674E" w:rsidP="008A139B">
      <w:pPr>
        <w:pStyle w:val="Heading1"/>
      </w:pPr>
      <w:bookmarkStart w:id="18" w:name="_Toc473297129"/>
      <w:bookmarkStart w:id="19" w:name="_Toc473635662"/>
      <w:bookmarkStart w:id="20" w:name="_Toc473636476"/>
      <w:bookmarkStart w:id="21" w:name="_Toc474398577"/>
      <w:bookmarkStart w:id="22" w:name="_Toc475027476"/>
      <w:bookmarkStart w:id="23" w:name="_Toc82592070"/>
      <w:r w:rsidRPr="008A6C13">
        <w:t>Table 1: List of comparators</w:t>
      </w:r>
      <w:bookmarkEnd w:id="18"/>
      <w:bookmarkEnd w:id="19"/>
      <w:bookmarkEnd w:id="20"/>
      <w:bookmarkEnd w:id="21"/>
      <w:bookmarkEnd w:id="22"/>
      <w:bookmarkEnd w:id="23"/>
    </w:p>
    <w:p w14:paraId="6004D849" w14:textId="77777777" w:rsidR="0070674E" w:rsidRPr="008A6C13" w:rsidRDefault="0070674E" w:rsidP="00A608EC">
      <w:pPr>
        <w:widowControl w:val="0"/>
        <w:autoSpaceDE w:val="0"/>
        <w:autoSpaceDN w:val="0"/>
        <w:adjustRightInd w:val="0"/>
        <w:spacing w:after="0" w:line="240" w:lineRule="auto"/>
        <w:rPr>
          <w:rFonts w:ascii="Arial"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656CC" w:rsidRPr="008A6C13" w14:paraId="1E33A4BA" w14:textId="77777777" w:rsidTr="00120B9B">
        <w:tc>
          <w:tcPr>
            <w:tcW w:w="9747" w:type="dxa"/>
            <w:shd w:val="clear" w:color="auto" w:fill="auto"/>
          </w:tcPr>
          <w:p w14:paraId="34EA5E62" w14:textId="77777777" w:rsidR="00C656CC" w:rsidRPr="008A6C13" w:rsidRDefault="00C656CC" w:rsidP="00120B9B">
            <w:pPr>
              <w:widowControl w:val="0"/>
              <w:autoSpaceDE w:val="0"/>
              <w:autoSpaceDN w:val="0"/>
              <w:adjustRightInd w:val="0"/>
              <w:spacing w:after="0" w:line="240" w:lineRule="auto"/>
              <w:rPr>
                <w:rFonts w:ascii="Arial" w:hAnsi="Arial" w:cs="Arial"/>
                <w:b/>
                <w:lang w:eastAsia="en-GB"/>
              </w:rPr>
            </w:pPr>
            <w:r w:rsidRPr="008A6C13">
              <w:rPr>
                <w:rFonts w:ascii="Arial" w:hAnsi="Arial" w:cs="Arial"/>
                <w:b/>
                <w:lang w:eastAsia="en-GB"/>
              </w:rPr>
              <w:t>Comparator Title</w:t>
            </w:r>
          </w:p>
        </w:tc>
      </w:tr>
      <w:tr w:rsidR="00C656CC" w:rsidRPr="008A6C13" w14:paraId="35E9933C" w14:textId="77777777" w:rsidTr="00120B9B">
        <w:tc>
          <w:tcPr>
            <w:tcW w:w="9747" w:type="dxa"/>
            <w:shd w:val="clear" w:color="auto" w:fill="auto"/>
          </w:tcPr>
          <w:p w14:paraId="3E434637" w14:textId="77777777" w:rsidR="00C656CC" w:rsidRPr="008A6C13" w:rsidRDefault="00C8148C" w:rsidP="00CF2715">
            <w:pPr>
              <w:widowControl w:val="0"/>
              <w:tabs>
                <w:tab w:val="left" w:pos="1139"/>
              </w:tabs>
              <w:autoSpaceDE w:val="0"/>
              <w:autoSpaceDN w:val="0"/>
              <w:adjustRightInd w:val="0"/>
              <w:spacing w:after="0" w:line="240" w:lineRule="auto"/>
              <w:rPr>
                <w:rFonts w:ascii="Arial" w:hAnsi="Arial" w:cs="Arial"/>
                <w:lang w:eastAsia="en-GB"/>
              </w:rPr>
            </w:pPr>
            <w:r>
              <w:rPr>
                <w:rFonts w:ascii="Arial" w:hAnsi="Arial" w:cs="Arial"/>
                <w:lang w:eastAsia="en-GB"/>
              </w:rPr>
              <w:t>ASC01 – Prescribing of antibacterial items per 1,00</w:t>
            </w:r>
            <w:r w:rsidR="002F5148">
              <w:rPr>
                <w:rFonts w:ascii="Arial" w:hAnsi="Arial" w:cs="Arial"/>
                <w:lang w:eastAsia="en-GB"/>
              </w:rPr>
              <w:t>0</w:t>
            </w:r>
            <w:r>
              <w:rPr>
                <w:rFonts w:ascii="Arial" w:hAnsi="Arial" w:cs="Arial"/>
                <w:lang w:eastAsia="en-GB"/>
              </w:rPr>
              <w:t xml:space="preserve"> children</w:t>
            </w:r>
          </w:p>
        </w:tc>
      </w:tr>
      <w:tr w:rsidR="00C656CC" w:rsidRPr="008A6C13" w14:paraId="1EE4B330" w14:textId="77777777" w:rsidTr="00120B9B">
        <w:tc>
          <w:tcPr>
            <w:tcW w:w="9747" w:type="dxa"/>
            <w:shd w:val="clear" w:color="auto" w:fill="auto"/>
          </w:tcPr>
          <w:p w14:paraId="5CC223CF" w14:textId="77777777" w:rsidR="00C656CC" w:rsidRPr="008A6C13" w:rsidRDefault="00C8148C" w:rsidP="00120B9B">
            <w:pPr>
              <w:widowControl w:val="0"/>
              <w:autoSpaceDE w:val="0"/>
              <w:autoSpaceDN w:val="0"/>
              <w:adjustRightInd w:val="0"/>
              <w:spacing w:after="0" w:line="240" w:lineRule="auto"/>
              <w:rPr>
                <w:rFonts w:ascii="Arial" w:hAnsi="Arial" w:cs="Arial"/>
                <w:lang w:eastAsia="en-GB"/>
              </w:rPr>
            </w:pPr>
            <w:r>
              <w:rPr>
                <w:rFonts w:ascii="Arial" w:hAnsi="Arial" w:cs="Arial"/>
                <w:lang w:eastAsia="en-GB"/>
              </w:rPr>
              <w:t>ASC02 – Number of children prescribed antibiotics per 1,00</w:t>
            </w:r>
            <w:r w:rsidR="002F5148">
              <w:rPr>
                <w:rFonts w:ascii="Arial" w:hAnsi="Arial" w:cs="Arial"/>
                <w:lang w:eastAsia="en-GB"/>
              </w:rPr>
              <w:t>0</w:t>
            </w:r>
            <w:r>
              <w:rPr>
                <w:rFonts w:ascii="Arial" w:hAnsi="Arial" w:cs="Arial"/>
                <w:lang w:eastAsia="en-GB"/>
              </w:rPr>
              <w:t xml:space="preserve"> children</w:t>
            </w:r>
          </w:p>
        </w:tc>
      </w:tr>
      <w:tr w:rsidR="00C656CC" w:rsidRPr="008A6C13" w14:paraId="0E88A432" w14:textId="77777777" w:rsidTr="008834B1">
        <w:trPr>
          <w:trHeight w:val="281"/>
        </w:trPr>
        <w:tc>
          <w:tcPr>
            <w:tcW w:w="9747" w:type="dxa"/>
            <w:shd w:val="clear" w:color="auto" w:fill="auto"/>
          </w:tcPr>
          <w:p w14:paraId="46BAFCFF" w14:textId="77777777" w:rsidR="00C656CC" w:rsidRPr="008A6C13" w:rsidRDefault="00C8148C" w:rsidP="00120B9B">
            <w:pPr>
              <w:widowControl w:val="0"/>
              <w:autoSpaceDE w:val="0"/>
              <w:autoSpaceDN w:val="0"/>
              <w:adjustRightInd w:val="0"/>
              <w:spacing w:after="0" w:line="240" w:lineRule="auto"/>
              <w:rPr>
                <w:rFonts w:ascii="Arial" w:hAnsi="Arial" w:cs="Arial"/>
                <w:lang w:eastAsia="en-GB"/>
              </w:rPr>
            </w:pPr>
            <w:r>
              <w:rPr>
                <w:rFonts w:ascii="Arial" w:hAnsi="Arial" w:cs="Arial"/>
                <w:lang w:eastAsia="en-GB"/>
              </w:rPr>
              <w:t>ASC03 – Number of children prescribed multiple antibiotics</w:t>
            </w:r>
          </w:p>
        </w:tc>
      </w:tr>
      <w:tr w:rsidR="00C656CC" w:rsidRPr="008A6C13" w14:paraId="19F81567" w14:textId="77777777" w:rsidTr="00120B9B">
        <w:tc>
          <w:tcPr>
            <w:tcW w:w="9747" w:type="dxa"/>
            <w:shd w:val="clear" w:color="auto" w:fill="auto"/>
          </w:tcPr>
          <w:p w14:paraId="2B0FD8AC" w14:textId="77777777" w:rsidR="00C656CC" w:rsidRPr="008A6C13" w:rsidRDefault="00C8148C" w:rsidP="00120B9B">
            <w:pPr>
              <w:widowControl w:val="0"/>
              <w:autoSpaceDE w:val="0"/>
              <w:autoSpaceDN w:val="0"/>
              <w:adjustRightInd w:val="0"/>
              <w:spacing w:after="0" w:line="240" w:lineRule="auto"/>
              <w:rPr>
                <w:rFonts w:ascii="Arial" w:hAnsi="Arial" w:cs="Arial"/>
                <w:lang w:eastAsia="en-GB"/>
              </w:rPr>
            </w:pPr>
            <w:r>
              <w:rPr>
                <w:rFonts w:ascii="Arial" w:hAnsi="Arial" w:cs="Arial"/>
                <w:lang w:eastAsia="en-GB"/>
              </w:rPr>
              <w:t>ASC04 – Prescribing of specific antibiotics per 1,000 children</w:t>
            </w:r>
          </w:p>
        </w:tc>
      </w:tr>
      <w:tr w:rsidR="00C656CC" w:rsidRPr="008A6C13" w14:paraId="5BC7CB4E" w14:textId="77777777" w:rsidTr="00120B9B">
        <w:tc>
          <w:tcPr>
            <w:tcW w:w="9747" w:type="dxa"/>
            <w:shd w:val="clear" w:color="auto" w:fill="auto"/>
          </w:tcPr>
          <w:p w14:paraId="5D59DEDE" w14:textId="77777777" w:rsidR="00C656CC" w:rsidRPr="008A6C13" w:rsidRDefault="00C8148C" w:rsidP="00120B9B">
            <w:pPr>
              <w:spacing w:after="0" w:line="240" w:lineRule="auto"/>
              <w:rPr>
                <w:rFonts w:ascii="Arial" w:hAnsi="Arial" w:cs="Arial"/>
              </w:rPr>
            </w:pPr>
            <w:r>
              <w:rPr>
                <w:rFonts w:ascii="Arial" w:hAnsi="Arial" w:cs="Arial"/>
              </w:rPr>
              <w:t>ASC05 – Prescribing of UTI related antibiotic items per 1,00</w:t>
            </w:r>
            <w:r w:rsidR="002F5148">
              <w:rPr>
                <w:rFonts w:ascii="Arial" w:hAnsi="Arial" w:cs="Arial"/>
              </w:rPr>
              <w:t>0</w:t>
            </w:r>
            <w:r>
              <w:rPr>
                <w:rFonts w:ascii="Arial" w:hAnsi="Arial" w:cs="Arial"/>
              </w:rPr>
              <w:t xml:space="preserve"> children</w:t>
            </w:r>
          </w:p>
        </w:tc>
      </w:tr>
    </w:tbl>
    <w:p w14:paraId="1ACF5551" w14:textId="77777777" w:rsidR="004C11F0" w:rsidRPr="008A6C13" w:rsidRDefault="00953688" w:rsidP="008A139B">
      <w:pPr>
        <w:pStyle w:val="Heading1"/>
      </w:pPr>
      <w:bookmarkStart w:id="24" w:name="_Toc473297130"/>
      <w:bookmarkStart w:id="25" w:name="_Toc473635663"/>
      <w:bookmarkStart w:id="26" w:name="_Toc473636477"/>
      <w:bookmarkStart w:id="27" w:name="_Toc474398578"/>
      <w:bookmarkStart w:id="28" w:name="_Toc475027477"/>
      <w:bookmarkStart w:id="29" w:name="_Toc82592071"/>
      <w:r w:rsidRPr="008A6C13">
        <w:t>Prescribing d</w:t>
      </w:r>
      <w:r w:rsidR="00CC00C9" w:rsidRPr="008A6C13">
        <w:t>ata used</w:t>
      </w:r>
      <w:bookmarkEnd w:id="24"/>
      <w:bookmarkEnd w:id="25"/>
      <w:bookmarkEnd w:id="26"/>
      <w:r w:rsidRPr="008A6C13">
        <w:t xml:space="preserve"> in these comparators</w:t>
      </w:r>
      <w:bookmarkEnd w:id="27"/>
      <w:bookmarkEnd w:id="28"/>
      <w:bookmarkEnd w:id="29"/>
      <w:r w:rsidR="00F14685" w:rsidRPr="008A6C13">
        <w:t xml:space="preserve"> </w:t>
      </w:r>
    </w:p>
    <w:p w14:paraId="1F08C012" w14:textId="77777777" w:rsidR="00F26409" w:rsidRPr="008A6C13" w:rsidRDefault="00F26409" w:rsidP="00F26409">
      <w:pPr>
        <w:spacing w:after="120"/>
        <w:rPr>
          <w:rFonts w:ascii="Arial" w:hAnsi="Arial" w:cs="Arial"/>
        </w:rPr>
      </w:pPr>
      <w:r w:rsidRPr="008A6C13">
        <w:rPr>
          <w:rFonts w:ascii="Arial" w:hAnsi="Arial" w:cs="Arial"/>
        </w:rPr>
        <w:t>Users of these prescribing comparators must be aware of the following parameters:</w:t>
      </w:r>
    </w:p>
    <w:p w14:paraId="2DBD3C7F" w14:textId="77777777" w:rsidR="003B3A82" w:rsidRPr="008A6C13" w:rsidRDefault="003B3A82" w:rsidP="00F26409">
      <w:pPr>
        <w:spacing w:after="120"/>
        <w:rPr>
          <w:rFonts w:ascii="Arial" w:hAnsi="Arial" w:cs="Arial"/>
        </w:rPr>
      </w:pPr>
      <w:r w:rsidRPr="008A6C13">
        <w:rPr>
          <w:rFonts w:ascii="Arial" w:hAnsi="Arial" w:cs="Arial"/>
        </w:rPr>
        <w:t>The data for these comparators</w:t>
      </w:r>
    </w:p>
    <w:p w14:paraId="4FC69254" w14:textId="77777777" w:rsidR="00F26409" w:rsidRPr="008A6C13" w:rsidRDefault="00F26409" w:rsidP="00F26409">
      <w:pPr>
        <w:numPr>
          <w:ilvl w:val="0"/>
          <w:numId w:val="20"/>
        </w:numPr>
        <w:spacing w:after="120"/>
        <w:ind w:left="714" w:hanging="357"/>
        <w:rPr>
          <w:rFonts w:ascii="Arial" w:hAnsi="Arial" w:cs="Arial"/>
        </w:rPr>
      </w:pPr>
      <w:r w:rsidRPr="008A6C13">
        <w:rPr>
          <w:rFonts w:ascii="Arial" w:hAnsi="Arial" w:cs="Arial"/>
        </w:rPr>
        <w:t xml:space="preserve">Covers all items prescribed in primary care by practices and cost centres linked to CCGs. </w:t>
      </w:r>
    </w:p>
    <w:p w14:paraId="0FE87137" w14:textId="77777777" w:rsidR="003B3A82" w:rsidRPr="008A6C13" w:rsidRDefault="003B3A82" w:rsidP="00F26409">
      <w:pPr>
        <w:numPr>
          <w:ilvl w:val="0"/>
          <w:numId w:val="20"/>
        </w:numPr>
        <w:spacing w:after="120"/>
        <w:ind w:left="714" w:hanging="357"/>
        <w:rPr>
          <w:rFonts w:ascii="Arial" w:hAnsi="Arial" w:cs="Arial"/>
        </w:rPr>
      </w:pPr>
      <w:r w:rsidRPr="008A6C13">
        <w:rPr>
          <w:rFonts w:ascii="Arial" w:hAnsi="Arial" w:cs="Arial"/>
        </w:rPr>
        <w:t xml:space="preserve">Is only displayed for current CCGs, and not closed CCGs </w:t>
      </w:r>
    </w:p>
    <w:p w14:paraId="634C1682" w14:textId="77777777" w:rsidR="003B3A82" w:rsidRPr="008A6C13" w:rsidRDefault="003B3A82" w:rsidP="003B3A82">
      <w:pPr>
        <w:numPr>
          <w:ilvl w:val="0"/>
          <w:numId w:val="20"/>
        </w:numPr>
        <w:spacing w:after="120"/>
        <w:rPr>
          <w:rFonts w:ascii="Arial" w:hAnsi="Arial" w:cs="Arial"/>
        </w:rPr>
      </w:pPr>
      <w:r w:rsidRPr="008A6C13">
        <w:rPr>
          <w:rFonts w:ascii="Arial" w:hAnsi="Arial" w:cs="Arial"/>
        </w:rPr>
        <w:t>Does not include medicines supplied over the counter.</w:t>
      </w:r>
    </w:p>
    <w:p w14:paraId="790856A9" w14:textId="77777777" w:rsidR="003B3A82" w:rsidRPr="008A6C13" w:rsidRDefault="003B3A82" w:rsidP="003B3A82">
      <w:pPr>
        <w:numPr>
          <w:ilvl w:val="0"/>
          <w:numId w:val="20"/>
        </w:numPr>
        <w:spacing w:after="120"/>
        <w:rPr>
          <w:rFonts w:ascii="Arial" w:hAnsi="Arial" w:cs="Arial"/>
        </w:rPr>
      </w:pPr>
      <w:r w:rsidRPr="008A6C13">
        <w:rPr>
          <w:rFonts w:ascii="Arial" w:hAnsi="Arial" w:cs="Arial"/>
        </w:rPr>
        <w:lastRenderedPageBreak/>
        <w:t>Does not include medicines supplied by NHS community services.</w:t>
      </w:r>
    </w:p>
    <w:p w14:paraId="4FF17EA4" w14:textId="77777777" w:rsidR="003B3A82" w:rsidRDefault="003B3A82" w:rsidP="003B3A82">
      <w:pPr>
        <w:spacing w:after="120"/>
        <w:rPr>
          <w:rFonts w:ascii="Arial" w:hAnsi="Arial" w:cs="Arial"/>
        </w:rPr>
      </w:pPr>
      <w:r w:rsidRPr="008A6C13">
        <w:rPr>
          <w:rFonts w:ascii="Arial" w:hAnsi="Arial" w:cs="Arial"/>
        </w:rPr>
        <w:t xml:space="preserve">Each comparator is </w:t>
      </w:r>
      <w:r w:rsidR="00C102AE">
        <w:rPr>
          <w:rFonts w:ascii="Arial" w:hAnsi="Arial" w:cs="Arial"/>
        </w:rPr>
        <w:t xml:space="preserve">presented as either a single month’s </w:t>
      </w:r>
      <w:proofErr w:type="gramStart"/>
      <w:r w:rsidR="00C102AE">
        <w:rPr>
          <w:rFonts w:ascii="Arial" w:hAnsi="Arial" w:cs="Arial"/>
        </w:rPr>
        <w:t>prescribing, or</w:t>
      </w:r>
      <w:proofErr w:type="gramEnd"/>
      <w:r w:rsidR="00C102AE">
        <w:rPr>
          <w:rFonts w:ascii="Arial" w:hAnsi="Arial" w:cs="Arial"/>
        </w:rPr>
        <w:t xml:space="preserve"> </w:t>
      </w:r>
      <w:r w:rsidRPr="008A6C13">
        <w:rPr>
          <w:rFonts w:ascii="Arial" w:hAnsi="Arial" w:cs="Arial"/>
        </w:rPr>
        <w:t xml:space="preserve">using prescribing data for a </w:t>
      </w:r>
      <w:r w:rsidR="00FF66E7" w:rsidRPr="008A6C13">
        <w:rPr>
          <w:rFonts w:ascii="Arial" w:hAnsi="Arial" w:cs="Arial"/>
        </w:rPr>
        <w:t>12</w:t>
      </w:r>
      <w:r w:rsidR="00C102AE">
        <w:rPr>
          <w:rFonts w:ascii="Arial" w:hAnsi="Arial" w:cs="Arial"/>
        </w:rPr>
        <w:t>-</w:t>
      </w:r>
      <w:r w:rsidR="00FF66E7" w:rsidRPr="008A6C13">
        <w:rPr>
          <w:rFonts w:ascii="Arial" w:hAnsi="Arial" w:cs="Arial"/>
        </w:rPr>
        <w:t xml:space="preserve">month period, rolled into a </w:t>
      </w:r>
      <w:r w:rsidRPr="008A6C13">
        <w:rPr>
          <w:rFonts w:ascii="Arial" w:hAnsi="Arial" w:cs="Arial"/>
        </w:rPr>
        <w:t>single month</w:t>
      </w:r>
      <w:r w:rsidR="00C102AE">
        <w:rPr>
          <w:rFonts w:ascii="Arial" w:hAnsi="Arial" w:cs="Arial"/>
        </w:rPr>
        <w:t xml:space="preserve">, where </w:t>
      </w:r>
      <w:r w:rsidR="00FF66E7" w:rsidRPr="008A6C13">
        <w:rPr>
          <w:rFonts w:ascii="Arial" w:hAnsi="Arial" w:cs="Arial"/>
        </w:rPr>
        <w:t xml:space="preserve">each data point represents a year’s worth of prescribing.  </w:t>
      </w:r>
      <w:r w:rsidRPr="008A6C13">
        <w:rPr>
          <w:rFonts w:ascii="Arial" w:hAnsi="Arial" w:cs="Arial"/>
        </w:rPr>
        <w:t>Historic data is available to allow organisations such as practices, PCNs or CCGs to chart their progress in addressing a particular comparator area.</w:t>
      </w:r>
    </w:p>
    <w:p w14:paraId="7E942D1F" w14:textId="77777777" w:rsidR="006D008C" w:rsidRDefault="006D008C" w:rsidP="003B3A82">
      <w:pPr>
        <w:spacing w:after="120"/>
        <w:rPr>
          <w:rFonts w:ascii="Arial" w:hAnsi="Arial" w:cs="Arial"/>
        </w:rPr>
      </w:pPr>
      <w:r>
        <w:rPr>
          <w:rFonts w:ascii="Arial" w:hAnsi="Arial" w:cs="Arial"/>
        </w:rPr>
        <w:t>Each comparator is presented in four different patient age bands:</w:t>
      </w:r>
    </w:p>
    <w:p w14:paraId="1593EC69" w14:textId="77777777" w:rsidR="006D008C" w:rsidRDefault="006D008C" w:rsidP="003B3A82">
      <w:pPr>
        <w:spacing w:after="120"/>
        <w:rPr>
          <w:rFonts w:ascii="Arial" w:hAnsi="Arial" w:cs="Arial"/>
        </w:rPr>
      </w:pPr>
      <w:r>
        <w:rPr>
          <w:rFonts w:ascii="Arial" w:hAnsi="Arial" w:cs="Arial"/>
        </w:rPr>
        <w:tab/>
        <w:t>0-4 years old</w:t>
      </w:r>
    </w:p>
    <w:p w14:paraId="66E12C38" w14:textId="77777777" w:rsidR="006D008C" w:rsidRDefault="006D008C" w:rsidP="003B3A82">
      <w:pPr>
        <w:spacing w:after="120"/>
        <w:rPr>
          <w:rFonts w:ascii="Arial" w:hAnsi="Arial" w:cs="Arial"/>
        </w:rPr>
      </w:pPr>
      <w:r>
        <w:rPr>
          <w:rFonts w:ascii="Arial" w:hAnsi="Arial" w:cs="Arial"/>
        </w:rPr>
        <w:tab/>
        <w:t>5-9 years old</w:t>
      </w:r>
    </w:p>
    <w:p w14:paraId="676A4366" w14:textId="77777777" w:rsidR="006D008C" w:rsidRDefault="006D008C" w:rsidP="003B3A82">
      <w:pPr>
        <w:spacing w:after="120"/>
        <w:rPr>
          <w:rFonts w:ascii="Arial" w:hAnsi="Arial" w:cs="Arial"/>
        </w:rPr>
      </w:pPr>
      <w:r>
        <w:rPr>
          <w:rFonts w:ascii="Arial" w:hAnsi="Arial" w:cs="Arial"/>
        </w:rPr>
        <w:tab/>
        <w:t>10-14 years old</w:t>
      </w:r>
    </w:p>
    <w:p w14:paraId="72A87ED6" w14:textId="77777777" w:rsidR="006D008C" w:rsidRDefault="006D008C" w:rsidP="003B3A82">
      <w:pPr>
        <w:spacing w:after="120"/>
        <w:rPr>
          <w:rFonts w:ascii="Arial" w:hAnsi="Arial" w:cs="Arial"/>
        </w:rPr>
      </w:pPr>
      <w:r>
        <w:rPr>
          <w:rFonts w:ascii="Arial" w:hAnsi="Arial" w:cs="Arial"/>
        </w:rPr>
        <w:tab/>
        <w:t>0-9 years old</w:t>
      </w:r>
    </w:p>
    <w:p w14:paraId="4516CF54" w14:textId="77777777" w:rsidR="003B3A82" w:rsidRPr="008A6C13" w:rsidRDefault="003B3A82" w:rsidP="003B3A82">
      <w:pPr>
        <w:spacing w:after="120"/>
        <w:rPr>
          <w:rFonts w:ascii="Arial" w:hAnsi="Arial" w:cs="Arial"/>
        </w:rPr>
      </w:pPr>
      <w:r w:rsidRPr="008A6C13">
        <w:rPr>
          <w:rFonts w:ascii="Arial" w:hAnsi="Arial" w:cs="Arial"/>
        </w:rPr>
        <w:t>All the comparators show</w:t>
      </w:r>
      <w:r w:rsidR="00FF66E7" w:rsidRPr="008A6C13">
        <w:rPr>
          <w:rFonts w:ascii="Arial" w:hAnsi="Arial" w:cs="Arial"/>
        </w:rPr>
        <w:t xml:space="preserve"> </w:t>
      </w:r>
      <w:r w:rsidR="00C102AE">
        <w:rPr>
          <w:rFonts w:ascii="Arial" w:hAnsi="Arial" w:cs="Arial"/>
        </w:rPr>
        <w:t xml:space="preserve">data </w:t>
      </w:r>
      <w:r w:rsidRPr="008A6C13">
        <w:rPr>
          <w:rFonts w:ascii="Arial" w:hAnsi="Arial" w:cs="Arial"/>
        </w:rPr>
        <w:t>at GP Practice/Cost Centre level (aggregated to PCN, CCG, STP, Regional and England level).</w:t>
      </w:r>
    </w:p>
    <w:p w14:paraId="171C9F76" w14:textId="77777777" w:rsidR="00FF66E7" w:rsidRDefault="00FF66E7" w:rsidP="003B3A82">
      <w:pPr>
        <w:spacing w:after="120"/>
        <w:rPr>
          <w:rFonts w:ascii="Arial" w:hAnsi="Arial" w:cs="Arial"/>
        </w:rPr>
      </w:pPr>
      <w:r w:rsidRPr="008A6C13">
        <w:rPr>
          <w:rFonts w:ascii="Arial" w:hAnsi="Arial" w:cs="Arial"/>
        </w:rPr>
        <w:t xml:space="preserve">For patient list sizes used in these comparators, the 12-month-rolling figure is calculated as the mean average of the monthly figures within the 12 months.  For </w:t>
      </w:r>
      <w:proofErr w:type="gramStart"/>
      <w:r w:rsidRPr="008A6C13">
        <w:rPr>
          <w:rFonts w:ascii="Arial" w:hAnsi="Arial" w:cs="Arial"/>
        </w:rPr>
        <w:t>example</w:t>
      </w:r>
      <w:proofErr w:type="gramEnd"/>
      <w:r w:rsidRPr="008A6C13">
        <w:rPr>
          <w:rFonts w:ascii="Arial" w:hAnsi="Arial" w:cs="Arial"/>
        </w:rPr>
        <w:t xml:space="preserve"> the list size for the 12-month period January 2020 to December 2020 is the sum of the list size for each month January 2020 to Dec</w:t>
      </w:r>
      <w:r w:rsidR="00AB6042">
        <w:rPr>
          <w:rFonts w:ascii="Arial" w:hAnsi="Arial" w:cs="Arial"/>
        </w:rPr>
        <w:t>e</w:t>
      </w:r>
      <w:r w:rsidR="00B56A35">
        <w:rPr>
          <w:rFonts w:ascii="Arial" w:hAnsi="Arial" w:cs="Arial"/>
        </w:rPr>
        <w:t>m</w:t>
      </w:r>
      <w:r w:rsidRPr="008A6C13">
        <w:rPr>
          <w:rFonts w:ascii="Arial" w:hAnsi="Arial" w:cs="Arial"/>
        </w:rPr>
        <w:t xml:space="preserve">ber 2020, divided by 12.  Note that list sizes by age band were not available before </w:t>
      </w:r>
      <w:r w:rsidR="00986A75">
        <w:rPr>
          <w:rFonts w:ascii="Arial" w:hAnsi="Arial" w:cs="Arial"/>
        </w:rPr>
        <w:t>therefore</w:t>
      </w:r>
      <w:r w:rsidRPr="008A6C13">
        <w:rPr>
          <w:rFonts w:ascii="Arial" w:hAnsi="Arial" w:cs="Arial"/>
        </w:rPr>
        <w:t xml:space="preserve"> list size for the 12-</w:t>
      </w:r>
      <w:r w:rsidR="003F4E97">
        <w:rPr>
          <w:rFonts w:ascii="Arial" w:hAnsi="Arial" w:cs="Arial"/>
        </w:rPr>
        <w:t>months</w:t>
      </w:r>
      <w:r w:rsidRPr="008A6C13">
        <w:rPr>
          <w:rFonts w:ascii="Arial" w:hAnsi="Arial" w:cs="Arial"/>
        </w:rPr>
        <w:t>-rolling to December 2018 will be the mean average of the list sizes from November and December 2018, and the list size for the 1</w:t>
      </w:r>
      <w:r w:rsidR="00EB75DD" w:rsidRPr="008A6C13">
        <w:rPr>
          <w:rFonts w:ascii="Arial" w:hAnsi="Arial" w:cs="Arial"/>
        </w:rPr>
        <w:t xml:space="preserve">2-months-rolling to January 2019 will be the mean average of the list sizes from November 2018, December </w:t>
      </w:r>
      <w:proofErr w:type="gramStart"/>
      <w:r w:rsidR="00EB75DD" w:rsidRPr="008A6C13">
        <w:rPr>
          <w:rFonts w:ascii="Arial" w:hAnsi="Arial" w:cs="Arial"/>
        </w:rPr>
        <w:t>2018</w:t>
      </w:r>
      <w:proofErr w:type="gramEnd"/>
      <w:r w:rsidR="00EB75DD" w:rsidRPr="008A6C13">
        <w:rPr>
          <w:rFonts w:ascii="Arial" w:hAnsi="Arial" w:cs="Arial"/>
        </w:rPr>
        <w:t xml:space="preserve"> and January 2019, and so on.</w:t>
      </w:r>
    </w:p>
    <w:p w14:paraId="401E3275" w14:textId="77777777" w:rsidR="00986A75" w:rsidRPr="008A6C13" w:rsidRDefault="00986A75" w:rsidP="003B3A82">
      <w:pPr>
        <w:spacing w:after="120"/>
        <w:rPr>
          <w:rFonts w:ascii="Arial" w:hAnsi="Arial" w:cs="Arial"/>
        </w:rPr>
      </w:pPr>
      <w:r>
        <w:rPr>
          <w:rFonts w:ascii="Arial" w:hAnsi="Arial" w:cs="Arial"/>
        </w:rPr>
        <w:t>Due to list sizes by age band not being available before November 2018, the comparator data is not available before this date.</w:t>
      </w:r>
    </w:p>
    <w:p w14:paraId="61827C02" w14:textId="77777777" w:rsidR="003B3A82" w:rsidRPr="008A6C13" w:rsidRDefault="003B3A82" w:rsidP="003B3A82">
      <w:pPr>
        <w:rPr>
          <w:rFonts w:ascii="Arial" w:hAnsi="Arial" w:cs="Arial"/>
        </w:rPr>
      </w:pPr>
      <w:r w:rsidRPr="008A6C13">
        <w:rPr>
          <w:rFonts w:ascii="Arial" w:hAnsi="Arial" w:cs="Arial"/>
          <w:b/>
        </w:rPr>
        <w:t>Unique patient:</w:t>
      </w:r>
      <w:r w:rsidRPr="008A6C13">
        <w:rPr>
          <w:rFonts w:ascii="Arial" w:hAnsi="Arial" w:cs="Arial"/>
        </w:rPr>
        <w:t xml:space="preserve"> This has been determined from prescriptions where the NHSBSA has been able to obtain details regarding patient NHS number. Where the same patient appears in the data for more than one practice location they will be counted as one patient for each of the practice locations they appear in.</w:t>
      </w:r>
    </w:p>
    <w:p w14:paraId="65DC39D5" w14:textId="77777777" w:rsidR="003B3A82" w:rsidRPr="008A6C13" w:rsidRDefault="003B3A82" w:rsidP="003B3A82">
      <w:pPr>
        <w:spacing w:after="120"/>
        <w:rPr>
          <w:rFonts w:ascii="Arial" w:hAnsi="Arial" w:cs="Arial"/>
        </w:rPr>
      </w:pPr>
      <w:r w:rsidRPr="008A6C13">
        <w:rPr>
          <w:rFonts w:ascii="Arial" w:hAnsi="Arial" w:cs="Arial"/>
        </w:rPr>
        <w:t>NB: While NHS numbers are used to formulate these comparators, no personal identifiable data will be released through these comparators.</w:t>
      </w:r>
    </w:p>
    <w:p w14:paraId="4CA389CD" w14:textId="77777777" w:rsidR="003B3A82" w:rsidRPr="008A6C13" w:rsidRDefault="003B3A82" w:rsidP="003B3A82">
      <w:pPr>
        <w:rPr>
          <w:rFonts w:ascii="Arial" w:hAnsi="Arial" w:cs="Arial"/>
        </w:rPr>
      </w:pPr>
      <w:r w:rsidRPr="008A6C13">
        <w:rPr>
          <w:rFonts w:ascii="Arial" w:hAnsi="Arial" w:cs="Arial"/>
        </w:rPr>
        <w:t xml:space="preserve">A patient’s age is determined as the age that is captured whilst processing the prescription for processing </w:t>
      </w:r>
      <w:proofErr w:type="gramStart"/>
      <w:r w:rsidRPr="008A6C13">
        <w:rPr>
          <w:rFonts w:ascii="Arial" w:hAnsi="Arial" w:cs="Arial"/>
        </w:rPr>
        <w:t>e.g.</w:t>
      </w:r>
      <w:proofErr w:type="gramEnd"/>
      <w:r w:rsidRPr="008A6C13">
        <w:rPr>
          <w:rFonts w:ascii="Arial" w:hAnsi="Arial" w:cs="Arial"/>
        </w:rPr>
        <w:t xml:space="preserve"> where a patient has been flagged as both </w:t>
      </w:r>
      <w:r w:rsidR="00986A75">
        <w:rPr>
          <w:rFonts w:ascii="Arial" w:hAnsi="Arial" w:cs="Arial"/>
        </w:rPr>
        <w:t>14</w:t>
      </w:r>
      <w:r w:rsidRPr="008A6C13">
        <w:rPr>
          <w:rFonts w:ascii="Arial" w:hAnsi="Arial" w:cs="Arial"/>
        </w:rPr>
        <w:t xml:space="preserve"> and </w:t>
      </w:r>
      <w:r w:rsidR="00986A75">
        <w:rPr>
          <w:rFonts w:ascii="Arial" w:hAnsi="Arial" w:cs="Arial"/>
        </w:rPr>
        <w:t>15</w:t>
      </w:r>
      <w:r w:rsidRPr="008A6C13">
        <w:rPr>
          <w:rFonts w:ascii="Arial" w:hAnsi="Arial" w:cs="Arial"/>
        </w:rPr>
        <w:t xml:space="preserve"> in a month, only those prescriptions where the age has been captured as </w:t>
      </w:r>
      <w:r w:rsidR="00986A75">
        <w:rPr>
          <w:rFonts w:ascii="Arial" w:hAnsi="Arial" w:cs="Arial"/>
        </w:rPr>
        <w:t>14</w:t>
      </w:r>
      <w:r w:rsidRPr="008A6C13">
        <w:rPr>
          <w:rFonts w:ascii="Arial" w:hAnsi="Arial" w:cs="Arial"/>
        </w:rPr>
        <w:t xml:space="preserve"> will have been used.</w:t>
      </w:r>
    </w:p>
    <w:p w14:paraId="38EA6D1E" w14:textId="77777777" w:rsidR="00663E9F" w:rsidRPr="008A6C13" w:rsidRDefault="00663E9F" w:rsidP="008A139B">
      <w:pPr>
        <w:pStyle w:val="Heading1"/>
      </w:pPr>
      <w:bookmarkStart w:id="30" w:name="_Toc473297131"/>
      <w:bookmarkStart w:id="31" w:name="_Toc473635664"/>
      <w:bookmarkStart w:id="32" w:name="_Toc473636479"/>
      <w:bookmarkStart w:id="33" w:name="_Toc474398579"/>
      <w:bookmarkStart w:id="34" w:name="_Toc475027478"/>
      <w:bookmarkStart w:id="35" w:name="_Toc82592072"/>
      <w:r w:rsidRPr="008A6C13">
        <w:t>How to use these comparators</w:t>
      </w:r>
      <w:bookmarkEnd w:id="30"/>
      <w:bookmarkEnd w:id="31"/>
      <w:bookmarkEnd w:id="32"/>
      <w:bookmarkEnd w:id="33"/>
      <w:bookmarkEnd w:id="34"/>
      <w:bookmarkEnd w:id="35"/>
    </w:p>
    <w:p w14:paraId="4FD35C13" w14:textId="12984763" w:rsidR="00631538" w:rsidRPr="00631538" w:rsidRDefault="00631538" w:rsidP="00631538">
      <w:pPr>
        <w:spacing w:after="0"/>
        <w:rPr>
          <w:rStyle w:val="Heading1Char"/>
          <w:rFonts w:eastAsia="Calibri"/>
          <w:b w:val="0"/>
          <w:sz w:val="22"/>
          <w:szCs w:val="22"/>
        </w:rPr>
      </w:pPr>
      <w:bookmarkStart w:id="36" w:name="_Toc82592073"/>
      <w:r w:rsidRPr="00631538">
        <w:rPr>
          <w:rStyle w:val="Heading1Char"/>
          <w:rFonts w:eastAsia="Calibri"/>
          <w:b w:val="0"/>
          <w:sz w:val="22"/>
          <w:szCs w:val="22"/>
        </w:rPr>
        <w:t xml:space="preserve">The measures will </w:t>
      </w:r>
      <w:r w:rsidR="001F4693">
        <w:rPr>
          <w:rStyle w:val="Heading1Char"/>
          <w:rFonts w:eastAsia="Calibri"/>
          <w:b w:val="0"/>
          <w:sz w:val="22"/>
          <w:szCs w:val="22"/>
        </w:rPr>
        <w:t>enable NHS organisations</w:t>
      </w:r>
      <w:r w:rsidRPr="00631538">
        <w:rPr>
          <w:rStyle w:val="Heading1Char"/>
          <w:rFonts w:eastAsia="Calibri"/>
          <w:b w:val="0"/>
          <w:sz w:val="22"/>
          <w:szCs w:val="22"/>
        </w:rPr>
        <w:t xml:space="preserve"> to identify opportunities </w:t>
      </w:r>
      <w:r w:rsidR="001F4693">
        <w:rPr>
          <w:rStyle w:val="Heading1Char"/>
          <w:rFonts w:eastAsia="Calibri"/>
          <w:b w:val="0"/>
          <w:sz w:val="22"/>
          <w:szCs w:val="22"/>
        </w:rPr>
        <w:t>for</w:t>
      </w:r>
      <w:r w:rsidRPr="00631538">
        <w:rPr>
          <w:rStyle w:val="Heading1Char"/>
          <w:rFonts w:eastAsia="Calibri"/>
          <w:b w:val="0"/>
          <w:sz w:val="22"/>
          <w:szCs w:val="22"/>
        </w:rPr>
        <w:t xml:space="preserve"> </w:t>
      </w:r>
      <w:r w:rsidR="0082757A">
        <w:rPr>
          <w:rStyle w:val="Heading1Char"/>
          <w:rFonts w:eastAsia="Calibri"/>
          <w:b w:val="0"/>
          <w:sz w:val="22"/>
          <w:szCs w:val="22"/>
        </w:rPr>
        <w:t xml:space="preserve">antimicrobial stewardship </w:t>
      </w:r>
      <w:r w:rsidRPr="00631538">
        <w:rPr>
          <w:rStyle w:val="Heading1Char"/>
          <w:rFonts w:eastAsia="Calibri"/>
          <w:b w:val="0"/>
          <w:sz w:val="22"/>
          <w:szCs w:val="22"/>
        </w:rPr>
        <w:t xml:space="preserve">improvement in </w:t>
      </w:r>
      <w:r w:rsidR="0082757A">
        <w:rPr>
          <w:rStyle w:val="Heading1Char"/>
          <w:rFonts w:eastAsia="Calibri"/>
          <w:b w:val="0"/>
          <w:sz w:val="22"/>
          <w:szCs w:val="22"/>
        </w:rPr>
        <w:t>children</w:t>
      </w:r>
      <w:r w:rsidRPr="00631538">
        <w:rPr>
          <w:rStyle w:val="Heading1Char"/>
          <w:rFonts w:eastAsia="Calibri"/>
          <w:b w:val="0"/>
          <w:sz w:val="22"/>
          <w:szCs w:val="22"/>
        </w:rPr>
        <w:t>, and report improvement</w:t>
      </w:r>
      <w:r w:rsidR="0082757A">
        <w:rPr>
          <w:rStyle w:val="Heading1Char"/>
          <w:rFonts w:eastAsia="Calibri"/>
          <w:b w:val="0"/>
          <w:sz w:val="22"/>
          <w:szCs w:val="22"/>
        </w:rPr>
        <w:t xml:space="preserve"> activity.</w:t>
      </w:r>
      <w:bookmarkEnd w:id="36"/>
    </w:p>
    <w:p w14:paraId="7A802329" w14:textId="77777777" w:rsidR="00631538" w:rsidRPr="00631538" w:rsidRDefault="00631538" w:rsidP="00631538">
      <w:pPr>
        <w:spacing w:after="0"/>
        <w:rPr>
          <w:rStyle w:val="Heading1Char"/>
          <w:rFonts w:eastAsia="Calibri"/>
          <w:b w:val="0"/>
          <w:sz w:val="22"/>
          <w:szCs w:val="22"/>
        </w:rPr>
      </w:pPr>
      <w:bookmarkStart w:id="37" w:name="_Toc82592074"/>
      <w:r w:rsidRPr="00631538">
        <w:rPr>
          <w:rStyle w:val="Heading1Char"/>
          <w:rFonts w:eastAsia="Calibri"/>
          <w:b w:val="0"/>
          <w:sz w:val="22"/>
          <w:szCs w:val="22"/>
        </w:rPr>
        <w:t>We envisage that the comparators will be used by NHS Regional teams, integrated care systems, and CCGs in collaboration with local Primary Care Networks and GP practices and with the relevant and appropriate education and training support in place.</w:t>
      </w:r>
      <w:bookmarkEnd w:id="37"/>
    </w:p>
    <w:p w14:paraId="20D1C911" w14:textId="129ED58D" w:rsidR="00631538" w:rsidRPr="00631538" w:rsidRDefault="00631538" w:rsidP="00631538">
      <w:pPr>
        <w:spacing w:after="0"/>
        <w:rPr>
          <w:rStyle w:val="Heading1Char"/>
          <w:rFonts w:eastAsia="Calibri"/>
          <w:b w:val="0"/>
          <w:sz w:val="22"/>
          <w:szCs w:val="22"/>
        </w:rPr>
      </w:pPr>
      <w:bookmarkStart w:id="38" w:name="_Toc82592075"/>
      <w:r w:rsidRPr="00631538">
        <w:rPr>
          <w:rStyle w:val="Heading1Char"/>
          <w:rFonts w:eastAsia="Calibri"/>
          <w:b w:val="0"/>
          <w:sz w:val="22"/>
          <w:szCs w:val="22"/>
        </w:rPr>
        <w:t xml:space="preserve">The </w:t>
      </w:r>
      <w:r w:rsidR="007A770B">
        <w:rPr>
          <w:rStyle w:val="Heading1Char"/>
          <w:rFonts w:eastAsia="Calibri"/>
          <w:b w:val="0"/>
          <w:sz w:val="22"/>
          <w:szCs w:val="22"/>
        </w:rPr>
        <w:t>indicators</w:t>
      </w:r>
      <w:r w:rsidRPr="00631538">
        <w:rPr>
          <w:rStyle w:val="Heading1Char"/>
          <w:rFonts w:eastAsia="Calibri"/>
          <w:b w:val="0"/>
          <w:sz w:val="22"/>
          <w:szCs w:val="22"/>
        </w:rPr>
        <w:t xml:space="preserve"> have been designed to be the stimulus for debate and improvement. This facilitates an approach of taking a population perspective to trigger the search for unwarranted variation in care.</w:t>
      </w:r>
      <w:bookmarkEnd w:id="38"/>
      <w:r w:rsidRPr="00631538">
        <w:rPr>
          <w:rStyle w:val="Heading1Char"/>
          <w:rFonts w:eastAsia="Calibri"/>
          <w:b w:val="0"/>
          <w:sz w:val="22"/>
          <w:szCs w:val="22"/>
        </w:rPr>
        <w:t xml:space="preserve"> </w:t>
      </w:r>
    </w:p>
    <w:p w14:paraId="170388DF" w14:textId="72732B35" w:rsidR="00CC00C9" w:rsidRDefault="00631538" w:rsidP="00631538">
      <w:pPr>
        <w:spacing w:after="0"/>
        <w:rPr>
          <w:rStyle w:val="Heading1Char"/>
          <w:rFonts w:eastAsia="Calibri"/>
          <w:b w:val="0"/>
          <w:sz w:val="22"/>
          <w:szCs w:val="22"/>
        </w:rPr>
      </w:pPr>
      <w:bookmarkStart w:id="39" w:name="_Toc82592076"/>
      <w:r w:rsidRPr="00631538">
        <w:rPr>
          <w:rStyle w:val="Heading1Char"/>
          <w:rFonts w:eastAsia="Calibri"/>
          <w:b w:val="0"/>
          <w:sz w:val="22"/>
          <w:szCs w:val="22"/>
        </w:rPr>
        <w:t>Identifying outlying practice and variation enables NHS systems to focus improvement activity.</w:t>
      </w:r>
      <w:bookmarkEnd w:id="39"/>
    </w:p>
    <w:p w14:paraId="474D77CE" w14:textId="77777777" w:rsidR="007A770B" w:rsidRPr="008A6C13" w:rsidRDefault="007A770B" w:rsidP="00631538">
      <w:pPr>
        <w:spacing w:after="0"/>
        <w:rPr>
          <w:rFonts w:ascii="Arial" w:hAnsi="Arial" w:cs="Arial"/>
        </w:rPr>
      </w:pPr>
    </w:p>
    <w:p w14:paraId="7DA69B2A" w14:textId="77777777" w:rsidR="00836EFB" w:rsidRPr="008A6C13" w:rsidRDefault="00CC00C9" w:rsidP="00382508">
      <w:pPr>
        <w:spacing w:after="0"/>
        <w:rPr>
          <w:rStyle w:val="Heading1Char"/>
          <w:rFonts w:eastAsia="Calibri"/>
        </w:rPr>
      </w:pPr>
      <w:bookmarkStart w:id="40" w:name="_Toc473297134"/>
      <w:bookmarkStart w:id="41" w:name="_Toc473635667"/>
      <w:bookmarkStart w:id="42" w:name="_Toc473636482"/>
      <w:bookmarkStart w:id="43" w:name="_Toc474398582"/>
      <w:bookmarkStart w:id="44" w:name="_Toc475027481"/>
      <w:bookmarkStart w:id="45" w:name="_Toc82592077"/>
      <w:r w:rsidRPr="008A6C13">
        <w:rPr>
          <w:rStyle w:val="Heading1Char"/>
          <w:rFonts w:eastAsia="Calibri"/>
        </w:rPr>
        <w:lastRenderedPageBreak/>
        <w:t>Dat</w:t>
      </w:r>
      <w:r w:rsidR="00532BBC" w:rsidRPr="008A6C13">
        <w:rPr>
          <w:rStyle w:val="Heading1Char"/>
          <w:rFonts w:eastAsia="Calibri"/>
        </w:rPr>
        <w:t>a</w:t>
      </w:r>
      <w:r w:rsidRPr="008A6C13">
        <w:rPr>
          <w:rStyle w:val="Heading1Char"/>
          <w:rFonts w:eastAsia="Calibri"/>
        </w:rPr>
        <w:t xml:space="preserve"> Source:</w:t>
      </w:r>
      <w:bookmarkEnd w:id="40"/>
      <w:bookmarkEnd w:id="41"/>
      <w:bookmarkEnd w:id="42"/>
      <w:bookmarkEnd w:id="43"/>
      <w:bookmarkEnd w:id="44"/>
      <w:bookmarkEnd w:id="45"/>
      <w:r w:rsidR="00F35AB5" w:rsidRPr="008A6C13">
        <w:rPr>
          <w:rStyle w:val="Heading1Char"/>
          <w:rFonts w:eastAsia="Calibri"/>
        </w:rPr>
        <w:t xml:space="preserve"> </w:t>
      </w:r>
    </w:p>
    <w:p w14:paraId="7B9B9762" w14:textId="77777777" w:rsidR="00CC00C9" w:rsidRPr="008A6C13" w:rsidRDefault="00CC00C9" w:rsidP="00382508">
      <w:pPr>
        <w:spacing w:after="0"/>
        <w:rPr>
          <w:rFonts w:ascii="Arial" w:hAnsi="Arial" w:cs="Arial"/>
        </w:rPr>
      </w:pPr>
      <w:r w:rsidRPr="008A6C13">
        <w:rPr>
          <w:rFonts w:ascii="Arial" w:hAnsi="Arial" w:cs="Arial"/>
        </w:rPr>
        <w:t>NHS Business Services Authority -</w:t>
      </w:r>
      <w:r w:rsidRPr="008A6C13">
        <w:rPr>
          <w:rFonts w:ascii="Arial" w:hAnsi="Arial" w:cs="Arial"/>
          <w:b/>
        </w:rPr>
        <w:t xml:space="preserve"> </w:t>
      </w:r>
      <w:r w:rsidRPr="008A6C13">
        <w:rPr>
          <w:rFonts w:ascii="Arial" w:hAnsi="Arial" w:cs="Arial"/>
        </w:rPr>
        <w:t xml:space="preserve">based on data from the NHSBSA’s </w:t>
      </w:r>
      <w:r w:rsidR="00532BBC" w:rsidRPr="008A6C13">
        <w:rPr>
          <w:rFonts w:ascii="Arial" w:hAnsi="Arial" w:cs="Arial"/>
        </w:rPr>
        <w:t xml:space="preserve">prescription processing </w:t>
      </w:r>
      <w:r w:rsidRPr="008A6C13">
        <w:rPr>
          <w:rFonts w:ascii="Arial" w:hAnsi="Arial" w:cs="Arial"/>
        </w:rPr>
        <w:t xml:space="preserve">system which contains all NHS prescription data, </w:t>
      </w:r>
      <w:proofErr w:type="gramStart"/>
      <w:r w:rsidRPr="008A6C13">
        <w:rPr>
          <w:rFonts w:ascii="Arial" w:hAnsi="Arial" w:cs="Arial"/>
        </w:rPr>
        <w:t>with the exception of</w:t>
      </w:r>
      <w:proofErr w:type="gramEnd"/>
      <w:r w:rsidRPr="008A6C13">
        <w:rPr>
          <w:rFonts w:ascii="Arial" w:hAnsi="Arial" w:cs="Arial"/>
        </w:rPr>
        <w:t xml:space="preserve"> prescriptions which are dispensed in prisons, hospitals and private prescriptions. </w:t>
      </w:r>
    </w:p>
    <w:p w14:paraId="1B0B97FE" w14:textId="77777777" w:rsidR="00CC00C9" w:rsidRPr="008A6C13" w:rsidRDefault="00CC00C9" w:rsidP="00382508">
      <w:pPr>
        <w:spacing w:after="0"/>
        <w:rPr>
          <w:rFonts w:ascii="Arial" w:hAnsi="Arial" w:cs="Arial"/>
        </w:rPr>
      </w:pPr>
    </w:p>
    <w:p w14:paraId="26D2BBD3" w14:textId="77777777" w:rsidR="00CC00C9" w:rsidRPr="008A6C13" w:rsidRDefault="00CC00C9" w:rsidP="00382508">
      <w:pPr>
        <w:spacing w:after="0"/>
        <w:rPr>
          <w:rFonts w:ascii="Arial" w:hAnsi="Arial" w:cs="Arial"/>
        </w:rPr>
      </w:pPr>
      <w:r w:rsidRPr="008A6C13">
        <w:rPr>
          <w:rFonts w:ascii="Arial" w:hAnsi="Arial" w:cs="Arial"/>
        </w:rPr>
        <w:t>Analysis is based on drugs that were reimbursed by the NHSBSA. It excludes items not dispensed</w:t>
      </w:r>
      <w:r w:rsidR="00D404FE" w:rsidRPr="008A6C13">
        <w:rPr>
          <w:rFonts w:ascii="Arial" w:hAnsi="Arial" w:cs="Arial"/>
        </w:rPr>
        <w:t xml:space="preserve"> and</w:t>
      </w:r>
      <w:r w:rsidR="000E1505" w:rsidRPr="008A6C13">
        <w:rPr>
          <w:rFonts w:ascii="Arial" w:hAnsi="Arial" w:cs="Arial"/>
        </w:rPr>
        <w:t xml:space="preserve"> </w:t>
      </w:r>
      <w:r w:rsidRPr="008A6C13">
        <w:rPr>
          <w:rFonts w:ascii="Arial" w:hAnsi="Arial" w:cs="Arial"/>
        </w:rPr>
        <w:t>disallowed</w:t>
      </w:r>
      <w:r w:rsidR="00D404FE" w:rsidRPr="008A6C13">
        <w:rPr>
          <w:rFonts w:ascii="Arial" w:hAnsi="Arial" w:cs="Arial"/>
        </w:rPr>
        <w:t>.</w:t>
      </w:r>
      <w:r w:rsidRPr="008A6C13">
        <w:rPr>
          <w:rFonts w:ascii="Arial" w:hAnsi="Arial" w:cs="Arial"/>
        </w:rPr>
        <w:t xml:space="preserve"> If a prescription was issued, but not presented for dispensing or was not submitted to NHS Prescription Services by the dispenser, then it is not included in the data provided.</w:t>
      </w:r>
    </w:p>
    <w:p w14:paraId="7D7C4B3D" w14:textId="77777777" w:rsidR="00CC00C9" w:rsidRPr="008A6C13" w:rsidRDefault="00CC00C9" w:rsidP="00CC00C9">
      <w:pPr>
        <w:spacing w:after="0"/>
        <w:rPr>
          <w:rFonts w:ascii="Arial" w:hAnsi="Arial" w:cs="Arial"/>
          <w:sz w:val="24"/>
          <w:szCs w:val="24"/>
        </w:rPr>
      </w:pPr>
    </w:p>
    <w:p w14:paraId="245F6F34" w14:textId="77777777" w:rsidR="00CC00C9" w:rsidRPr="008A6C13" w:rsidRDefault="00CC00C9" w:rsidP="00CC00C9">
      <w:pPr>
        <w:rPr>
          <w:rFonts w:ascii="Arial" w:hAnsi="Arial" w:cs="Arial"/>
        </w:rPr>
      </w:pPr>
      <w:bookmarkStart w:id="46" w:name="_Toc473297135"/>
      <w:bookmarkStart w:id="47" w:name="_Toc473635668"/>
      <w:bookmarkStart w:id="48" w:name="_Toc473636483"/>
      <w:bookmarkStart w:id="49" w:name="_Toc474398583"/>
      <w:bookmarkStart w:id="50" w:name="_Toc475027482"/>
      <w:bookmarkStart w:id="51" w:name="_Toc82592078"/>
      <w:r w:rsidRPr="008A6C13">
        <w:rPr>
          <w:rStyle w:val="Heading1Char"/>
          <w:rFonts w:eastAsia="Calibri"/>
        </w:rPr>
        <w:t>Data owner &amp; contact details:</w:t>
      </w:r>
      <w:bookmarkEnd w:id="46"/>
      <w:bookmarkEnd w:id="47"/>
      <w:bookmarkEnd w:id="48"/>
      <w:bookmarkEnd w:id="49"/>
      <w:bookmarkEnd w:id="50"/>
      <w:bookmarkEnd w:id="51"/>
      <w:r w:rsidRPr="008A6C13">
        <w:rPr>
          <w:rFonts w:ascii="Arial" w:hAnsi="Arial" w:cs="Arial"/>
        </w:rPr>
        <w:t xml:space="preserve"> </w:t>
      </w:r>
      <w:hyperlink r:id="rId21" w:history="1">
        <w:r w:rsidRPr="008A6C13">
          <w:rPr>
            <w:rStyle w:val="Hyperlink"/>
            <w:rFonts w:ascii="Arial" w:hAnsi="Arial" w:cs="Arial"/>
          </w:rPr>
          <w:t>nhsbsa@nhs.net</w:t>
        </w:r>
      </w:hyperlink>
    </w:p>
    <w:p w14:paraId="7C39E418" w14:textId="77777777" w:rsidR="00CC00C9" w:rsidRPr="008A6C13" w:rsidRDefault="00CC00C9" w:rsidP="00382508">
      <w:pPr>
        <w:spacing w:after="0"/>
        <w:rPr>
          <w:rFonts w:ascii="Arial" w:hAnsi="Arial" w:cs="Arial"/>
        </w:rPr>
      </w:pPr>
      <w:bookmarkStart w:id="52" w:name="_Toc473297136"/>
      <w:bookmarkStart w:id="53" w:name="_Toc473635669"/>
      <w:bookmarkStart w:id="54" w:name="_Toc473636484"/>
      <w:bookmarkStart w:id="55" w:name="_Toc474398584"/>
      <w:bookmarkStart w:id="56" w:name="_Toc475027483"/>
      <w:bookmarkStart w:id="57" w:name="_Toc82592079"/>
      <w:r w:rsidRPr="008A6C13">
        <w:rPr>
          <w:rStyle w:val="Heading1Char"/>
          <w:rFonts w:eastAsia="Calibri"/>
        </w:rPr>
        <w:t>Time Frame:</w:t>
      </w:r>
      <w:bookmarkEnd w:id="52"/>
      <w:bookmarkEnd w:id="53"/>
      <w:bookmarkEnd w:id="54"/>
      <w:bookmarkEnd w:id="55"/>
      <w:bookmarkEnd w:id="56"/>
      <w:bookmarkEnd w:id="57"/>
      <w:r w:rsidRPr="008A6C13">
        <w:rPr>
          <w:rFonts w:ascii="Arial" w:hAnsi="Arial" w:cs="Arial"/>
        </w:rPr>
        <w:t xml:space="preserve"> Refreshed monthly</w:t>
      </w:r>
    </w:p>
    <w:p w14:paraId="53F0747D" w14:textId="77777777" w:rsidR="00382508" w:rsidRPr="008A6C13" w:rsidRDefault="00382508" w:rsidP="00382508">
      <w:pPr>
        <w:spacing w:after="0"/>
        <w:rPr>
          <w:rFonts w:ascii="Arial" w:hAnsi="Arial" w:cs="Arial"/>
        </w:rPr>
      </w:pPr>
    </w:p>
    <w:p w14:paraId="4AB1BE58" w14:textId="77777777" w:rsidR="003B36E1" w:rsidRPr="008A6C13" w:rsidRDefault="00020033" w:rsidP="00382508">
      <w:pPr>
        <w:pStyle w:val="Heading1"/>
        <w:spacing w:before="0"/>
      </w:pPr>
      <w:bookmarkStart w:id="58" w:name="_Toc473297137"/>
      <w:bookmarkStart w:id="59" w:name="_Toc473635670"/>
      <w:bookmarkStart w:id="60" w:name="_Toc473636485"/>
      <w:bookmarkStart w:id="61" w:name="_Toc474398585"/>
      <w:bookmarkStart w:id="62" w:name="_Toc475027484"/>
      <w:bookmarkStart w:id="63" w:name="_Toc82592080"/>
      <w:r w:rsidRPr="008A6C13">
        <w:t xml:space="preserve">Data quality </w:t>
      </w:r>
      <w:r w:rsidR="00072A76" w:rsidRPr="008A6C13">
        <w:t>assurance</w:t>
      </w:r>
      <w:bookmarkEnd w:id="58"/>
      <w:bookmarkEnd w:id="59"/>
      <w:bookmarkEnd w:id="60"/>
      <w:bookmarkEnd w:id="61"/>
      <w:bookmarkEnd w:id="62"/>
      <w:bookmarkEnd w:id="63"/>
    </w:p>
    <w:p w14:paraId="1FE01521" w14:textId="77777777" w:rsidR="00836EFB" w:rsidRPr="000E6093" w:rsidRDefault="00836EFB" w:rsidP="00836EFB">
      <w:pPr>
        <w:rPr>
          <w:rFonts w:ascii="Arial" w:hAnsi="Arial" w:cs="Arial"/>
          <w:b/>
        </w:rPr>
      </w:pPr>
      <w:bookmarkStart w:id="64" w:name="_Toc473297138"/>
      <w:bookmarkStart w:id="65" w:name="_Toc473635671"/>
      <w:bookmarkStart w:id="66" w:name="_Toc473636486"/>
      <w:bookmarkStart w:id="67" w:name="_Toc474398586"/>
      <w:bookmarkStart w:id="68" w:name="_Toc475027485"/>
      <w:r w:rsidRPr="000E6093">
        <w:rPr>
          <w:rFonts w:ascii="Arial" w:hAnsi="Arial" w:cs="Arial"/>
        </w:rPr>
        <w:t xml:space="preserve">NHS Prescription Services have their own internal quality process to assure the data they provide matches what was originally submitted as part of the prescription processing activity. Some processes are complex and manual therefore there may be random inaccuracies in capturing prescription information which are then reflected in the </w:t>
      </w:r>
      <w:proofErr w:type="gramStart"/>
      <w:r w:rsidRPr="000E6093">
        <w:rPr>
          <w:rFonts w:ascii="Arial" w:hAnsi="Arial" w:cs="Arial"/>
        </w:rPr>
        <w:t>data</w:t>
      </w:r>
      <w:proofErr w:type="gramEnd"/>
      <w:r w:rsidRPr="000E6093">
        <w:rPr>
          <w:rFonts w:ascii="Arial" w:hAnsi="Arial" w:cs="Arial"/>
        </w:rPr>
        <w:t xml:space="preserve"> but checks are in place to reduce the chance of issues occurring. The processes operate to a number of key performance indicators, one of which is the percentage Prescription Information Accuracy, the target being 99.</w:t>
      </w:r>
      <w:r w:rsidR="00AB6042" w:rsidRPr="000E6093">
        <w:rPr>
          <w:rFonts w:ascii="Arial" w:hAnsi="Arial" w:cs="Arial"/>
        </w:rPr>
        <w:t>6</w:t>
      </w:r>
      <w:r w:rsidRPr="000E6093">
        <w:rPr>
          <w:rFonts w:ascii="Arial" w:hAnsi="Arial" w:cs="Arial"/>
        </w:rPr>
        <w:t xml:space="preserve">% and as </w:t>
      </w:r>
      <w:proofErr w:type="gramStart"/>
      <w:r w:rsidRPr="000E6093">
        <w:rPr>
          <w:rFonts w:ascii="Arial" w:hAnsi="Arial" w:cs="Arial"/>
        </w:rPr>
        <w:t>at</w:t>
      </w:r>
      <w:proofErr w:type="gramEnd"/>
      <w:r w:rsidRPr="000E6093">
        <w:rPr>
          <w:rFonts w:ascii="Arial" w:hAnsi="Arial" w:cs="Arial"/>
        </w:rPr>
        <w:t xml:space="preserve"> </w:t>
      </w:r>
      <w:r w:rsidR="00986A75" w:rsidRPr="000E6093">
        <w:rPr>
          <w:rFonts w:ascii="Arial" w:hAnsi="Arial" w:cs="Arial"/>
        </w:rPr>
        <w:t>January</w:t>
      </w:r>
      <w:r w:rsidRPr="000E6093">
        <w:rPr>
          <w:rFonts w:ascii="Arial" w:hAnsi="Arial" w:cs="Arial"/>
        </w:rPr>
        <w:t xml:space="preserve"> 20</w:t>
      </w:r>
      <w:r w:rsidR="00986A75" w:rsidRPr="000E6093">
        <w:rPr>
          <w:rFonts w:ascii="Arial" w:hAnsi="Arial" w:cs="Arial"/>
        </w:rPr>
        <w:t>21</w:t>
      </w:r>
      <w:r w:rsidRPr="000E6093">
        <w:rPr>
          <w:rFonts w:ascii="Arial" w:hAnsi="Arial" w:cs="Arial"/>
        </w:rPr>
        <w:t xml:space="preserve"> the accuracy level achieved over the latest </w:t>
      </w:r>
      <w:r w:rsidR="00AB6042" w:rsidRPr="000E6093">
        <w:rPr>
          <w:rFonts w:ascii="Arial" w:hAnsi="Arial" w:cs="Arial"/>
        </w:rPr>
        <w:t>12-mo</w:t>
      </w:r>
      <w:r w:rsidR="00FF66E7" w:rsidRPr="000E6093">
        <w:rPr>
          <w:rFonts w:ascii="Arial" w:hAnsi="Arial" w:cs="Arial"/>
        </w:rPr>
        <w:t>n</w:t>
      </w:r>
      <w:r w:rsidR="00AB6042" w:rsidRPr="000E6093">
        <w:rPr>
          <w:rFonts w:ascii="Arial" w:hAnsi="Arial" w:cs="Arial"/>
        </w:rPr>
        <w:t>t</w:t>
      </w:r>
      <w:r w:rsidR="00FF66E7" w:rsidRPr="000E6093">
        <w:rPr>
          <w:rFonts w:ascii="Arial" w:hAnsi="Arial" w:cs="Arial"/>
        </w:rPr>
        <w:t>hs-rolling</w:t>
      </w:r>
      <w:r w:rsidRPr="000E6093">
        <w:rPr>
          <w:rFonts w:ascii="Arial" w:hAnsi="Arial" w:cs="Arial"/>
        </w:rPr>
        <w:t xml:space="preserve"> period was 99.</w:t>
      </w:r>
      <w:r w:rsidR="00AB6042" w:rsidRPr="000E6093">
        <w:rPr>
          <w:rFonts w:ascii="Arial" w:hAnsi="Arial" w:cs="Arial"/>
        </w:rPr>
        <w:t>8</w:t>
      </w:r>
      <w:r w:rsidR="00600E20" w:rsidRPr="000E6093">
        <w:rPr>
          <w:rFonts w:ascii="Arial" w:hAnsi="Arial" w:cs="Arial"/>
        </w:rPr>
        <w:t>7</w:t>
      </w:r>
      <w:r w:rsidRPr="000E6093">
        <w:rPr>
          <w:rFonts w:ascii="Arial" w:hAnsi="Arial" w:cs="Arial"/>
        </w:rPr>
        <w:t>%.</w:t>
      </w:r>
      <w:r w:rsidR="00600E20" w:rsidRPr="000E6093">
        <w:rPr>
          <w:rStyle w:val="FootnoteReference"/>
          <w:rFonts w:ascii="Arial" w:hAnsi="Arial" w:cs="Arial"/>
        </w:rPr>
        <w:footnoteReference w:id="1"/>
      </w:r>
    </w:p>
    <w:p w14:paraId="729760B0" w14:textId="77777777" w:rsidR="00536B53" w:rsidRPr="000E6093" w:rsidRDefault="00836EFB" w:rsidP="00536B53">
      <w:pPr>
        <w:rPr>
          <w:rFonts w:ascii="Arial" w:hAnsi="Arial" w:cs="Arial"/>
        </w:rPr>
      </w:pPr>
      <w:r w:rsidRPr="000E6093">
        <w:rPr>
          <w:rFonts w:ascii="Arial" w:hAnsi="Arial" w:cs="Arial"/>
        </w:rPr>
        <w:t>Currently</w:t>
      </w:r>
      <w:r w:rsidR="00C837DB" w:rsidRPr="000E6093">
        <w:rPr>
          <w:rFonts w:ascii="Arial" w:hAnsi="Arial" w:cs="Arial"/>
        </w:rPr>
        <w:t xml:space="preserve"> (three months to </w:t>
      </w:r>
      <w:r w:rsidR="00600E20" w:rsidRPr="000E6093">
        <w:rPr>
          <w:rFonts w:ascii="Arial" w:hAnsi="Arial" w:cs="Arial"/>
        </w:rPr>
        <w:t>June</w:t>
      </w:r>
      <w:r w:rsidR="00C837DB" w:rsidRPr="000E6093">
        <w:rPr>
          <w:rFonts w:ascii="Arial" w:hAnsi="Arial" w:cs="Arial"/>
        </w:rPr>
        <w:t xml:space="preserve"> 202</w:t>
      </w:r>
      <w:r w:rsidR="00600E20" w:rsidRPr="000E6093">
        <w:rPr>
          <w:rFonts w:ascii="Arial" w:hAnsi="Arial" w:cs="Arial"/>
        </w:rPr>
        <w:t>1</w:t>
      </w:r>
      <w:r w:rsidR="00C837DB" w:rsidRPr="000E6093">
        <w:rPr>
          <w:rFonts w:ascii="Arial" w:hAnsi="Arial" w:cs="Arial"/>
        </w:rPr>
        <w:t>)</w:t>
      </w:r>
      <w:r w:rsidRPr="000E6093">
        <w:rPr>
          <w:rFonts w:ascii="Arial" w:hAnsi="Arial" w:cs="Arial"/>
        </w:rPr>
        <w:t xml:space="preserve">, </w:t>
      </w:r>
      <w:r w:rsidR="00600E20" w:rsidRPr="000E6093">
        <w:rPr>
          <w:rFonts w:ascii="Arial" w:hAnsi="Arial" w:cs="Arial"/>
        </w:rPr>
        <w:t>99.16</w:t>
      </w:r>
      <w:r w:rsidRPr="000E6093">
        <w:rPr>
          <w:rFonts w:ascii="Arial" w:hAnsi="Arial" w:cs="Arial"/>
        </w:rPr>
        <w:t>% of all prescription items</w:t>
      </w:r>
      <w:r w:rsidR="00C837DB" w:rsidRPr="000E6093">
        <w:rPr>
          <w:rFonts w:ascii="Arial" w:hAnsi="Arial" w:cs="Arial"/>
        </w:rPr>
        <w:t xml:space="preserve"> prescribed </w:t>
      </w:r>
      <w:r w:rsidR="00600E20" w:rsidRPr="000E6093">
        <w:rPr>
          <w:rFonts w:ascii="Arial" w:hAnsi="Arial" w:cs="Arial"/>
        </w:rPr>
        <w:t xml:space="preserve">within a CCG </w:t>
      </w:r>
      <w:r w:rsidR="00C837DB" w:rsidRPr="000E6093">
        <w:rPr>
          <w:rFonts w:ascii="Arial" w:hAnsi="Arial" w:cs="Arial"/>
        </w:rPr>
        <w:t>in England</w:t>
      </w:r>
      <w:r w:rsidR="003F4E97" w:rsidRPr="000E6093">
        <w:rPr>
          <w:rFonts w:ascii="Arial" w:hAnsi="Arial" w:cs="Arial"/>
        </w:rPr>
        <w:t xml:space="preserve"> can be linked to an NHS number. </w:t>
      </w:r>
      <w:r w:rsidRPr="000E6093">
        <w:rPr>
          <w:rFonts w:ascii="Arial" w:hAnsi="Arial" w:cs="Arial"/>
        </w:rPr>
        <w:t>Age can be linked to</w:t>
      </w:r>
      <w:r w:rsidR="003F4E97" w:rsidRPr="000E6093">
        <w:rPr>
          <w:rFonts w:ascii="Arial" w:hAnsi="Arial" w:cs="Arial"/>
        </w:rPr>
        <w:t xml:space="preserve"> </w:t>
      </w:r>
      <w:r w:rsidR="00600E20" w:rsidRPr="000E6093">
        <w:rPr>
          <w:rFonts w:ascii="Arial" w:hAnsi="Arial" w:cs="Arial"/>
        </w:rPr>
        <w:t>99.41</w:t>
      </w:r>
      <w:r w:rsidRPr="000E6093">
        <w:rPr>
          <w:rFonts w:ascii="Arial" w:hAnsi="Arial" w:cs="Arial"/>
        </w:rPr>
        <w:t xml:space="preserve">% of </w:t>
      </w:r>
      <w:r w:rsidR="00600E20" w:rsidRPr="000E6093">
        <w:rPr>
          <w:rFonts w:ascii="Arial" w:hAnsi="Arial" w:cs="Arial"/>
        </w:rPr>
        <w:t xml:space="preserve">CCG prescribed </w:t>
      </w:r>
      <w:r w:rsidR="003F4E97" w:rsidRPr="000E6093">
        <w:rPr>
          <w:rFonts w:ascii="Arial" w:hAnsi="Arial" w:cs="Arial"/>
        </w:rPr>
        <w:t>items.</w:t>
      </w:r>
      <w:r w:rsidR="003F4E97" w:rsidRPr="000E6093">
        <w:rPr>
          <w:rFonts w:ascii="Arial" w:hAnsi="Arial" w:cs="Arial"/>
          <w:color w:val="FF0000"/>
        </w:rPr>
        <w:t xml:space="preserve"> </w:t>
      </w:r>
      <w:r w:rsidR="00C837DB" w:rsidRPr="000E6093">
        <w:rPr>
          <w:rFonts w:ascii="Arial" w:hAnsi="Arial" w:cs="Arial"/>
        </w:rPr>
        <w:t xml:space="preserve">For EPS, the accuracy is 100%.  In </w:t>
      </w:r>
      <w:r w:rsidR="0043280E" w:rsidRPr="000E6093">
        <w:rPr>
          <w:rFonts w:ascii="Arial" w:hAnsi="Arial" w:cs="Arial"/>
        </w:rPr>
        <w:t xml:space="preserve">the three months to </w:t>
      </w:r>
      <w:r w:rsidR="00C837DB" w:rsidRPr="000E6093">
        <w:rPr>
          <w:rFonts w:ascii="Arial" w:hAnsi="Arial" w:cs="Arial"/>
        </w:rPr>
        <w:t>October 2020, EPS items accounted fo</w:t>
      </w:r>
      <w:r w:rsidR="0043280E" w:rsidRPr="000E6093">
        <w:rPr>
          <w:rFonts w:ascii="Arial" w:hAnsi="Arial" w:cs="Arial"/>
        </w:rPr>
        <w:t xml:space="preserve">r </w:t>
      </w:r>
      <w:r w:rsidR="00600E20" w:rsidRPr="000E6093">
        <w:rPr>
          <w:rFonts w:ascii="Arial" w:hAnsi="Arial" w:cs="Arial"/>
        </w:rPr>
        <w:t>90</w:t>
      </w:r>
      <w:r w:rsidR="00C837DB" w:rsidRPr="000E6093">
        <w:rPr>
          <w:rFonts w:ascii="Arial" w:hAnsi="Arial" w:cs="Arial"/>
        </w:rPr>
        <w:t xml:space="preserve">% of all English </w:t>
      </w:r>
      <w:r w:rsidR="00600E20" w:rsidRPr="000E6093">
        <w:rPr>
          <w:rFonts w:ascii="Arial" w:hAnsi="Arial" w:cs="Arial"/>
        </w:rPr>
        <w:t xml:space="preserve">CCG </w:t>
      </w:r>
      <w:r w:rsidR="00C837DB" w:rsidRPr="000E6093">
        <w:rPr>
          <w:rFonts w:ascii="Arial" w:hAnsi="Arial" w:cs="Arial"/>
        </w:rPr>
        <w:t>prescribed items.</w:t>
      </w:r>
    </w:p>
    <w:p w14:paraId="346527A4" w14:textId="77777777" w:rsidR="003B175D" w:rsidRPr="008A6C13" w:rsidRDefault="008A6C13" w:rsidP="008A139B">
      <w:pPr>
        <w:pStyle w:val="Heading1"/>
      </w:pPr>
      <w:r>
        <w:br w:type="page"/>
      </w:r>
      <w:bookmarkStart w:id="69" w:name="_Toc82592081"/>
      <w:r w:rsidR="003B175D" w:rsidRPr="008A6C13">
        <w:lastRenderedPageBreak/>
        <w:t>Comparator Specifications</w:t>
      </w:r>
      <w:bookmarkEnd w:id="64"/>
      <w:bookmarkEnd w:id="65"/>
      <w:bookmarkEnd w:id="66"/>
      <w:bookmarkEnd w:id="67"/>
      <w:bookmarkEnd w:id="68"/>
      <w:bookmarkEnd w:id="69"/>
    </w:p>
    <w:p w14:paraId="27AE810B" w14:textId="77777777" w:rsidR="003B175D" w:rsidRPr="000E6093" w:rsidRDefault="00E91A20" w:rsidP="008A139B">
      <w:pPr>
        <w:pStyle w:val="Heading2"/>
        <w:rPr>
          <w:rFonts w:cs="Arial"/>
          <w:szCs w:val="20"/>
        </w:rPr>
      </w:pPr>
      <w:r w:rsidRPr="000E6093">
        <w:rPr>
          <w:rFonts w:cs="Arial"/>
          <w:szCs w:val="20"/>
        </w:rPr>
        <w:t xml:space="preserve"> </w:t>
      </w:r>
      <w:bookmarkStart w:id="70" w:name="_Toc82592082"/>
      <w:r w:rsidR="002F5148" w:rsidRPr="000E6093">
        <w:rPr>
          <w:rFonts w:cs="Arial"/>
          <w:szCs w:val="20"/>
        </w:rPr>
        <w:t>ASC01 – Prescribing of antibacterial items per 1,000 children</w:t>
      </w:r>
      <w:bookmarkEnd w:id="70"/>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D58DC" w:rsidRPr="000E6093" w14:paraId="4D752A00" w14:textId="77777777" w:rsidTr="005E736D">
        <w:tc>
          <w:tcPr>
            <w:tcW w:w="9889" w:type="dxa"/>
            <w:gridSpan w:val="3"/>
            <w:shd w:val="clear" w:color="auto" w:fill="D9D9D9"/>
          </w:tcPr>
          <w:p w14:paraId="6C993AE4" w14:textId="77777777" w:rsidR="00CD58DC" w:rsidRPr="000E6093" w:rsidRDefault="00CD58DC" w:rsidP="005E736D">
            <w:pPr>
              <w:spacing w:after="0" w:line="240" w:lineRule="auto"/>
              <w:rPr>
                <w:rFonts w:ascii="Arial" w:hAnsi="Arial" w:cs="Arial"/>
              </w:rPr>
            </w:pPr>
            <w:r w:rsidRPr="000E6093">
              <w:rPr>
                <w:rFonts w:ascii="Arial" w:hAnsi="Arial" w:cs="Arial"/>
                <w:b/>
              </w:rPr>
              <w:t>Section 1: Introduction / Overview</w:t>
            </w:r>
          </w:p>
        </w:tc>
      </w:tr>
      <w:tr w:rsidR="00CD58DC" w:rsidRPr="000E6093" w14:paraId="6054AA6A" w14:textId="77777777" w:rsidTr="008E0282">
        <w:trPr>
          <w:trHeight w:val="236"/>
        </w:trPr>
        <w:tc>
          <w:tcPr>
            <w:tcW w:w="534" w:type="dxa"/>
            <w:shd w:val="clear" w:color="auto" w:fill="auto"/>
          </w:tcPr>
          <w:p w14:paraId="22D90E81" w14:textId="77777777" w:rsidR="00CD58DC" w:rsidRPr="000E6093" w:rsidRDefault="00CD58DC" w:rsidP="005E736D">
            <w:pPr>
              <w:spacing w:after="0" w:line="240" w:lineRule="auto"/>
              <w:rPr>
                <w:rFonts w:ascii="Arial" w:hAnsi="Arial" w:cs="Arial"/>
              </w:rPr>
            </w:pPr>
            <w:r w:rsidRPr="000E6093">
              <w:rPr>
                <w:rFonts w:ascii="Arial" w:hAnsi="Arial" w:cs="Arial"/>
              </w:rPr>
              <w:t>1.1</w:t>
            </w:r>
          </w:p>
          <w:p w14:paraId="7C0E2FCB" w14:textId="77777777" w:rsidR="00CD58DC" w:rsidRPr="000E6093" w:rsidRDefault="00CD58DC" w:rsidP="005E736D">
            <w:pPr>
              <w:spacing w:after="0" w:line="240" w:lineRule="auto"/>
              <w:rPr>
                <w:rFonts w:ascii="Arial" w:hAnsi="Arial" w:cs="Arial"/>
              </w:rPr>
            </w:pPr>
          </w:p>
        </w:tc>
        <w:tc>
          <w:tcPr>
            <w:tcW w:w="1701" w:type="dxa"/>
            <w:tcBorders>
              <w:bottom w:val="single" w:sz="4" w:space="0" w:color="auto"/>
            </w:tcBorders>
            <w:shd w:val="clear" w:color="auto" w:fill="D9D9D9"/>
          </w:tcPr>
          <w:p w14:paraId="474C8325" w14:textId="77777777" w:rsidR="00CD58DC" w:rsidRPr="000E6093" w:rsidRDefault="00CD58DC" w:rsidP="005E736D">
            <w:pPr>
              <w:spacing w:after="0" w:line="240" w:lineRule="auto"/>
              <w:rPr>
                <w:rFonts w:ascii="Arial" w:hAnsi="Arial" w:cs="Arial"/>
                <w:b/>
              </w:rPr>
            </w:pPr>
            <w:r w:rsidRPr="000E6093">
              <w:rPr>
                <w:rFonts w:ascii="Arial" w:hAnsi="Arial" w:cs="Arial"/>
                <w:b/>
              </w:rPr>
              <w:t>Title</w:t>
            </w:r>
          </w:p>
        </w:tc>
        <w:tc>
          <w:tcPr>
            <w:tcW w:w="7654" w:type="dxa"/>
            <w:shd w:val="clear" w:color="auto" w:fill="auto"/>
          </w:tcPr>
          <w:p w14:paraId="5D4FFAC8" w14:textId="77777777" w:rsidR="00CD58DC" w:rsidRPr="000E6093" w:rsidRDefault="002F5148" w:rsidP="00983B0C">
            <w:pPr>
              <w:spacing w:after="0" w:line="240" w:lineRule="auto"/>
              <w:rPr>
                <w:rFonts w:ascii="Arial" w:hAnsi="Arial" w:cs="Arial"/>
              </w:rPr>
            </w:pPr>
            <w:r w:rsidRPr="000E6093">
              <w:rPr>
                <w:rFonts w:ascii="Arial" w:hAnsi="Arial" w:cs="Arial"/>
              </w:rPr>
              <w:t>ASC01 – Prescribing of antibacterial items per 1,000 children</w:t>
            </w:r>
          </w:p>
        </w:tc>
      </w:tr>
      <w:tr w:rsidR="000E0FEF" w:rsidRPr="000E6093" w14:paraId="16A02989" w14:textId="77777777" w:rsidTr="008E0282">
        <w:tc>
          <w:tcPr>
            <w:tcW w:w="534" w:type="dxa"/>
            <w:shd w:val="clear" w:color="auto" w:fill="auto"/>
          </w:tcPr>
          <w:p w14:paraId="2B1A8398" w14:textId="77777777" w:rsidR="000E0FEF" w:rsidRPr="000E6093" w:rsidRDefault="000E0FEF" w:rsidP="00F14685">
            <w:pPr>
              <w:spacing w:after="0" w:line="240" w:lineRule="auto"/>
              <w:rPr>
                <w:rFonts w:ascii="Arial" w:hAnsi="Arial" w:cs="Arial"/>
              </w:rPr>
            </w:pPr>
            <w:r w:rsidRPr="000E6093">
              <w:rPr>
                <w:rFonts w:ascii="Arial" w:hAnsi="Arial" w:cs="Arial"/>
              </w:rPr>
              <w:t>1.2</w:t>
            </w:r>
          </w:p>
        </w:tc>
        <w:tc>
          <w:tcPr>
            <w:tcW w:w="1701" w:type="dxa"/>
            <w:tcBorders>
              <w:top w:val="single" w:sz="4" w:space="0" w:color="auto"/>
              <w:bottom w:val="single" w:sz="4" w:space="0" w:color="auto"/>
            </w:tcBorders>
            <w:shd w:val="clear" w:color="auto" w:fill="D9D9D9"/>
          </w:tcPr>
          <w:p w14:paraId="333724F4" w14:textId="77777777" w:rsidR="000E0FEF" w:rsidRPr="000E6093" w:rsidRDefault="000E0FEF" w:rsidP="005E736D">
            <w:pPr>
              <w:spacing w:after="0" w:line="240" w:lineRule="auto"/>
              <w:rPr>
                <w:rFonts w:ascii="Arial" w:hAnsi="Arial" w:cs="Arial"/>
                <w:b/>
              </w:rPr>
            </w:pPr>
            <w:r w:rsidRPr="000E6093">
              <w:rPr>
                <w:rFonts w:ascii="Arial" w:hAnsi="Arial" w:cs="Arial"/>
                <w:b/>
              </w:rPr>
              <w:t>Definition</w:t>
            </w:r>
          </w:p>
        </w:tc>
        <w:tc>
          <w:tcPr>
            <w:tcW w:w="7654" w:type="dxa"/>
            <w:shd w:val="clear" w:color="auto" w:fill="auto"/>
          </w:tcPr>
          <w:p w14:paraId="65916A19" w14:textId="77777777" w:rsidR="000E0FEF" w:rsidRPr="000E6093" w:rsidRDefault="00C6437B" w:rsidP="00EB75DD">
            <w:pPr>
              <w:spacing w:after="0" w:line="240" w:lineRule="auto"/>
              <w:rPr>
                <w:rFonts w:ascii="Arial" w:hAnsi="Arial" w:cs="Arial"/>
              </w:rPr>
            </w:pPr>
            <w:r w:rsidRPr="000E6093">
              <w:rPr>
                <w:rFonts w:ascii="Arial" w:hAnsi="Arial" w:cs="Arial"/>
              </w:rPr>
              <w:t>Number of antibacterial items (BNF 5.1) prescribed to children divided by the number of children on registered list size, multiplied by 1,000 for each age band</w:t>
            </w:r>
          </w:p>
        </w:tc>
      </w:tr>
      <w:tr w:rsidR="000E0FEF" w:rsidRPr="000E6093" w14:paraId="03E34A67" w14:textId="77777777" w:rsidTr="008E0282">
        <w:trPr>
          <w:trHeight w:val="628"/>
        </w:trPr>
        <w:tc>
          <w:tcPr>
            <w:tcW w:w="534" w:type="dxa"/>
            <w:shd w:val="clear" w:color="auto" w:fill="auto"/>
          </w:tcPr>
          <w:p w14:paraId="19662831" w14:textId="77777777" w:rsidR="000E0FEF" w:rsidRPr="000E6093" w:rsidRDefault="000E0FEF" w:rsidP="005E736D">
            <w:pPr>
              <w:spacing w:after="0" w:line="240" w:lineRule="auto"/>
              <w:rPr>
                <w:rFonts w:ascii="Arial" w:hAnsi="Arial" w:cs="Arial"/>
              </w:rPr>
            </w:pPr>
            <w:r w:rsidRPr="000E6093">
              <w:rPr>
                <w:rFonts w:ascii="Arial" w:hAnsi="Arial" w:cs="Arial"/>
              </w:rPr>
              <w:t>1.3</w:t>
            </w:r>
          </w:p>
        </w:tc>
        <w:tc>
          <w:tcPr>
            <w:tcW w:w="1701" w:type="dxa"/>
            <w:tcBorders>
              <w:top w:val="single" w:sz="4" w:space="0" w:color="auto"/>
              <w:bottom w:val="single" w:sz="4" w:space="0" w:color="auto"/>
            </w:tcBorders>
            <w:shd w:val="clear" w:color="auto" w:fill="D9D9D9"/>
          </w:tcPr>
          <w:p w14:paraId="7F2094D9" w14:textId="77777777" w:rsidR="000E0FEF" w:rsidRPr="000E6093" w:rsidRDefault="000E0FEF" w:rsidP="005E736D">
            <w:pPr>
              <w:spacing w:after="0" w:line="240" w:lineRule="auto"/>
              <w:rPr>
                <w:rFonts w:ascii="Arial" w:hAnsi="Arial" w:cs="Arial"/>
                <w:b/>
              </w:rPr>
            </w:pPr>
            <w:r w:rsidRPr="000E6093">
              <w:rPr>
                <w:rFonts w:ascii="Arial" w:hAnsi="Arial" w:cs="Arial"/>
                <w:b/>
              </w:rPr>
              <w:t>Reporting Level</w:t>
            </w:r>
          </w:p>
        </w:tc>
        <w:tc>
          <w:tcPr>
            <w:tcW w:w="7654" w:type="dxa"/>
            <w:shd w:val="clear" w:color="auto" w:fill="auto"/>
          </w:tcPr>
          <w:p w14:paraId="1FFB39C0" w14:textId="77777777" w:rsidR="00FF66E7" w:rsidRPr="000E6093" w:rsidRDefault="00796DA5" w:rsidP="00FF66E7">
            <w:pPr>
              <w:spacing w:after="0" w:line="240" w:lineRule="auto"/>
              <w:rPr>
                <w:rFonts w:ascii="Arial" w:hAnsi="Arial" w:cs="Arial"/>
              </w:rPr>
            </w:pPr>
            <w:r w:rsidRPr="000E6093">
              <w:rPr>
                <w:rFonts w:ascii="Arial" w:hAnsi="Arial" w:cs="Arial"/>
              </w:rPr>
              <w:t>GP Practice/Cost Centre level (aggregated to PCN, CCG, STP, Regional and England level)</w:t>
            </w:r>
            <w:r w:rsidR="00FF66E7" w:rsidRPr="000E6093">
              <w:rPr>
                <w:rFonts w:ascii="Arial" w:hAnsi="Arial" w:cs="Arial"/>
              </w:rPr>
              <w:t xml:space="preserve">.  </w:t>
            </w:r>
          </w:p>
        </w:tc>
      </w:tr>
      <w:tr w:rsidR="000E0FEF" w:rsidRPr="000E6093" w14:paraId="2B205A30" w14:textId="77777777" w:rsidTr="006D008C">
        <w:trPr>
          <w:trHeight w:val="1332"/>
        </w:trPr>
        <w:tc>
          <w:tcPr>
            <w:tcW w:w="534" w:type="dxa"/>
            <w:shd w:val="clear" w:color="auto" w:fill="auto"/>
          </w:tcPr>
          <w:p w14:paraId="41AA081E" w14:textId="77777777" w:rsidR="000E0FEF" w:rsidRPr="000E6093" w:rsidRDefault="000E0FEF" w:rsidP="005E736D">
            <w:pPr>
              <w:spacing w:after="0" w:line="240" w:lineRule="auto"/>
              <w:rPr>
                <w:rFonts w:ascii="Arial" w:hAnsi="Arial" w:cs="Arial"/>
              </w:rPr>
            </w:pPr>
            <w:r w:rsidRPr="000E6093">
              <w:rPr>
                <w:rFonts w:ascii="Arial" w:hAnsi="Arial" w:cs="Arial"/>
              </w:rPr>
              <w:t>1.4</w:t>
            </w:r>
          </w:p>
        </w:tc>
        <w:tc>
          <w:tcPr>
            <w:tcW w:w="1701" w:type="dxa"/>
            <w:tcBorders>
              <w:top w:val="single" w:sz="4" w:space="0" w:color="auto"/>
              <w:bottom w:val="single" w:sz="4" w:space="0" w:color="auto"/>
            </w:tcBorders>
            <w:shd w:val="clear" w:color="auto" w:fill="D9D9D9"/>
          </w:tcPr>
          <w:p w14:paraId="3306314E" w14:textId="77777777" w:rsidR="000E0FEF" w:rsidRPr="000E6093" w:rsidRDefault="000E0FEF" w:rsidP="005E736D">
            <w:pPr>
              <w:spacing w:after="0" w:line="240" w:lineRule="auto"/>
              <w:rPr>
                <w:rFonts w:ascii="Arial" w:hAnsi="Arial" w:cs="Arial"/>
                <w:b/>
              </w:rPr>
            </w:pPr>
            <w:r w:rsidRPr="000E6093">
              <w:rPr>
                <w:rFonts w:ascii="Arial" w:hAnsi="Arial" w:cs="Arial"/>
                <w:b/>
              </w:rPr>
              <w:t>Numerator</w:t>
            </w:r>
          </w:p>
        </w:tc>
        <w:tc>
          <w:tcPr>
            <w:tcW w:w="7654" w:type="dxa"/>
            <w:shd w:val="clear" w:color="auto" w:fill="auto"/>
          </w:tcPr>
          <w:p w14:paraId="0F9E3EFA" w14:textId="77777777" w:rsidR="000E0FEF" w:rsidRPr="000E6093" w:rsidRDefault="007C2F4D" w:rsidP="005E736D">
            <w:pPr>
              <w:spacing w:after="0" w:line="240" w:lineRule="auto"/>
              <w:rPr>
                <w:rFonts w:ascii="Arial" w:hAnsi="Arial" w:cs="Arial"/>
              </w:rPr>
            </w:pPr>
            <w:r w:rsidRPr="000E6093">
              <w:rPr>
                <w:rFonts w:ascii="Arial" w:hAnsi="Arial" w:cs="Arial"/>
              </w:rPr>
              <w:t xml:space="preserve">Number of items prescribed to </w:t>
            </w:r>
            <w:r w:rsidR="006D008C" w:rsidRPr="000E6093">
              <w:rPr>
                <w:rFonts w:ascii="Arial" w:hAnsi="Arial" w:cs="Arial"/>
              </w:rPr>
              <w:t>children in the selected age band</w:t>
            </w:r>
            <w:r w:rsidRPr="000E6093">
              <w:rPr>
                <w:rFonts w:ascii="Arial" w:hAnsi="Arial" w:cs="Arial"/>
              </w:rPr>
              <w:t xml:space="preserve"> for the following drugs:</w:t>
            </w:r>
          </w:p>
          <w:p w14:paraId="44E2B4CB" w14:textId="77777777" w:rsidR="007C2F4D" w:rsidRPr="000E6093" w:rsidRDefault="007C2F4D" w:rsidP="005E736D">
            <w:pPr>
              <w:spacing w:after="0" w:line="240" w:lineRule="auto"/>
              <w:rPr>
                <w:rFonts w:ascii="Arial" w:hAnsi="Arial" w:cs="Arial"/>
              </w:rPr>
            </w:pPr>
          </w:p>
          <w:tbl>
            <w:tblPr>
              <w:tblW w:w="7280" w:type="dxa"/>
              <w:tblLayout w:type="fixed"/>
              <w:tblLook w:val="04A0" w:firstRow="1" w:lastRow="0" w:firstColumn="1" w:lastColumn="0" w:noHBand="0" w:noVBand="1"/>
            </w:tblPr>
            <w:tblGrid>
              <w:gridCol w:w="3640"/>
              <w:gridCol w:w="3640"/>
            </w:tblGrid>
            <w:tr w:rsidR="007C2F4D" w:rsidRPr="000E6093" w14:paraId="6CDCD940" w14:textId="77777777" w:rsidTr="007C2F4D">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483E9D86" w14:textId="77777777" w:rsidR="007C2F4D" w:rsidRPr="000E6093" w:rsidRDefault="007C2F4D" w:rsidP="007C2F4D">
                  <w:pPr>
                    <w:spacing w:after="0" w:line="240" w:lineRule="auto"/>
                    <w:rPr>
                      <w:rFonts w:ascii="Arial" w:eastAsia="Times New Roman" w:hAnsi="Arial" w:cs="Arial"/>
                      <w:b/>
                      <w:bCs/>
                      <w:color w:val="000000"/>
                      <w:lang w:eastAsia="en-GB"/>
                    </w:rPr>
                  </w:pPr>
                  <w:r w:rsidRPr="000E6093">
                    <w:rPr>
                      <w:rFonts w:ascii="Arial" w:eastAsia="Times New Roman" w:hAnsi="Arial" w:cs="Arial"/>
                      <w:b/>
                      <w:bCs/>
                      <w:color w:val="000000"/>
                      <w:lang w:eastAsia="en-GB"/>
                    </w:rPr>
                    <w:t xml:space="preserve">BNF </w:t>
                  </w:r>
                  <w:r w:rsidR="00603D18" w:rsidRPr="000E6093">
                    <w:rPr>
                      <w:rFonts w:ascii="Arial" w:eastAsia="Times New Roman" w:hAnsi="Arial" w:cs="Arial"/>
                      <w:b/>
                      <w:bCs/>
                      <w:color w:val="000000"/>
                      <w:lang w:eastAsia="en-GB"/>
                    </w:rPr>
                    <w:t>Section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252DE5FD" w14:textId="77777777" w:rsidR="007C2F4D" w:rsidRPr="000E6093" w:rsidRDefault="007C2F4D" w:rsidP="007C2F4D">
                  <w:pPr>
                    <w:spacing w:after="0" w:line="240" w:lineRule="auto"/>
                    <w:rPr>
                      <w:rFonts w:ascii="Arial" w:eastAsia="Times New Roman" w:hAnsi="Arial" w:cs="Arial"/>
                      <w:b/>
                      <w:bCs/>
                      <w:color w:val="000000"/>
                      <w:lang w:eastAsia="en-GB"/>
                    </w:rPr>
                  </w:pPr>
                  <w:r w:rsidRPr="000E6093">
                    <w:rPr>
                      <w:rFonts w:ascii="Arial" w:eastAsia="Times New Roman" w:hAnsi="Arial" w:cs="Arial"/>
                      <w:b/>
                      <w:bCs/>
                      <w:color w:val="000000"/>
                      <w:lang w:eastAsia="en-GB"/>
                    </w:rPr>
                    <w:t>BNF Code</w:t>
                  </w:r>
                </w:p>
              </w:tc>
            </w:tr>
            <w:tr w:rsidR="007C2F4D" w:rsidRPr="000E6093" w14:paraId="158FE8E2" w14:textId="77777777" w:rsidTr="00603D18">
              <w:trPr>
                <w:trHeight w:val="255"/>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tcPr>
                <w:p w14:paraId="6F874AE2" w14:textId="77777777" w:rsidR="007C2F4D" w:rsidRPr="000E6093" w:rsidRDefault="00603D18" w:rsidP="007C2F4D">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Antibacterial Drugs</w:t>
                  </w:r>
                </w:p>
              </w:tc>
              <w:tc>
                <w:tcPr>
                  <w:tcW w:w="3640" w:type="dxa"/>
                  <w:tcBorders>
                    <w:top w:val="single" w:sz="4" w:space="0" w:color="auto"/>
                    <w:left w:val="nil"/>
                    <w:bottom w:val="single" w:sz="4" w:space="0" w:color="auto"/>
                    <w:right w:val="single" w:sz="8" w:space="0" w:color="auto"/>
                  </w:tcBorders>
                  <w:shd w:val="clear" w:color="auto" w:fill="auto"/>
                  <w:vAlign w:val="center"/>
                </w:tcPr>
                <w:p w14:paraId="3450A9D4" w14:textId="77777777" w:rsidR="007C2F4D" w:rsidRPr="000E6093" w:rsidRDefault="00603D18" w:rsidP="007C2F4D">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w:t>
                  </w:r>
                </w:p>
              </w:tc>
            </w:tr>
          </w:tbl>
          <w:p w14:paraId="4CE5E8CA" w14:textId="77777777" w:rsidR="006D008C" w:rsidRPr="000E6093" w:rsidRDefault="006D008C" w:rsidP="006D008C">
            <w:pPr>
              <w:tabs>
                <w:tab w:val="left" w:pos="1248"/>
              </w:tabs>
              <w:ind w:firstLine="720"/>
              <w:rPr>
                <w:rFonts w:ascii="Arial" w:hAnsi="Arial" w:cs="Arial"/>
              </w:rPr>
            </w:pPr>
          </w:p>
        </w:tc>
      </w:tr>
      <w:tr w:rsidR="000E0FEF" w:rsidRPr="000E6093" w14:paraId="399E2107" w14:textId="77777777" w:rsidTr="008E0282">
        <w:trPr>
          <w:trHeight w:val="597"/>
        </w:trPr>
        <w:tc>
          <w:tcPr>
            <w:tcW w:w="534" w:type="dxa"/>
            <w:shd w:val="clear" w:color="auto" w:fill="auto"/>
          </w:tcPr>
          <w:p w14:paraId="13309DE2" w14:textId="77777777" w:rsidR="000E0FEF" w:rsidRPr="000E6093" w:rsidRDefault="000E0FEF" w:rsidP="005E736D">
            <w:pPr>
              <w:spacing w:after="0" w:line="240" w:lineRule="auto"/>
              <w:rPr>
                <w:rFonts w:ascii="Arial" w:hAnsi="Arial" w:cs="Arial"/>
              </w:rPr>
            </w:pPr>
            <w:r w:rsidRPr="000E6093">
              <w:rPr>
                <w:rFonts w:ascii="Arial" w:hAnsi="Arial" w:cs="Arial"/>
              </w:rPr>
              <w:t>1.5</w:t>
            </w:r>
          </w:p>
        </w:tc>
        <w:tc>
          <w:tcPr>
            <w:tcW w:w="1701" w:type="dxa"/>
            <w:tcBorders>
              <w:top w:val="single" w:sz="4" w:space="0" w:color="auto"/>
              <w:bottom w:val="single" w:sz="4" w:space="0" w:color="auto"/>
            </w:tcBorders>
            <w:shd w:val="clear" w:color="auto" w:fill="D9D9D9"/>
          </w:tcPr>
          <w:p w14:paraId="4B25B4A7" w14:textId="77777777" w:rsidR="000E0FEF" w:rsidRPr="000E6093" w:rsidRDefault="000E0FEF" w:rsidP="005E736D">
            <w:pPr>
              <w:spacing w:after="0" w:line="240" w:lineRule="auto"/>
              <w:rPr>
                <w:rFonts w:ascii="Arial" w:hAnsi="Arial" w:cs="Arial"/>
                <w:b/>
              </w:rPr>
            </w:pPr>
            <w:r w:rsidRPr="000E6093">
              <w:rPr>
                <w:rFonts w:ascii="Arial" w:hAnsi="Arial" w:cs="Arial"/>
                <w:b/>
              </w:rPr>
              <w:t>Denominator</w:t>
            </w:r>
          </w:p>
        </w:tc>
        <w:tc>
          <w:tcPr>
            <w:tcW w:w="7654" w:type="dxa"/>
            <w:shd w:val="clear" w:color="auto" w:fill="auto"/>
          </w:tcPr>
          <w:p w14:paraId="00904470" w14:textId="77777777" w:rsidR="00603D18" w:rsidRPr="000E6093" w:rsidRDefault="00603D18" w:rsidP="005E736D">
            <w:pPr>
              <w:spacing w:after="0" w:line="240" w:lineRule="auto"/>
              <w:rPr>
                <w:rFonts w:ascii="Arial" w:hAnsi="Arial" w:cs="Arial"/>
              </w:rPr>
            </w:pPr>
            <w:r w:rsidRPr="000E6093">
              <w:rPr>
                <w:rFonts w:ascii="Arial" w:hAnsi="Arial" w:cs="Arial"/>
              </w:rPr>
              <w:t>Number of children on registered list size for the selected age band.</w:t>
            </w:r>
          </w:p>
        </w:tc>
      </w:tr>
      <w:tr w:rsidR="000E0FEF" w:rsidRPr="000E6093" w14:paraId="0745F6BA" w14:textId="77777777" w:rsidTr="008E0282">
        <w:tc>
          <w:tcPr>
            <w:tcW w:w="534" w:type="dxa"/>
            <w:shd w:val="clear" w:color="auto" w:fill="auto"/>
          </w:tcPr>
          <w:p w14:paraId="0265E70F" w14:textId="77777777" w:rsidR="000E0FEF" w:rsidRPr="000E6093" w:rsidRDefault="000E0FEF" w:rsidP="005E736D">
            <w:pPr>
              <w:spacing w:after="0" w:line="240" w:lineRule="auto"/>
              <w:rPr>
                <w:rFonts w:ascii="Arial" w:hAnsi="Arial" w:cs="Arial"/>
              </w:rPr>
            </w:pPr>
            <w:r w:rsidRPr="000E6093">
              <w:rPr>
                <w:rFonts w:ascii="Arial" w:hAnsi="Arial" w:cs="Arial"/>
              </w:rPr>
              <w:t>1.6</w:t>
            </w:r>
          </w:p>
        </w:tc>
        <w:tc>
          <w:tcPr>
            <w:tcW w:w="1701" w:type="dxa"/>
            <w:tcBorders>
              <w:top w:val="single" w:sz="4" w:space="0" w:color="auto"/>
            </w:tcBorders>
            <w:shd w:val="clear" w:color="auto" w:fill="D9D9D9"/>
          </w:tcPr>
          <w:p w14:paraId="1A5DDD67" w14:textId="77777777" w:rsidR="000E0FEF" w:rsidRPr="000E6093" w:rsidRDefault="000E0FEF" w:rsidP="005E736D">
            <w:pPr>
              <w:spacing w:after="0" w:line="240" w:lineRule="auto"/>
              <w:rPr>
                <w:rFonts w:ascii="Arial" w:hAnsi="Arial" w:cs="Arial"/>
                <w:b/>
              </w:rPr>
            </w:pPr>
            <w:r w:rsidRPr="000E6093">
              <w:rPr>
                <w:rFonts w:ascii="Arial" w:hAnsi="Arial" w:cs="Arial"/>
                <w:b/>
              </w:rPr>
              <w:t>Methodology</w:t>
            </w:r>
          </w:p>
        </w:tc>
        <w:tc>
          <w:tcPr>
            <w:tcW w:w="7654" w:type="dxa"/>
            <w:shd w:val="clear" w:color="auto" w:fill="auto"/>
          </w:tcPr>
          <w:p w14:paraId="1E037FAE" w14:textId="77777777" w:rsidR="000E0FEF" w:rsidRPr="000E6093" w:rsidRDefault="007C2F4D" w:rsidP="007C2F4D">
            <w:pPr>
              <w:spacing w:after="0" w:line="240" w:lineRule="auto"/>
              <w:rPr>
                <w:rFonts w:ascii="Arial" w:hAnsi="Arial" w:cs="Arial"/>
              </w:rPr>
            </w:pPr>
            <w:r w:rsidRPr="000E6093">
              <w:rPr>
                <w:rFonts w:ascii="Arial" w:hAnsi="Arial" w:cs="Arial"/>
              </w:rPr>
              <w:t>Numerator divided by denominator, multiplied by 1,000</w:t>
            </w:r>
          </w:p>
        </w:tc>
      </w:tr>
      <w:tr w:rsidR="000E0FEF" w:rsidRPr="000E6093" w14:paraId="676BF109" w14:textId="77777777" w:rsidTr="005E736D">
        <w:tc>
          <w:tcPr>
            <w:tcW w:w="9889" w:type="dxa"/>
            <w:gridSpan w:val="3"/>
            <w:shd w:val="clear" w:color="auto" w:fill="D9D9D9"/>
          </w:tcPr>
          <w:p w14:paraId="2217001C" w14:textId="77777777" w:rsidR="000E0FEF" w:rsidRPr="000E6093" w:rsidRDefault="000E0FEF" w:rsidP="005E736D">
            <w:pPr>
              <w:spacing w:after="0" w:line="240" w:lineRule="auto"/>
              <w:rPr>
                <w:rFonts w:ascii="Arial" w:hAnsi="Arial" w:cs="Arial"/>
              </w:rPr>
            </w:pPr>
            <w:r w:rsidRPr="000E6093">
              <w:rPr>
                <w:rFonts w:ascii="Arial" w:hAnsi="Arial" w:cs="Arial"/>
                <w:b/>
              </w:rPr>
              <w:t>Section 2: Rationale</w:t>
            </w:r>
          </w:p>
        </w:tc>
      </w:tr>
      <w:tr w:rsidR="000E0FEF" w:rsidRPr="000E6093" w14:paraId="12713177" w14:textId="77777777" w:rsidTr="008E0282">
        <w:trPr>
          <w:trHeight w:val="558"/>
        </w:trPr>
        <w:tc>
          <w:tcPr>
            <w:tcW w:w="534" w:type="dxa"/>
            <w:shd w:val="clear" w:color="auto" w:fill="auto"/>
          </w:tcPr>
          <w:p w14:paraId="330ACF52" w14:textId="77777777" w:rsidR="000E0FEF" w:rsidRPr="000E6093" w:rsidRDefault="000E0FEF" w:rsidP="005E736D">
            <w:pPr>
              <w:spacing w:after="0" w:line="240" w:lineRule="auto"/>
              <w:rPr>
                <w:rFonts w:ascii="Arial" w:hAnsi="Arial" w:cs="Arial"/>
              </w:rPr>
            </w:pPr>
            <w:r w:rsidRPr="000E6093">
              <w:rPr>
                <w:rFonts w:ascii="Arial" w:hAnsi="Arial" w:cs="Arial"/>
              </w:rPr>
              <w:t>2.1</w:t>
            </w:r>
          </w:p>
          <w:p w14:paraId="40C04997" w14:textId="77777777" w:rsidR="000E0FEF" w:rsidRPr="000E6093" w:rsidRDefault="000E0FEF" w:rsidP="005E736D">
            <w:pPr>
              <w:spacing w:after="0" w:line="240" w:lineRule="auto"/>
              <w:rPr>
                <w:rFonts w:ascii="Arial" w:hAnsi="Arial" w:cs="Arial"/>
              </w:rPr>
            </w:pPr>
          </w:p>
        </w:tc>
        <w:tc>
          <w:tcPr>
            <w:tcW w:w="1701" w:type="dxa"/>
            <w:tcBorders>
              <w:bottom w:val="single" w:sz="4" w:space="0" w:color="auto"/>
            </w:tcBorders>
            <w:shd w:val="clear" w:color="auto" w:fill="D9D9D9"/>
          </w:tcPr>
          <w:p w14:paraId="2BD406AA" w14:textId="77777777" w:rsidR="000E0FEF" w:rsidRPr="000E6093" w:rsidRDefault="000E0FEF" w:rsidP="005E736D">
            <w:pPr>
              <w:spacing w:after="0" w:line="240" w:lineRule="auto"/>
              <w:rPr>
                <w:rFonts w:ascii="Arial" w:hAnsi="Arial" w:cs="Arial"/>
                <w:b/>
              </w:rPr>
            </w:pPr>
            <w:r w:rsidRPr="000E6093">
              <w:rPr>
                <w:rFonts w:ascii="Arial" w:hAnsi="Arial" w:cs="Arial"/>
                <w:b/>
              </w:rPr>
              <w:t>Purpose</w:t>
            </w:r>
          </w:p>
        </w:tc>
        <w:tc>
          <w:tcPr>
            <w:tcW w:w="7654" w:type="dxa"/>
            <w:shd w:val="clear" w:color="auto" w:fill="auto"/>
          </w:tcPr>
          <w:p w14:paraId="39D4BDEF" w14:textId="14F153FE" w:rsidR="000E0FEF" w:rsidRPr="000E6093" w:rsidRDefault="00D63C91" w:rsidP="005E736D">
            <w:pPr>
              <w:spacing w:after="0" w:line="240" w:lineRule="auto"/>
              <w:rPr>
                <w:rFonts w:ascii="Arial" w:hAnsi="Arial" w:cs="Arial"/>
              </w:rPr>
            </w:pPr>
            <w:r w:rsidRPr="000E6093">
              <w:rPr>
                <w:rFonts w:ascii="Arial" w:hAnsi="Arial" w:cs="Arial"/>
              </w:rPr>
              <w:t>T</w:t>
            </w:r>
            <w:r w:rsidR="00A700FD" w:rsidRPr="000E6093">
              <w:rPr>
                <w:rFonts w:ascii="Arial" w:hAnsi="Arial" w:cs="Arial"/>
              </w:rPr>
              <w:t xml:space="preserve">o identify the rate of antibiotic prescribing </w:t>
            </w:r>
            <w:r w:rsidR="00AD05A5" w:rsidRPr="000E6093">
              <w:rPr>
                <w:rFonts w:ascii="Arial" w:hAnsi="Arial" w:cs="Arial"/>
              </w:rPr>
              <w:t>for children</w:t>
            </w:r>
            <w:r w:rsidR="00810E6A" w:rsidRPr="000E6093">
              <w:rPr>
                <w:rFonts w:ascii="Arial" w:hAnsi="Arial" w:cs="Arial"/>
              </w:rPr>
              <w:t xml:space="preserve"> at a defined population level</w:t>
            </w:r>
          </w:p>
          <w:p w14:paraId="092FFB2A" w14:textId="224F558C" w:rsidR="004804DE" w:rsidRPr="000E6093" w:rsidRDefault="004804DE" w:rsidP="005E736D">
            <w:pPr>
              <w:spacing w:after="0" w:line="240" w:lineRule="auto"/>
              <w:rPr>
                <w:rFonts w:ascii="Arial" w:hAnsi="Arial" w:cs="Arial"/>
              </w:rPr>
            </w:pPr>
            <w:r w:rsidRPr="000E6093">
              <w:rPr>
                <w:rFonts w:ascii="Arial" w:hAnsi="Arial" w:cs="Arial"/>
              </w:rPr>
              <w:t>To identify variation in the rate of antibiotic prescribing for children</w:t>
            </w:r>
          </w:p>
          <w:p w14:paraId="624FA21C" w14:textId="0B5EAE7B" w:rsidR="00AD05A5" w:rsidRPr="000E6093" w:rsidRDefault="00AD05A5" w:rsidP="005E736D">
            <w:pPr>
              <w:spacing w:after="0" w:line="240" w:lineRule="auto"/>
              <w:rPr>
                <w:rFonts w:ascii="Arial" w:hAnsi="Arial" w:cs="Arial"/>
              </w:rPr>
            </w:pPr>
            <w:r w:rsidRPr="000E6093">
              <w:rPr>
                <w:rFonts w:ascii="Arial" w:hAnsi="Arial" w:cs="Arial"/>
              </w:rPr>
              <w:t xml:space="preserve">To identify the trend in antibiotic prescribing </w:t>
            </w:r>
            <w:r w:rsidR="004E7C1F" w:rsidRPr="000E6093">
              <w:rPr>
                <w:rFonts w:ascii="Arial" w:hAnsi="Arial" w:cs="Arial"/>
              </w:rPr>
              <w:t xml:space="preserve">for children </w:t>
            </w:r>
            <w:r w:rsidR="00810E6A" w:rsidRPr="000E6093">
              <w:rPr>
                <w:rFonts w:ascii="Arial" w:hAnsi="Arial" w:cs="Arial"/>
              </w:rPr>
              <w:t>over time</w:t>
            </w:r>
          </w:p>
          <w:p w14:paraId="00107550" w14:textId="2EE6DA79" w:rsidR="003814DF" w:rsidRPr="000E6093" w:rsidRDefault="00810E6A" w:rsidP="005E736D">
            <w:pPr>
              <w:spacing w:after="0" w:line="240" w:lineRule="auto"/>
              <w:rPr>
                <w:rFonts w:ascii="Arial" w:hAnsi="Arial" w:cs="Arial"/>
              </w:rPr>
            </w:pPr>
            <w:r w:rsidRPr="000E6093">
              <w:rPr>
                <w:rFonts w:ascii="Arial" w:hAnsi="Arial" w:cs="Arial"/>
              </w:rPr>
              <w:t xml:space="preserve">To </w:t>
            </w:r>
            <w:r w:rsidR="004E7C1F" w:rsidRPr="000E6093">
              <w:rPr>
                <w:rFonts w:ascii="Arial" w:hAnsi="Arial" w:cs="Arial"/>
              </w:rPr>
              <w:t>identify variation in antibiotic prescribing for children over time</w:t>
            </w:r>
          </w:p>
        </w:tc>
      </w:tr>
      <w:tr w:rsidR="000E0FEF" w:rsidRPr="000E6093" w14:paraId="5B706569" w14:textId="77777777" w:rsidTr="008E0282">
        <w:tc>
          <w:tcPr>
            <w:tcW w:w="534" w:type="dxa"/>
            <w:shd w:val="clear" w:color="auto" w:fill="auto"/>
          </w:tcPr>
          <w:p w14:paraId="1B836CF0" w14:textId="77777777" w:rsidR="000E0FEF" w:rsidRPr="000E6093" w:rsidRDefault="000E0FEF" w:rsidP="005E736D">
            <w:pPr>
              <w:spacing w:after="0" w:line="240" w:lineRule="auto"/>
              <w:rPr>
                <w:rFonts w:ascii="Arial" w:hAnsi="Arial" w:cs="Arial"/>
              </w:rPr>
            </w:pPr>
            <w:r w:rsidRPr="000E6093">
              <w:rPr>
                <w:rFonts w:ascii="Arial" w:hAnsi="Arial" w:cs="Arial"/>
              </w:rPr>
              <w:t>2.2</w:t>
            </w:r>
          </w:p>
          <w:p w14:paraId="1BF6F7FE" w14:textId="77777777" w:rsidR="000E0FEF" w:rsidRPr="000E6093" w:rsidRDefault="000E0FEF" w:rsidP="005E736D">
            <w:pPr>
              <w:spacing w:after="0" w:line="240" w:lineRule="auto"/>
              <w:rPr>
                <w:rFonts w:ascii="Arial" w:hAnsi="Arial" w:cs="Arial"/>
              </w:rPr>
            </w:pPr>
          </w:p>
        </w:tc>
        <w:tc>
          <w:tcPr>
            <w:tcW w:w="1701" w:type="dxa"/>
            <w:shd w:val="clear" w:color="auto" w:fill="D9D9D9"/>
          </w:tcPr>
          <w:p w14:paraId="6C949380" w14:textId="77777777" w:rsidR="000E0FEF" w:rsidRPr="000E6093" w:rsidRDefault="000E0FEF" w:rsidP="005E736D">
            <w:pPr>
              <w:spacing w:after="0" w:line="240" w:lineRule="auto"/>
              <w:rPr>
                <w:rFonts w:ascii="Arial" w:hAnsi="Arial" w:cs="Arial"/>
                <w:b/>
              </w:rPr>
            </w:pPr>
            <w:r w:rsidRPr="000E6093">
              <w:rPr>
                <w:rFonts w:ascii="Arial" w:hAnsi="Arial" w:cs="Arial"/>
                <w:b/>
              </w:rPr>
              <w:t>Evidence and Policy Base</w:t>
            </w:r>
          </w:p>
        </w:tc>
        <w:tc>
          <w:tcPr>
            <w:tcW w:w="7654" w:type="dxa"/>
            <w:shd w:val="clear" w:color="auto" w:fill="auto"/>
          </w:tcPr>
          <w:p w14:paraId="4A99E3BF" w14:textId="5568E932" w:rsidR="000A4074" w:rsidRPr="000E6093" w:rsidRDefault="00B709C3" w:rsidP="000A4074">
            <w:pPr>
              <w:autoSpaceDE w:val="0"/>
              <w:autoSpaceDN w:val="0"/>
              <w:spacing w:after="0" w:line="240" w:lineRule="auto"/>
              <w:jc w:val="both"/>
              <w:rPr>
                <w:rFonts w:ascii="Arial" w:hAnsi="Arial" w:cs="Arial"/>
              </w:rPr>
            </w:pPr>
            <w:r w:rsidRPr="000E6093">
              <w:rPr>
                <w:rFonts w:ascii="Arial" w:hAnsi="Arial" w:cs="Arial"/>
              </w:rPr>
              <w:t>T</w:t>
            </w:r>
            <w:r w:rsidR="000A4074" w:rsidRPr="000E6093">
              <w:rPr>
                <w:rFonts w:ascii="Arial" w:hAnsi="Arial" w:cs="Arial"/>
              </w:rPr>
              <w:t xml:space="preserve">he </w:t>
            </w:r>
            <w:hyperlink r:id="rId22" w:history="1">
              <w:r w:rsidR="000A4074" w:rsidRPr="000E6093">
                <w:rPr>
                  <w:rStyle w:val="Hyperlink"/>
                  <w:rFonts w:ascii="Arial" w:hAnsi="Arial" w:cs="Arial"/>
                </w:rPr>
                <w:t>UK 5-year action plan: Tackling antimicrobial resistance 2019 to 2024</w:t>
              </w:r>
            </w:hyperlink>
            <w:r w:rsidRPr="000E6093">
              <w:rPr>
                <w:rFonts w:ascii="Arial" w:hAnsi="Arial" w:cs="Arial"/>
              </w:rPr>
              <w:t xml:space="preserve"> includes an ambition to reduce antibiotic prescribing in humans by 15% by 2024, and a 25% reduction in antibiotic use in the community.</w:t>
            </w:r>
          </w:p>
          <w:p w14:paraId="34C709AB" w14:textId="30C4D71C" w:rsidR="006302E2" w:rsidRPr="000E6093" w:rsidRDefault="00C66708" w:rsidP="000A4074">
            <w:pPr>
              <w:autoSpaceDE w:val="0"/>
              <w:autoSpaceDN w:val="0"/>
              <w:spacing w:after="0" w:line="240" w:lineRule="auto"/>
              <w:jc w:val="both"/>
              <w:rPr>
                <w:rFonts w:ascii="Arial" w:hAnsi="Arial" w:cs="Arial"/>
              </w:rPr>
            </w:pPr>
            <w:r w:rsidRPr="000E6093">
              <w:rPr>
                <w:rFonts w:ascii="Arial" w:hAnsi="Arial" w:cs="Arial"/>
              </w:rPr>
              <w:t xml:space="preserve">Delivery of these ambitions are supported in </w:t>
            </w:r>
            <w:r w:rsidR="007B5438" w:rsidRPr="000E6093">
              <w:rPr>
                <w:rFonts w:ascii="Arial" w:hAnsi="Arial" w:cs="Arial"/>
              </w:rPr>
              <w:t xml:space="preserve">the </w:t>
            </w:r>
            <w:hyperlink r:id="rId23" w:history="1">
              <w:r w:rsidR="007B5438" w:rsidRPr="000E6093">
                <w:rPr>
                  <w:rStyle w:val="Hyperlink"/>
                  <w:rFonts w:ascii="Arial" w:hAnsi="Arial" w:cs="Arial"/>
                </w:rPr>
                <w:t>NHS Long Term Plan</w:t>
              </w:r>
            </w:hyperlink>
            <w:r w:rsidR="007B5438" w:rsidRPr="000E6093">
              <w:rPr>
                <w:rFonts w:ascii="Arial" w:hAnsi="Arial" w:cs="Arial"/>
              </w:rPr>
              <w:t xml:space="preserve"> an</w:t>
            </w:r>
            <w:r w:rsidR="008D3F1E" w:rsidRPr="000E6093">
              <w:rPr>
                <w:rFonts w:ascii="Arial" w:hAnsi="Arial" w:cs="Arial"/>
              </w:rPr>
              <w:t>d</w:t>
            </w:r>
            <w:r w:rsidR="00707E3E" w:rsidRPr="000E6093">
              <w:rPr>
                <w:rFonts w:ascii="Arial" w:hAnsi="Arial" w:cs="Arial"/>
              </w:rPr>
              <w:t xml:space="preserve"> implementation is led by the NHS</w:t>
            </w:r>
            <w:r w:rsidR="00C25AFD" w:rsidRPr="000E6093">
              <w:rPr>
                <w:rFonts w:ascii="Arial" w:hAnsi="Arial" w:cs="Arial"/>
              </w:rPr>
              <w:t xml:space="preserve"> England and NHS Improvement</w:t>
            </w:r>
            <w:r w:rsidR="00707E3E" w:rsidRPr="000E6093">
              <w:rPr>
                <w:rFonts w:ascii="Arial" w:hAnsi="Arial" w:cs="Arial"/>
              </w:rPr>
              <w:t xml:space="preserve"> Antimicrobial Resistance (AMR) programme</w:t>
            </w:r>
            <w:r w:rsidR="00B977BB" w:rsidRPr="000E6093">
              <w:rPr>
                <w:rFonts w:ascii="Arial" w:hAnsi="Arial" w:cs="Arial"/>
              </w:rPr>
              <w:t xml:space="preserve"> and integrated into NHS policies.</w:t>
            </w:r>
          </w:p>
          <w:p w14:paraId="1AEB999A" w14:textId="4AA6FD79" w:rsidR="000A4074" w:rsidRPr="000E6093" w:rsidRDefault="00593B60" w:rsidP="00BA1DB9">
            <w:pPr>
              <w:autoSpaceDE w:val="0"/>
              <w:autoSpaceDN w:val="0"/>
              <w:spacing w:after="0" w:line="240" w:lineRule="auto"/>
              <w:jc w:val="both"/>
              <w:rPr>
                <w:rFonts w:ascii="Arial" w:hAnsi="Arial" w:cs="Arial"/>
              </w:rPr>
            </w:pPr>
            <w:hyperlink r:id="rId24" w:history="1">
              <w:r w:rsidR="00B709C3" w:rsidRPr="000E6093">
                <w:rPr>
                  <w:rStyle w:val="Hyperlink"/>
                  <w:rFonts w:ascii="Arial" w:hAnsi="Arial" w:cs="Arial"/>
                </w:rPr>
                <w:t>NICE</w:t>
              </w:r>
            </w:hyperlink>
            <w:r w:rsidR="00B709C3" w:rsidRPr="000E6093">
              <w:rPr>
                <w:rFonts w:ascii="Arial" w:hAnsi="Arial" w:cs="Arial"/>
              </w:rPr>
              <w:t xml:space="preserve"> publish antimicrobial prescribing guidelines for a variety of common infections and recommend appropriate use of antibiotics</w:t>
            </w:r>
            <w:r w:rsidR="007B186F" w:rsidRPr="000E6093">
              <w:rPr>
                <w:rFonts w:ascii="Arial" w:hAnsi="Arial" w:cs="Arial"/>
              </w:rPr>
              <w:t>.</w:t>
            </w:r>
            <w:r w:rsidR="00B709C3" w:rsidRPr="000E6093">
              <w:rPr>
                <w:rFonts w:ascii="Arial" w:hAnsi="Arial" w:cs="Arial"/>
              </w:rPr>
              <w:t xml:space="preserve"> </w:t>
            </w:r>
          </w:p>
        </w:tc>
      </w:tr>
    </w:tbl>
    <w:p w14:paraId="01EF5D64" w14:textId="65766736" w:rsidR="008A6C13" w:rsidRPr="000E6093" w:rsidRDefault="008A6C13" w:rsidP="008A139B">
      <w:pPr>
        <w:pStyle w:val="Heading2"/>
        <w:rPr>
          <w:rFonts w:cs="Arial"/>
          <w:sz w:val="22"/>
          <w:szCs w:val="22"/>
        </w:rPr>
      </w:pPr>
      <w:bookmarkStart w:id="71" w:name="_Toc473636488"/>
      <w:bookmarkStart w:id="72" w:name="_Toc474398588"/>
      <w:bookmarkStart w:id="73" w:name="_Toc475027487"/>
    </w:p>
    <w:p w14:paraId="56DE7C8D" w14:textId="77777777" w:rsidR="00CF2715" w:rsidRPr="000E6093" w:rsidRDefault="008A6C13" w:rsidP="00CF2715">
      <w:pPr>
        <w:pStyle w:val="Heading2"/>
        <w:rPr>
          <w:rFonts w:cs="Arial"/>
          <w:sz w:val="22"/>
          <w:szCs w:val="22"/>
        </w:rPr>
      </w:pPr>
      <w:r w:rsidRPr="000E6093">
        <w:rPr>
          <w:rFonts w:cs="Arial"/>
          <w:sz w:val="22"/>
          <w:szCs w:val="22"/>
        </w:rPr>
        <w:br w:type="page"/>
      </w:r>
      <w:bookmarkStart w:id="74" w:name="_Toc82592083"/>
      <w:r w:rsidR="006D008C" w:rsidRPr="000E6093">
        <w:rPr>
          <w:rFonts w:cs="Arial"/>
          <w:sz w:val="22"/>
          <w:szCs w:val="22"/>
        </w:rPr>
        <w:lastRenderedPageBreak/>
        <w:t>ASC02 – Number of children prescribed antibiotics per 1,000 children</w:t>
      </w:r>
      <w:bookmarkEnd w:id="74"/>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0E6093" w14:paraId="7B244226" w14:textId="77777777" w:rsidTr="003869D2">
        <w:tc>
          <w:tcPr>
            <w:tcW w:w="9889" w:type="dxa"/>
            <w:gridSpan w:val="3"/>
            <w:shd w:val="clear" w:color="auto" w:fill="D9D9D9"/>
          </w:tcPr>
          <w:p w14:paraId="305D020C" w14:textId="77777777" w:rsidR="00CF2715" w:rsidRPr="000E6093" w:rsidRDefault="00CF2715" w:rsidP="003869D2">
            <w:pPr>
              <w:spacing w:after="0" w:line="240" w:lineRule="auto"/>
              <w:rPr>
                <w:rFonts w:ascii="Arial" w:hAnsi="Arial" w:cs="Arial"/>
              </w:rPr>
            </w:pPr>
            <w:r w:rsidRPr="000E6093">
              <w:rPr>
                <w:rFonts w:ascii="Arial" w:hAnsi="Arial" w:cs="Arial"/>
                <w:b/>
              </w:rPr>
              <w:t>Section 1: Introduction / Overview</w:t>
            </w:r>
          </w:p>
        </w:tc>
      </w:tr>
      <w:tr w:rsidR="00CF2715" w:rsidRPr="000E6093" w14:paraId="0575FAF2" w14:textId="77777777" w:rsidTr="003869D2">
        <w:trPr>
          <w:trHeight w:val="236"/>
        </w:trPr>
        <w:tc>
          <w:tcPr>
            <w:tcW w:w="534" w:type="dxa"/>
            <w:shd w:val="clear" w:color="auto" w:fill="auto"/>
          </w:tcPr>
          <w:p w14:paraId="390AAA0F" w14:textId="77777777" w:rsidR="00CF2715" w:rsidRPr="000E6093" w:rsidRDefault="00CF2715" w:rsidP="003869D2">
            <w:pPr>
              <w:spacing w:after="0" w:line="240" w:lineRule="auto"/>
              <w:rPr>
                <w:rFonts w:ascii="Arial" w:hAnsi="Arial" w:cs="Arial"/>
              </w:rPr>
            </w:pPr>
            <w:r w:rsidRPr="000E6093">
              <w:rPr>
                <w:rFonts w:ascii="Arial" w:hAnsi="Arial" w:cs="Arial"/>
              </w:rPr>
              <w:t>1.1</w:t>
            </w:r>
          </w:p>
          <w:p w14:paraId="692ADDD5" w14:textId="77777777" w:rsidR="00CF2715" w:rsidRPr="000E6093" w:rsidRDefault="00CF2715" w:rsidP="003869D2">
            <w:pPr>
              <w:spacing w:after="0" w:line="240" w:lineRule="auto"/>
              <w:rPr>
                <w:rFonts w:ascii="Arial" w:hAnsi="Arial" w:cs="Arial"/>
              </w:rPr>
            </w:pPr>
          </w:p>
        </w:tc>
        <w:tc>
          <w:tcPr>
            <w:tcW w:w="1701" w:type="dxa"/>
            <w:tcBorders>
              <w:bottom w:val="single" w:sz="4" w:space="0" w:color="auto"/>
            </w:tcBorders>
            <w:shd w:val="clear" w:color="auto" w:fill="D9D9D9"/>
          </w:tcPr>
          <w:p w14:paraId="2C8D3329" w14:textId="77777777" w:rsidR="00CF2715" w:rsidRPr="000E6093" w:rsidRDefault="00CF2715" w:rsidP="003869D2">
            <w:pPr>
              <w:spacing w:after="0" w:line="240" w:lineRule="auto"/>
              <w:rPr>
                <w:rFonts w:ascii="Arial" w:hAnsi="Arial" w:cs="Arial"/>
                <w:b/>
              </w:rPr>
            </w:pPr>
            <w:r w:rsidRPr="000E6093">
              <w:rPr>
                <w:rFonts w:ascii="Arial" w:hAnsi="Arial" w:cs="Arial"/>
                <w:b/>
              </w:rPr>
              <w:t>Title</w:t>
            </w:r>
          </w:p>
        </w:tc>
        <w:tc>
          <w:tcPr>
            <w:tcW w:w="7654" w:type="dxa"/>
            <w:shd w:val="clear" w:color="auto" w:fill="auto"/>
          </w:tcPr>
          <w:p w14:paraId="3FF06C42" w14:textId="77777777" w:rsidR="00CF2715" w:rsidRPr="000E6093" w:rsidRDefault="006D008C" w:rsidP="003869D2">
            <w:pPr>
              <w:spacing w:after="0" w:line="240" w:lineRule="auto"/>
              <w:rPr>
                <w:rFonts w:ascii="Arial" w:hAnsi="Arial" w:cs="Arial"/>
              </w:rPr>
            </w:pPr>
            <w:r w:rsidRPr="000E6093">
              <w:rPr>
                <w:rFonts w:ascii="Arial" w:hAnsi="Arial" w:cs="Arial"/>
              </w:rPr>
              <w:t>ASC02 – Number of children prescribed antibiotics per 1,000 children</w:t>
            </w:r>
          </w:p>
        </w:tc>
      </w:tr>
      <w:tr w:rsidR="000E0FEF" w:rsidRPr="000E6093" w14:paraId="2B34F7DD" w14:textId="77777777" w:rsidTr="003869D2">
        <w:tc>
          <w:tcPr>
            <w:tcW w:w="534" w:type="dxa"/>
            <w:shd w:val="clear" w:color="auto" w:fill="auto"/>
          </w:tcPr>
          <w:p w14:paraId="1A28B6A9" w14:textId="77777777" w:rsidR="000E0FEF" w:rsidRPr="000E6093" w:rsidRDefault="000E0FEF" w:rsidP="003869D2">
            <w:pPr>
              <w:spacing w:after="0" w:line="240" w:lineRule="auto"/>
              <w:rPr>
                <w:rFonts w:ascii="Arial" w:hAnsi="Arial" w:cs="Arial"/>
              </w:rPr>
            </w:pPr>
            <w:r w:rsidRPr="000E6093">
              <w:rPr>
                <w:rFonts w:ascii="Arial" w:hAnsi="Arial" w:cs="Arial"/>
              </w:rPr>
              <w:t>1.2</w:t>
            </w:r>
          </w:p>
        </w:tc>
        <w:tc>
          <w:tcPr>
            <w:tcW w:w="1701" w:type="dxa"/>
            <w:tcBorders>
              <w:top w:val="single" w:sz="4" w:space="0" w:color="auto"/>
              <w:bottom w:val="single" w:sz="4" w:space="0" w:color="auto"/>
            </w:tcBorders>
            <w:shd w:val="clear" w:color="auto" w:fill="D9D9D9"/>
          </w:tcPr>
          <w:p w14:paraId="26F43355" w14:textId="77777777" w:rsidR="000E0FEF" w:rsidRPr="000E6093" w:rsidRDefault="000E0FEF" w:rsidP="003869D2">
            <w:pPr>
              <w:spacing w:after="0" w:line="240" w:lineRule="auto"/>
              <w:rPr>
                <w:rFonts w:ascii="Arial" w:hAnsi="Arial" w:cs="Arial"/>
                <w:b/>
              </w:rPr>
            </w:pPr>
            <w:r w:rsidRPr="000E6093">
              <w:rPr>
                <w:rFonts w:ascii="Arial" w:hAnsi="Arial" w:cs="Arial"/>
                <w:b/>
              </w:rPr>
              <w:t>Definition</w:t>
            </w:r>
          </w:p>
        </w:tc>
        <w:tc>
          <w:tcPr>
            <w:tcW w:w="7654" w:type="dxa"/>
            <w:shd w:val="clear" w:color="auto" w:fill="auto"/>
          </w:tcPr>
          <w:p w14:paraId="016217BA" w14:textId="77777777" w:rsidR="000E0FEF" w:rsidRPr="000E6093" w:rsidRDefault="006D008C" w:rsidP="00EB75DD">
            <w:pPr>
              <w:spacing w:after="0" w:line="240" w:lineRule="auto"/>
              <w:rPr>
                <w:rFonts w:ascii="Arial" w:hAnsi="Arial" w:cs="Arial"/>
              </w:rPr>
            </w:pPr>
            <w:r w:rsidRPr="000E6093">
              <w:rPr>
                <w:rFonts w:ascii="Arial" w:hAnsi="Arial" w:cs="Arial"/>
              </w:rPr>
              <w:t>Number of children prescribed at least one antibiotic divided by the number of children on registered list size multiplied by 1,000 for each age band</w:t>
            </w:r>
          </w:p>
        </w:tc>
      </w:tr>
      <w:tr w:rsidR="000E0FEF" w:rsidRPr="000E6093" w14:paraId="1D582E0D" w14:textId="77777777" w:rsidTr="003869D2">
        <w:trPr>
          <w:trHeight w:val="628"/>
        </w:trPr>
        <w:tc>
          <w:tcPr>
            <w:tcW w:w="534" w:type="dxa"/>
            <w:shd w:val="clear" w:color="auto" w:fill="auto"/>
          </w:tcPr>
          <w:p w14:paraId="2A15A318" w14:textId="77777777" w:rsidR="000E0FEF" w:rsidRPr="000E6093" w:rsidRDefault="000E0FEF" w:rsidP="003869D2">
            <w:pPr>
              <w:spacing w:after="0" w:line="240" w:lineRule="auto"/>
              <w:rPr>
                <w:rFonts w:ascii="Arial" w:hAnsi="Arial" w:cs="Arial"/>
              </w:rPr>
            </w:pPr>
            <w:r w:rsidRPr="000E6093">
              <w:rPr>
                <w:rFonts w:ascii="Arial" w:hAnsi="Arial" w:cs="Arial"/>
              </w:rPr>
              <w:t>1.3</w:t>
            </w:r>
          </w:p>
        </w:tc>
        <w:tc>
          <w:tcPr>
            <w:tcW w:w="1701" w:type="dxa"/>
            <w:tcBorders>
              <w:top w:val="single" w:sz="4" w:space="0" w:color="auto"/>
              <w:bottom w:val="single" w:sz="4" w:space="0" w:color="auto"/>
            </w:tcBorders>
            <w:shd w:val="clear" w:color="auto" w:fill="D9D9D9"/>
          </w:tcPr>
          <w:p w14:paraId="1B1E8B7A" w14:textId="77777777" w:rsidR="000E0FEF" w:rsidRPr="000E6093" w:rsidRDefault="000E0FEF" w:rsidP="003869D2">
            <w:pPr>
              <w:spacing w:after="0" w:line="240" w:lineRule="auto"/>
              <w:rPr>
                <w:rFonts w:ascii="Arial" w:hAnsi="Arial" w:cs="Arial"/>
                <w:b/>
              </w:rPr>
            </w:pPr>
            <w:r w:rsidRPr="000E6093">
              <w:rPr>
                <w:rFonts w:ascii="Arial" w:hAnsi="Arial" w:cs="Arial"/>
                <w:b/>
              </w:rPr>
              <w:t>Reporting Level</w:t>
            </w:r>
          </w:p>
        </w:tc>
        <w:tc>
          <w:tcPr>
            <w:tcW w:w="7654" w:type="dxa"/>
            <w:shd w:val="clear" w:color="auto" w:fill="auto"/>
          </w:tcPr>
          <w:p w14:paraId="7DD9888B" w14:textId="77777777" w:rsidR="000E0FEF" w:rsidRPr="000E6093" w:rsidRDefault="00796DA5" w:rsidP="003869D2">
            <w:pPr>
              <w:spacing w:after="0" w:line="240" w:lineRule="auto"/>
              <w:rPr>
                <w:rFonts w:ascii="Arial" w:hAnsi="Arial" w:cs="Arial"/>
                <w:color w:val="FF0000"/>
              </w:rPr>
            </w:pPr>
            <w:r w:rsidRPr="000E6093">
              <w:rPr>
                <w:rFonts w:ascii="Arial" w:hAnsi="Arial" w:cs="Arial"/>
              </w:rPr>
              <w:t>GP Practice/Cost Centre level (aggregated to PCN, CCG, STP, Regional and England level)</w:t>
            </w:r>
          </w:p>
        </w:tc>
      </w:tr>
      <w:tr w:rsidR="000E0FEF" w:rsidRPr="000E6093" w14:paraId="2E966C27" w14:textId="77777777" w:rsidTr="006D008C">
        <w:trPr>
          <w:trHeight w:val="1366"/>
        </w:trPr>
        <w:tc>
          <w:tcPr>
            <w:tcW w:w="534" w:type="dxa"/>
            <w:shd w:val="clear" w:color="auto" w:fill="auto"/>
          </w:tcPr>
          <w:p w14:paraId="5AEB7A05" w14:textId="77777777" w:rsidR="000E0FEF" w:rsidRPr="000E6093" w:rsidRDefault="000E0FEF" w:rsidP="003869D2">
            <w:pPr>
              <w:spacing w:after="0" w:line="240" w:lineRule="auto"/>
              <w:rPr>
                <w:rFonts w:ascii="Arial" w:hAnsi="Arial" w:cs="Arial"/>
              </w:rPr>
            </w:pPr>
            <w:r w:rsidRPr="000E6093">
              <w:rPr>
                <w:rFonts w:ascii="Arial" w:hAnsi="Arial" w:cs="Arial"/>
              </w:rPr>
              <w:t>1.4</w:t>
            </w:r>
          </w:p>
        </w:tc>
        <w:tc>
          <w:tcPr>
            <w:tcW w:w="1701" w:type="dxa"/>
            <w:tcBorders>
              <w:top w:val="single" w:sz="4" w:space="0" w:color="auto"/>
              <w:bottom w:val="single" w:sz="4" w:space="0" w:color="auto"/>
            </w:tcBorders>
            <w:shd w:val="clear" w:color="auto" w:fill="D9D9D9"/>
          </w:tcPr>
          <w:p w14:paraId="16B4EEBB" w14:textId="77777777" w:rsidR="000E0FEF" w:rsidRPr="000E6093" w:rsidRDefault="000E0FEF" w:rsidP="003869D2">
            <w:pPr>
              <w:spacing w:after="0" w:line="240" w:lineRule="auto"/>
              <w:rPr>
                <w:rFonts w:ascii="Arial" w:hAnsi="Arial" w:cs="Arial"/>
                <w:b/>
              </w:rPr>
            </w:pPr>
            <w:r w:rsidRPr="000E6093">
              <w:rPr>
                <w:rFonts w:ascii="Arial" w:hAnsi="Arial" w:cs="Arial"/>
                <w:b/>
              </w:rPr>
              <w:t>Numerator</w:t>
            </w:r>
          </w:p>
        </w:tc>
        <w:tc>
          <w:tcPr>
            <w:tcW w:w="7654" w:type="dxa"/>
            <w:shd w:val="clear" w:color="auto" w:fill="auto"/>
          </w:tcPr>
          <w:p w14:paraId="36373867" w14:textId="77777777" w:rsidR="007C2F4D" w:rsidRPr="000E6093" w:rsidRDefault="00997DDA" w:rsidP="007C2F4D">
            <w:pPr>
              <w:spacing w:after="0" w:line="240" w:lineRule="auto"/>
              <w:rPr>
                <w:rFonts w:ascii="Arial" w:hAnsi="Arial" w:cs="Arial"/>
              </w:rPr>
            </w:pPr>
            <w:r w:rsidRPr="000E6093">
              <w:rPr>
                <w:rFonts w:ascii="Arial" w:hAnsi="Arial" w:cs="Arial"/>
              </w:rPr>
              <w:t>Number of children for each age band prescribed at least one of the following drugs</w:t>
            </w:r>
          </w:p>
          <w:p w14:paraId="7F7B914B" w14:textId="77777777" w:rsidR="00997DDA" w:rsidRPr="000E6093" w:rsidRDefault="00997DDA" w:rsidP="007C2F4D">
            <w:pPr>
              <w:spacing w:after="0" w:line="240" w:lineRule="auto"/>
              <w:rPr>
                <w:rFonts w:ascii="Arial" w:hAnsi="Arial" w:cs="Arial"/>
              </w:rPr>
            </w:pPr>
          </w:p>
          <w:tbl>
            <w:tblPr>
              <w:tblW w:w="7280" w:type="dxa"/>
              <w:tblLayout w:type="fixed"/>
              <w:tblLook w:val="04A0" w:firstRow="1" w:lastRow="0" w:firstColumn="1" w:lastColumn="0" w:noHBand="0" w:noVBand="1"/>
            </w:tblPr>
            <w:tblGrid>
              <w:gridCol w:w="3640"/>
              <w:gridCol w:w="3640"/>
            </w:tblGrid>
            <w:tr w:rsidR="006D008C" w:rsidRPr="000E6093" w14:paraId="2C7D1692" w14:textId="77777777" w:rsidTr="002223E1">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4281EE32" w14:textId="77777777" w:rsidR="006D008C" w:rsidRPr="000E6093" w:rsidRDefault="006D008C" w:rsidP="002223E1">
                  <w:pPr>
                    <w:spacing w:after="0" w:line="240" w:lineRule="auto"/>
                    <w:rPr>
                      <w:rFonts w:ascii="Arial" w:eastAsia="Times New Roman" w:hAnsi="Arial" w:cs="Arial"/>
                      <w:b/>
                      <w:bCs/>
                      <w:color w:val="000000"/>
                      <w:lang w:eastAsia="en-GB"/>
                    </w:rPr>
                  </w:pPr>
                  <w:r w:rsidRPr="000E6093">
                    <w:rPr>
                      <w:rFonts w:ascii="Arial" w:eastAsia="Times New Roman" w:hAnsi="Arial" w:cs="Arial"/>
                      <w:b/>
                      <w:bCs/>
                      <w:color w:val="000000"/>
                      <w:lang w:eastAsia="en-GB"/>
                    </w:rPr>
                    <w:t>BNF Section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0D9BC910" w14:textId="77777777" w:rsidR="006D008C" w:rsidRPr="000E6093" w:rsidRDefault="006D008C" w:rsidP="002223E1">
                  <w:pPr>
                    <w:spacing w:after="0" w:line="240" w:lineRule="auto"/>
                    <w:rPr>
                      <w:rFonts w:ascii="Arial" w:eastAsia="Times New Roman" w:hAnsi="Arial" w:cs="Arial"/>
                      <w:b/>
                      <w:bCs/>
                      <w:color w:val="000000"/>
                      <w:lang w:eastAsia="en-GB"/>
                    </w:rPr>
                  </w:pPr>
                  <w:r w:rsidRPr="000E6093">
                    <w:rPr>
                      <w:rFonts w:ascii="Arial" w:eastAsia="Times New Roman" w:hAnsi="Arial" w:cs="Arial"/>
                      <w:b/>
                      <w:bCs/>
                      <w:color w:val="000000"/>
                      <w:lang w:eastAsia="en-GB"/>
                    </w:rPr>
                    <w:t>BNF Code</w:t>
                  </w:r>
                </w:p>
              </w:tc>
            </w:tr>
            <w:tr w:rsidR="006D008C" w:rsidRPr="000E6093" w14:paraId="0F925E2A" w14:textId="77777777" w:rsidTr="002223E1">
              <w:trPr>
                <w:trHeight w:val="255"/>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tcPr>
                <w:p w14:paraId="55D7BBE0" w14:textId="77777777" w:rsidR="006D008C" w:rsidRPr="000E6093" w:rsidRDefault="006D008C" w:rsidP="002223E1">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Antibacterial Drugs</w:t>
                  </w:r>
                </w:p>
              </w:tc>
              <w:tc>
                <w:tcPr>
                  <w:tcW w:w="3640" w:type="dxa"/>
                  <w:tcBorders>
                    <w:top w:val="single" w:sz="4" w:space="0" w:color="auto"/>
                    <w:left w:val="nil"/>
                    <w:bottom w:val="single" w:sz="4" w:space="0" w:color="auto"/>
                    <w:right w:val="single" w:sz="8" w:space="0" w:color="auto"/>
                  </w:tcBorders>
                  <w:shd w:val="clear" w:color="auto" w:fill="auto"/>
                  <w:vAlign w:val="center"/>
                </w:tcPr>
                <w:p w14:paraId="504F5C3D" w14:textId="77777777" w:rsidR="006D008C" w:rsidRPr="000E6093" w:rsidRDefault="006D008C" w:rsidP="002223E1">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w:t>
                  </w:r>
                </w:p>
              </w:tc>
            </w:tr>
          </w:tbl>
          <w:p w14:paraId="7D33281A" w14:textId="77777777" w:rsidR="007C2F4D" w:rsidRPr="000E6093" w:rsidRDefault="007C2F4D" w:rsidP="007C2F4D">
            <w:pPr>
              <w:spacing w:after="0" w:line="240" w:lineRule="auto"/>
              <w:rPr>
                <w:rFonts w:ascii="Arial" w:hAnsi="Arial" w:cs="Arial"/>
              </w:rPr>
            </w:pPr>
          </w:p>
        </w:tc>
      </w:tr>
      <w:tr w:rsidR="000E0FEF" w:rsidRPr="000E6093" w14:paraId="45BD1A0B" w14:textId="77777777" w:rsidTr="003869D2">
        <w:trPr>
          <w:trHeight w:val="597"/>
        </w:trPr>
        <w:tc>
          <w:tcPr>
            <w:tcW w:w="534" w:type="dxa"/>
            <w:shd w:val="clear" w:color="auto" w:fill="auto"/>
          </w:tcPr>
          <w:p w14:paraId="5BBFCDA3" w14:textId="77777777" w:rsidR="000E0FEF" w:rsidRPr="000E6093" w:rsidRDefault="000E0FEF" w:rsidP="003869D2">
            <w:pPr>
              <w:spacing w:after="0" w:line="240" w:lineRule="auto"/>
              <w:rPr>
                <w:rFonts w:ascii="Arial" w:hAnsi="Arial" w:cs="Arial"/>
              </w:rPr>
            </w:pPr>
            <w:r w:rsidRPr="000E6093">
              <w:rPr>
                <w:rFonts w:ascii="Arial" w:hAnsi="Arial" w:cs="Arial"/>
              </w:rPr>
              <w:t>1.5</w:t>
            </w:r>
          </w:p>
        </w:tc>
        <w:tc>
          <w:tcPr>
            <w:tcW w:w="1701" w:type="dxa"/>
            <w:tcBorders>
              <w:top w:val="single" w:sz="4" w:space="0" w:color="auto"/>
              <w:bottom w:val="single" w:sz="4" w:space="0" w:color="auto"/>
            </w:tcBorders>
            <w:shd w:val="clear" w:color="auto" w:fill="D9D9D9"/>
          </w:tcPr>
          <w:p w14:paraId="6840CC44" w14:textId="77777777" w:rsidR="000E0FEF" w:rsidRPr="000E6093" w:rsidRDefault="000E0FEF" w:rsidP="003869D2">
            <w:pPr>
              <w:spacing w:after="0" w:line="240" w:lineRule="auto"/>
              <w:rPr>
                <w:rFonts w:ascii="Arial" w:hAnsi="Arial" w:cs="Arial"/>
                <w:b/>
              </w:rPr>
            </w:pPr>
            <w:r w:rsidRPr="000E6093">
              <w:rPr>
                <w:rFonts w:ascii="Arial" w:hAnsi="Arial" w:cs="Arial"/>
                <w:b/>
              </w:rPr>
              <w:t>Denominator</w:t>
            </w:r>
          </w:p>
        </w:tc>
        <w:tc>
          <w:tcPr>
            <w:tcW w:w="7654" w:type="dxa"/>
            <w:shd w:val="clear" w:color="auto" w:fill="auto"/>
          </w:tcPr>
          <w:p w14:paraId="18E935AE" w14:textId="77777777" w:rsidR="000E0FEF" w:rsidRPr="000E6093" w:rsidRDefault="00997DDA" w:rsidP="003869D2">
            <w:pPr>
              <w:spacing w:after="0" w:line="240" w:lineRule="auto"/>
              <w:rPr>
                <w:rFonts w:ascii="Arial" w:hAnsi="Arial" w:cs="Arial"/>
              </w:rPr>
            </w:pPr>
            <w:r w:rsidRPr="000E6093">
              <w:rPr>
                <w:rFonts w:ascii="Arial" w:hAnsi="Arial" w:cs="Arial"/>
              </w:rPr>
              <w:t>Number of children on registered list size for the selected age band.</w:t>
            </w:r>
          </w:p>
        </w:tc>
      </w:tr>
      <w:tr w:rsidR="000E0FEF" w:rsidRPr="000E6093" w14:paraId="43AD99CB" w14:textId="77777777" w:rsidTr="003869D2">
        <w:tc>
          <w:tcPr>
            <w:tcW w:w="534" w:type="dxa"/>
            <w:shd w:val="clear" w:color="auto" w:fill="auto"/>
          </w:tcPr>
          <w:p w14:paraId="029CFCEE" w14:textId="77777777" w:rsidR="000E0FEF" w:rsidRPr="000E6093" w:rsidRDefault="000E0FEF" w:rsidP="003869D2">
            <w:pPr>
              <w:spacing w:after="0" w:line="240" w:lineRule="auto"/>
              <w:rPr>
                <w:rFonts w:ascii="Arial" w:hAnsi="Arial" w:cs="Arial"/>
              </w:rPr>
            </w:pPr>
            <w:r w:rsidRPr="000E6093">
              <w:rPr>
                <w:rFonts w:ascii="Arial" w:hAnsi="Arial" w:cs="Arial"/>
              </w:rPr>
              <w:t>1.6</w:t>
            </w:r>
          </w:p>
        </w:tc>
        <w:tc>
          <w:tcPr>
            <w:tcW w:w="1701" w:type="dxa"/>
            <w:tcBorders>
              <w:top w:val="single" w:sz="4" w:space="0" w:color="auto"/>
            </w:tcBorders>
            <w:shd w:val="clear" w:color="auto" w:fill="D9D9D9"/>
          </w:tcPr>
          <w:p w14:paraId="5B9FDD46" w14:textId="77777777" w:rsidR="000E0FEF" w:rsidRPr="000E6093" w:rsidRDefault="000E0FEF" w:rsidP="003869D2">
            <w:pPr>
              <w:spacing w:after="0" w:line="240" w:lineRule="auto"/>
              <w:rPr>
                <w:rFonts w:ascii="Arial" w:hAnsi="Arial" w:cs="Arial"/>
                <w:b/>
              </w:rPr>
            </w:pPr>
            <w:r w:rsidRPr="000E6093">
              <w:rPr>
                <w:rFonts w:ascii="Arial" w:hAnsi="Arial" w:cs="Arial"/>
                <w:b/>
              </w:rPr>
              <w:t>Methodology</w:t>
            </w:r>
          </w:p>
        </w:tc>
        <w:tc>
          <w:tcPr>
            <w:tcW w:w="7654" w:type="dxa"/>
            <w:shd w:val="clear" w:color="auto" w:fill="auto"/>
          </w:tcPr>
          <w:p w14:paraId="1EF8A3B8" w14:textId="77777777" w:rsidR="000E0FEF" w:rsidRPr="000E6093" w:rsidRDefault="007C2F4D" w:rsidP="003869D2">
            <w:pPr>
              <w:spacing w:after="0" w:line="240" w:lineRule="auto"/>
              <w:rPr>
                <w:rFonts w:ascii="Arial" w:hAnsi="Arial" w:cs="Arial"/>
              </w:rPr>
            </w:pPr>
            <w:r w:rsidRPr="000E6093">
              <w:rPr>
                <w:rFonts w:ascii="Arial" w:hAnsi="Arial" w:cs="Arial"/>
              </w:rPr>
              <w:t>Numerator divided by denominator, multiplied by 1,000</w:t>
            </w:r>
          </w:p>
        </w:tc>
      </w:tr>
      <w:tr w:rsidR="000E0FEF" w:rsidRPr="000E6093" w14:paraId="5944AAB5" w14:textId="77777777" w:rsidTr="003869D2">
        <w:tc>
          <w:tcPr>
            <w:tcW w:w="9889" w:type="dxa"/>
            <w:gridSpan w:val="3"/>
            <w:shd w:val="clear" w:color="auto" w:fill="D9D9D9"/>
          </w:tcPr>
          <w:p w14:paraId="75F1D350" w14:textId="77777777" w:rsidR="000E0FEF" w:rsidRPr="000E6093" w:rsidRDefault="000E0FEF" w:rsidP="003869D2">
            <w:pPr>
              <w:spacing w:after="0" w:line="240" w:lineRule="auto"/>
              <w:rPr>
                <w:rFonts w:ascii="Arial" w:hAnsi="Arial" w:cs="Arial"/>
              </w:rPr>
            </w:pPr>
            <w:r w:rsidRPr="000E6093">
              <w:rPr>
                <w:rFonts w:ascii="Arial" w:hAnsi="Arial" w:cs="Arial"/>
                <w:b/>
              </w:rPr>
              <w:t>Section 2: Rationale</w:t>
            </w:r>
          </w:p>
        </w:tc>
      </w:tr>
      <w:tr w:rsidR="000E0FEF" w:rsidRPr="000E6093" w14:paraId="2DBD4948" w14:textId="77777777" w:rsidTr="003869D2">
        <w:trPr>
          <w:trHeight w:val="558"/>
        </w:trPr>
        <w:tc>
          <w:tcPr>
            <w:tcW w:w="534" w:type="dxa"/>
            <w:shd w:val="clear" w:color="auto" w:fill="auto"/>
          </w:tcPr>
          <w:p w14:paraId="3A55CB54" w14:textId="77777777" w:rsidR="000E0FEF" w:rsidRPr="000E6093" w:rsidRDefault="000E0FEF" w:rsidP="003869D2">
            <w:pPr>
              <w:spacing w:after="0" w:line="240" w:lineRule="auto"/>
              <w:rPr>
                <w:rFonts w:ascii="Arial" w:hAnsi="Arial" w:cs="Arial"/>
              </w:rPr>
            </w:pPr>
            <w:r w:rsidRPr="000E6093">
              <w:rPr>
                <w:rFonts w:ascii="Arial" w:hAnsi="Arial" w:cs="Arial"/>
              </w:rPr>
              <w:t>2.1</w:t>
            </w:r>
          </w:p>
          <w:p w14:paraId="08662CBC" w14:textId="77777777" w:rsidR="000E0FEF" w:rsidRPr="000E6093" w:rsidRDefault="000E0FEF" w:rsidP="003869D2">
            <w:pPr>
              <w:spacing w:after="0" w:line="240" w:lineRule="auto"/>
              <w:rPr>
                <w:rFonts w:ascii="Arial" w:hAnsi="Arial" w:cs="Arial"/>
              </w:rPr>
            </w:pPr>
          </w:p>
        </w:tc>
        <w:tc>
          <w:tcPr>
            <w:tcW w:w="1701" w:type="dxa"/>
            <w:tcBorders>
              <w:bottom w:val="single" w:sz="4" w:space="0" w:color="auto"/>
            </w:tcBorders>
            <w:shd w:val="clear" w:color="auto" w:fill="D9D9D9"/>
          </w:tcPr>
          <w:p w14:paraId="52CEEC42" w14:textId="77777777" w:rsidR="000E0FEF" w:rsidRPr="000E6093" w:rsidRDefault="000E0FEF" w:rsidP="003869D2">
            <w:pPr>
              <w:spacing w:after="0" w:line="240" w:lineRule="auto"/>
              <w:rPr>
                <w:rFonts w:ascii="Arial" w:hAnsi="Arial" w:cs="Arial"/>
                <w:b/>
              </w:rPr>
            </w:pPr>
            <w:r w:rsidRPr="000E6093">
              <w:rPr>
                <w:rFonts w:ascii="Arial" w:hAnsi="Arial" w:cs="Arial"/>
                <w:b/>
              </w:rPr>
              <w:t>Purpose</w:t>
            </w:r>
          </w:p>
        </w:tc>
        <w:tc>
          <w:tcPr>
            <w:tcW w:w="7654" w:type="dxa"/>
            <w:shd w:val="clear" w:color="auto" w:fill="auto"/>
          </w:tcPr>
          <w:p w14:paraId="3499A604" w14:textId="72B64CC0" w:rsidR="008260FF" w:rsidRPr="000E6093" w:rsidRDefault="008260FF" w:rsidP="008260FF">
            <w:pPr>
              <w:spacing w:after="0" w:line="240" w:lineRule="auto"/>
              <w:rPr>
                <w:rFonts w:ascii="Arial" w:hAnsi="Arial" w:cs="Arial"/>
              </w:rPr>
            </w:pPr>
            <w:r w:rsidRPr="000E6093">
              <w:rPr>
                <w:rFonts w:ascii="Arial" w:hAnsi="Arial" w:cs="Arial"/>
              </w:rPr>
              <w:t xml:space="preserve">To identify the </w:t>
            </w:r>
            <w:r w:rsidR="00FA7455" w:rsidRPr="000E6093">
              <w:rPr>
                <w:rFonts w:ascii="Arial" w:hAnsi="Arial" w:cs="Arial"/>
              </w:rPr>
              <w:t xml:space="preserve">proportion of children who are prescribed antibiotics at </w:t>
            </w:r>
            <w:r w:rsidRPr="000E6093">
              <w:rPr>
                <w:rFonts w:ascii="Arial" w:hAnsi="Arial" w:cs="Arial"/>
              </w:rPr>
              <w:t>a defined population level</w:t>
            </w:r>
          </w:p>
          <w:p w14:paraId="56AB4F38" w14:textId="3BB84E5F" w:rsidR="001F1A7F" w:rsidRPr="000E6093" w:rsidRDefault="001F1A7F" w:rsidP="008260FF">
            <w:pPr>
              <w:spacing w:after="0" w:line="240" w:lineRule="auto"/>
              <w:rPr>
                <w:rFonts w:ascii="Arial" w:hAnsi="Arial" w:cs="Arial"/>
              </w:rPr>
            </w:pPr>
            <w:r w:rsidRPr="000E6093">
              <w:rPr>
                <w:rFonts w:ascii="Arial" w:hAnsi="Arial" w:cs="Arial"/>
              </w:rPr>
              <w:t xml:space="preserve">To identify </w:t>
            </w:r>
            <w:r w:rsidR="00914D56" w:rsidRPr="000E6093">
              <w:rPr>
                <w:rFonts w:ascii="Arial" w:hAnsi="Arial" w:cs="Arial"/>
              </w:rPr>
              <w:t xml:space="preserve">variation in </w:t>
            </w:r>
            <w:r w:rsidRPr="000E6093">
              <w:rPr>
                <w:rFonts w:ascii="Arial" w:hAnsi="Arial" w:cs="Arial"/>
              </w:rPr>
              <w:t xml:space="preserve">the proportion of children who are prescribed antibiotics </w:t>
            </w:r>
          </w:p>
          <w:p w14:paraId="0582CA23" w14:textId="53D5A39C" w:rsidR="008260FF" w:rsidRPr="000E6093" w:rsidRDefault="008260FF" w:rsidP="008260FF">
            <w:pPr>
              <w:spacing w:after="0" w:line="240" w:lineRule="auto"/>
              <w:rPr>
                <w:rFonts w:ascii="Arial" w:hAnsi="Arial" w:cs="Arial"/>
              </w:rPr>
            </w:pPr>
            <w:r w:rsidRPr="000E6093">
              <w:rPr>
                <w:rFonts w:ascii="Arial" w:hAnsi="Arial" w:cs="Arial"/>
              </w:rPr>
              <w:t xml:space="preserve">To identify the trend in </w:t>
            </w:r>
            <w:r w:rsidR="004D1397" w:rsidRPr="000E6093">
              <w:rPr>
                <w:rFonts w:ascii="Arial" w:hAnsi="Arial" w:cs="Arial"/>
              </w:rPr>
              <w:t xml:space="preserve">the proportion of </w:t>
            </w:r>
            <w:r w:rsidR="001C3B4D" w:rsidRPr="000E6093">
              <w:rPr>
                <w:rFonts w:ascii="Arial" w:hAnsi="Arial" w:cs="Arial"/>
              </w:rPr>
              <w:t>children who are prescribed antibiotics</w:t>
            </w:r>
            <w:r w:rsidRPr="000E6093">
              <w:rPr>
                <w:rFonts w:ascii="Arial" w:hAnsi="Arial" w:cs="Arial"/>
              </w:rPr>
              <w:t xml:space="preserve"> over time</w:t>
            </w:r>
          </w:p>
          <w:p w14:paraId="674A7026" w14:textId="177F8EAA" w:rsidR="000E0FEF" w:rsidRPr="000E6093" w:rsidRDefault="008260FF" w:rsidP="008260FF">
            <w:pPr>
              <w:spacing w:after="0" w:line="240" w:lineRule="auto"/>
              <w:rPr>
                <w:rFonts w:ascii="Arial" w:hAnsi="Arial" w:cs="Arial"/>
                <w:i/>
                <w:iCs/>
              </w:rPr>
            </w:pPr>
            <w:r w:rsidRPr="000E6093">
              <w:rPr>
                <w:rFonts w:ascii="Arial" w:hAnsi="Arial" w:cs="Arial"/>
              </w:rPr>
              <w:t xml:space="preserve">To identify variation in </w:t>
            </w:r>
            <w:r w:rsidR="001C3B4D" w:rsidRPr="000E6093">
              <w:rPr>
                <w:rFonts w:ascii="Arial" w:hAnsi="Arial" w:cs="Arial"/>
              </w:rPr>
              <w:t xml:space="preserve">the proportion of children who are prescribed </w:t>
            </w:r>
            <w:r w:rsidR="0093580C" w:rsidRPr="000E6093">
              <w:rPr>
                <w:rFonts w:ascii="Arial" w:hAnsi="Arial" w:cs="Arial"/>
              </w:rPr>
              <w:t xml:space="preserve">antibiotics </w:t>
            </w:r>
          </w:p>
        </w:tc>
      </w:tr>
      <w:tr w:rsidR="000E0FEF" w:rsidRPr="000E6093" w14:paraId="1532E9BC" w14:textId="77777777" w:rsidTr="003869D2">
        <w:tc>
          <w:tcPr>
            <w:tcW w:w="534" w:type="dxa"/>
            <w:shd w:val="clear" w:color="auto" w:fill="auto"/>
          </w:tcPr>
          <w:p w14:paraId="51B12313" w14:textId="77777777" w:rsidR="000E0FEF" w:rsidRPr="000E6093" w:rsidRDefault="000E0FEF" w:rsidP="003869D2">
            <w:pPr>
              <w:spacing w:after="0" w:line="240" w:lineRule="auto"/>
              <w:rPr>
                <w:rFonts w:ascii="Arial" w:hAnsi="Arial" w:cs="Arial"/>
              </w:rPr>
            </w:pPr>
            <w:r w:rsidRPr="000E6093">
              <w:rPr>
                <w:rFonts w:ascii="Arial" w:hAnsi="Arial" w:cs="Arial"/>
              </w:rPr>
              <w:t>2.2</w:t>
            </w:r>
          </w:p>
          <w:p w14:paraId="139B7A87" w14:textId="77777777" w:rsidR="000E0FEF" w:rsidRPr="000E6093" w:rsidRDefault="000E0FEF" w:rsidP="003869D2">
            <w:pPr>
              <w:spacing w:after="0" w:line="240" w:lineRule="auto"/>
              <w:rPr>
                <w:rFonts w:ascii="Arial" w:hAnsi="Arial" w:cs="Arial"/>
              </w:rPr>
            </w:pPr>
          </w:p>
        </w:tc>
        <w:tc>
          <w:tcPr>
            <w:tcW w:w="1701" w:type="dxa"/>
            <w:shd w:val="clear" w:color="auto" w:fill="D9D9D9"/>
          </w:tcPr>
          <w:p w14:paraId="4EB852BA" w14:textId="77777777" w:rsidR="000E0FEF" w:rsidRPr="000E6093" w:rsidRDefault="000E0FEF" w:rsidP="003869D2">
            <w:pPr>
              <w:spacing w:after="0" w:line="240" w:lineRule="auto"/>
              <w:rPr>
                <w:rFonts w:ascii="Arial" w:hAnsi="Arial" w:cs="Arial"/>
                <w:b/>
              </w:rPr>
            </w:pPr>
            <w:r w:rsidRPr="000E6093">
              <w:rPr>
                <w:rFonts w:ascii="Arial" w:hAnsi="Arial" w:cs="Arial"/>
                <w:b/>
              </w:rPr>
              <w:t>Evidence and Policy Base</w:t>
            </w:r>
          </w:p>
        </w:tc>
        <w:tc>
          <w:tcPr>
            <w:tcW w:w="7654" w:type="dxa"/>
            <w:shd w:val="clear" w:color="auto" w:fill="auto"/>
          </w:tcPr>
          <w:p w14:paraId="02277A7A" w14:textId="77777777" w:rsidR="006F684E" w:rsidRPr="000E6093" w:rsidRDefault="006F684E" w:rsidP="006F684E">
            <w:pPr>
              <w:autoSpaceDE w:val="0"/>
              <w:autoSpaceDN w:val="0"/>
              <w:spacing w:after="0" w:line="240" w:lineRule="auto"/>
              <w:jc w:val="both"/>
              <w:rPr>
                <w:rFonts w:ascii="Arial" w:hAnsi="Arial" w:cs="Arial"/>
              </w:rPr>
            </w:pPr>
            <w:r w:rsidRPr="000E6093">
              <w:rPr>
                <w:rFonts w:ascii="Arial" w:hAnsi="Arial" w:cs="Arial"/>
              </w:rPr>
              <w:t xml:space="preserve">The </w:t>
            </w:r>
            <w:hyperlink r:id="rId25" w:history="1">
              <w:r w:rsidRPr="000E6093">
                <w:rPr>
                  <w:rStyle w:val="Hyperlink"/>
                  <w:rFonts w:ascii="Arial" w:hAnsi="Arial" w:cs="Arial"/>
                </w:rPr>
                <w:t>UK 5-year action plan: Tackling antimicrobial resistance 2019 to 2024</w:t>
              </w:r>
            </w:hyperlink>
            <w:r w:rsidRPr="000E6093">
              <w:rPr>
                <w:rFonts w:ascii="Arial" w:hAnsi="Arial" w:cs="Arial"/>
              </w:rPr>
              <w:t xml:space="preserve"> includes an ambition to reduce antibiotic prescribing in humans by 15% by 2024, and a 25% reduction in antibiotic use in the community.</w:t>
            </w:r>
          </w:p>
          <w:p w14:paraId="3F92525E" w14:textId="77777777" w:rsidR="006F684E" w:rsidRPr="000E6093" w:rsidRDefault="006F684E" w:rsidP="006F684E">
            <w:pPr>
              <w:autoSpaceDE w:val="0"/>
              <w:autoSpaceDN w:val="0"/>
              <w:spacing w:after="0" w:line="240" w:lineRule="auto"/>
              <w:jc w:val="both"/>
              <w:rPr>
                <w:rFonts w:ascii="Arial" w:hAnsi="Arial" w:cs="Arial"/>
              </w:rPr>
            </w:pPr>
            <w:r w:rsidRPr="000E6093">
              <w:rPr>
                <w:rFonts w:ascii="Arial" w:hAnsi="Arial" w:cs="Arial"/>
              </w:rPr>
              <w:t xml:space="preserve">Delivery of these ambitions are supported in the </w:t>
            </w:r>
            <w:hyperlink r:id="rId26" w:history="1">
              <w:r w:rsidRPr="000E6093">
                <w:rPr>
                  <w:rStyle w:val="Hyperlink"/>
                  <w:rFonts w:ascii="Arial" w:hAnsi="Arial" w:cs="Arial"/>
                </w:rPr>
                <w:t>NHS Long Term Plan</w:t>
              </w:r>
            </w:hyperlink>
            <w:r w:rsidRPr="000E6093">
              <w:rPr>
                <w:rFonts w:ascii="Arial" w:hAnsi="Arial" w:cs="Arial"/>
              </w:rPr>
              <w:t xml:space="preserve"> and implementation is led by the NHS England and NHS Improvement Antimicrobial Resistance (AMR) programme and integrated into NHS policies.</w:t>
            </w:r>
          </w:p>
          <w:p w14:paraId="104A8091" w14:textId="6B6EB4E4" w:rsidR="000E0FEF" w:rsidRPr="000E6093" w:rsidRDefault="00593B60" w:rsidP="006F684E">
            <w:pPr>
              <w:autoSpaceDE w:val="0"/>
              <w:autoSpaceDN w:val="0"/>
              <w:spacing w:after="0" w:line="240" w:lineRule="auto"/>
              <w:jc w:val="both"/>
              <w:rPr>
                <w:rFonts w:ascii="Arial" w:hAnsi="Arial" w:cs="Arial"/>
              </w:rPr>
            </w:pPr>
            <w:hyperlink r:id="rId27" w:history="1">
              <w:r w:rsidR="006F684E" w:rsidRPr="000E6093">
                <w:rPr>
                  <w:rStyle w:val="Hyperlink"/>
                  <w:rFonts w:ascii="Arial" w:hAnsi="Arial" w:cs="Arial"/>
                </w:rPr>
                <w:t>NICE</w:t>
              </w:r>
            </w:hyperlink>
            <w:r w:rsidR="006F684E" w:rsidRPr="000E6093">
              <w:rPr>
                <w:rFonts w:ascii="Arial" w:hAnsi="Arial" w:cs="Arial"/>
              </w:rPr>
              <w:t xml:space="preserve"> publish antimicrobial prescribing guidelines for a variety of common infections and recommend appropriate use of antibiotics.</w:t>
            </w:r>
          </w:p>
        </w:tc>
      </w:tr>
    </w:tbl>
    <w:p w14:paraId="5D3D8778" w14:textId="77777777" w:rsidR="00CF2715" w:rsidRPr="000E6093" w:rsidRDefault="00CF2715" w:rsidP="00CF2715">
      <w:pPr>
        <w:pStyle w:val="Heading2"/>
        <w:rPr>
          <w:rFonts w:cs="Arial"/>
          <w:sz w:val="22"/>
          <w:szCs w:val="22"/>
        </w:rPr>
      </w:pPr>
    </w:p>
    <w:p w14:paraId="1C82ECF3" w14:textId="77777777" w:rsidR="00CF2715" w:rsidRPr="000E6093" w:rsidRDefault="008A6C13" w:rsidP="00CF2715">
      <w:pPr>
        <w:pStyle w:val="Heading2"/>
        <w:rPr>
          <w:rFonts w:cs="Arial"/>
          <w:sz w:val="22"/>
          <w:szCs w:val="22"/>
        </w:rPr>
      </w:pPr>
      <w:r w:rsidRPr="000E6093">
        <w:rPr>
          <w:rFonts w:cs="Arial"/>
          <w:sz w:val="22"/>
          <w:szCs w:val="22"/>
        </w:rPr>
        <w:br w:type="page"/>
      </w:r>
      <w:bookmarkStart w:id="75" w:name="_Toc82592084"/>
      <w:r w:rsidR="00997DDA" w:rsidRPr="000E6093">
        <w:rPr>
          <w:rFonts w:cs="Arial"/>
          <w:sz w:val="22"/>
          <w:szCs w:val="22"/>
        </w:rPr>
        <w:lastRenderedPageBreak/>
        <w:t xml:space="preserve">ASC03 </w:t>
      </w:r>
      <w:r w:rsidR="00331E01" w:rsidRPr="000E6093">
        <w:rPr>
          <w:rFonts w:cs="Arial"/>
          <w:sz w:val="22"/>
          <w:szCs w:val="22"/>
        </w:rPr>
        <w:t>–</w:t>
      </w:r>
      <w:r w:rsidR="00997DDA" w:rsidRPr="000E6093">
        <w:rPr>
          <w:rFonts w:cs="Arial"/>
          <w:sz w:val="22"/>
          <w:szCs w:val="22"/>
        </w:rPr>
        <w:t xml:space="preserve"> </w:t>
      </w:r>
      <w:r w:rsidR="00331E01" w:rsidRPr="000E6093">
        <w:rPr>
          <w:rFonts w:cs="Arial"/>
          <w:sz w:val="22"/>
          <w:szCs w:val="22"/>
        </w:rPr>
        <w:t>Number of children prescribed multiple antibiotics</w:t>
      </w:r>
      <w:bookmarkEnd w:id="75"/>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0E6093" w14:paraId="6608CAC4" w14:textId="77777777" w:rsidTr="003869D2">
        <w:tc>
          <w:tcPr>
            <w:tcW w:w="9889" w:type="dxa"/>
            <w:gridSpan w:val="3"/>
            <w:shd w:val="clear" w:color="auto" w:fill="D9D9D9"/>
          </w:tcPr>
          <w:p w14:paraId="65C8DE66" w14:textId="77777777" w:rsidR="00CF2715" w:rsidRPr="000E6093" w:rsidRDefault="00CF2715" w:rsidP="003869D2">
            <w:pPr>
              <w:spacing w:after="0" w:line="240" w:lineRule="auto"/>
              <w:rPr>
                <w:rFonts w:ascii="Arial" w:hAnsi="Arial" w:cs="Arial"/>
              </w:rPr>
            </w:pPr>
            <w:r w:rsidRPr="000E6093">
              <w:rPr>
                <w:rFonts w:ascii="Arial" w:hAnsi="Arial" w:cs="Arial"/>
                <w:b/>
              </w:rPr>
              <w:t>Section 1: Introduction / Overview</w:t>
            </w:r>
          </w:p>
        </w:tc>
      </w:tr>
      <w:tr w:rsidR="00CF2715" w:rsidRPr="000E6093" w14:paraId="66357973" w14:textId="77777777" w:rsidTr="003869D2">
        <w:trPr>
          <w:trHeight w:val="236"/>
        </w:trPr>
        <w:tc>
          <w:tcPr>
            <w:tcW w:w="534" w:type="dxa"/>
            <w:shd w:val="clear" w:color="auto" w:fill="auto"/>
          </w:tcPr>
          <w:p w14:paraId="7A57A7A0" w14:textId="77777777" w:rsidR="00CF2715" w:rsidRPr="000E6093" w:rsidRDefault="00CF2715" w:rsidP="003869D2">
            <w:pPr>
              <w:spacing w:after="0" w:line="240" w:lineRule="auto"/>
              <w:rPr>
                <w:rFonts w:ascii="Arial" w:hAnsi="Arial" w:cs="Arial"/>
              </w:rPr>
            </w:pPr>
            <w:r w:rsidRPr="000E6093">
              <w:rPr>
                <w:rFonts w:ascii="Arial" w:hAnsi="Arial" w:cs="Arial"/>
              </w:rPr>
              <w:t>1.1</w:t>
            </w:r>
          </w:p>
          <w:p w14:paraId="0FC6B0F2" w14:textId="77777777" w:rsidR="00CF2715" w:rsidRPr="000E6093" w:rsidRDefault="00CF2715" w:rsidP="003869D2">
            <w:pPr>
              <w:spacing w:after="0" w:line="240" w:lineRule="auto"/>
              <w:rPr>
                <w:rFonts w:ascii="Arial" w:hAnsi="Arial" w:cs="Arial"/>
              </w:rPr>
            </w:pPr>
          </w:p>
        </w:tc>
        <w:tc>
          <w:tcPr>
            <w:tcW w:w="1701" w:type="dxa"/>
            <w:tcBorders>
              <w:bottom w:val="single" w:sz="4" w:space="0" w:color="auto"/>
            </w:tcBorders>
            <w:shd w:val="clear" w:color="auto" w:fill="D9D9D9"/>
          </w:tcPr>
          <w:p w14:paraId="547EE54A" w14:textId="77777777" w:rsidR="00CF2715" w:rsidRPr="000E6093" w:rsidRDefault="00CF2715" w:rsidP="003869D2">
            <w:pPr>
              <w:spacing w:after="0" w:line="240" w:lineRule="auto"/>
              <w:rPr>
                <w:rFonts w:ascii="Arial" w:hAnsi="Arial" w:cs="Arial"/>
                <w:b/>
              </w:rPr>
            </w:pPr>
            <w:r w:rsidRPr="000E6093">
              <w:rPr>
                <w:rFonts w:ascii="Arial" w:hAnsi="Arial" w:cs="Arial"/>
                <w:b/>
              </w:rPr>
              <w:t>Title</w:t>
            </w:r>
          </w:p>
        </w:tc>
        <w:tc>
          <w:tcPr>
            <w:tcW w:w="7654" w:type="dxa"/>
            <w:shd w:val="clear" w:color="auto" w:fill="auto"/>
          </w:tcPr>
          <w:p w14:paraId="232F3CA0" w14:textId="77777777" w:rsidR="00CF2715" w:rsidRPr="000E6093" w:rsidRDefault="00331E01" w:rsidP="003869D2">
            <w:pPr>
              <w:spacing w:after="0" w:line="240" w:lineRule="auto"/>
              <w:rPr>
                <w:rFonts w:ascii="Arial" w:hAnsi="Arial" w:cs="Arial"/>
              </w:rPr>
            </w:pPr>
            <w:r w:rsidRPr="000E6093">
              <w:rPr>
                <w:rFonts w:ascii="Arial" w:hAnsi="Arial" w:cs="Arial"/>
              </w:rPr>
              <w:t>ASC03 – Number of children prescribed multiple antibiotics</w:t>
            </w:r>
          </w:p>
        </w:tc>
      </w:tr>
      <w:tr w:rsidR="000E0FEF" w:rsidRPr="000E6093" w14:paraId="78E7DCD5" w14:textId="77777777" w:rsidTr="003869D2">
        <w:tc>
          <w:tcPr>
            <w:tcW w:w="534" w:type="dxa"/>
            <w:shd w:val="clear" w:color="auto" w:fill="auto"/>
          </w:tcPr>
          <w:p w14:paraId="2C811AE1" w14:textId="77777777" w:rsidR="000E0FEF" w:rsidRPr="000E6093" w:rsidRDefault="000E0FEF" w:rsidP="003869D2">
            <w:pPr>
              <w:spacing w:after="0" w:line="240" w:lineRule="auto"/>
              <w:rPr>
                <w:rFonts w:ascii="Arial" w:hAnsi="Arial" w:cs="Arial"/>
              </w:rPr>
            </w:pPr>
            <w:r w:rsidRPr="000E6093">
              <w:rPr>
                <w:rFonts w:ascii="Arial" w:hAnsi="Arial" w:cs="Arial"/>
              </w:rPr>
              <w:t>1.2</w:t>
            </w:r>
          </w:p>
        </w:tc>
        <w:tc>
          <w:tcPr>
            <w:tcW w:w="1701" w:type="dxa"/>
            <w:tcBorders>
              <w:top w:val="single" w:sz="4" w:space="0" w:color="auto"/>
              <w:bottom w:val="single" w:sz="4" w:space="0" w:color="auto"/>
            </w:tcBorders>
            <w:shd w:val="clear" w:color="auto" w:fill="D9D9D9"/>
          </w:tcPr>
          <w:p w14:paraId="6FF0E501" w14:textId="77777777" w:rsidR="000E0FEF" w:rsidRPr="000E6093" w:rsidRDefault="000E0FEF" w:rsidP="003869D2">
            <w:pPr>
              <w:spacing w:after="0" w:line="240" w:lineRule="auto"/>
              <w:rPr>
                <w:rFonts w:ascii="Arial" w:hAnsi="Arial" w:cs="Arial"/>
                <w:b/>
              </w:rPr>
            </w:pPr>
            <w:r w:rsidRPr="000E6093">
              <w:rPr>
                <w:rFonts w:ascii="Arial" w:hAnsi="Arial" w:cs="Arial"/>
                <w:b/>
              </w:rPr>
              <w:t>Definition</w:t>
            </w:r>
          </w:p>
        </w:tc>
        <w:tc>
          <w:tcPr>
            <w:tcW w:w="7654" w:type="dxa"/>
            <w:shd w:val="clear" w:color="auto" w:fill="auto"/>
          </w:tcPr>
          <w:p w14:paraId="078E4B35" w14:textId="77777777" w:rsidR="000E0FEF" w:rsidRPr="000E6093" w:rsidRDefault="00331E01" w:rsidP="00EB75DD">
            <w:pPr>
              <w:spacing w:after="0" w:line="240" w:lineRule="auto"/>
              <w:rPr>
                <w:rFonts w:ascii="Arial" w:hAnsi="Arial" w:cs="Arial"/>
              </w:rPr>
            </w:pPr>
            <w:r w:rsidRPr="000E6093">
              <w:rPr>
                <w:rFonts w:ascii="Arial" w:hAnsi="Arial" w:cs="Arial"/>
              </w:rPr>
              <w:t>Patient count of the number of children prescribed one or multiple antibiotics</w:t>
            </w:r>
            <w:r w:rsidR="008E7A71" w:rsidRPr="000E6093">
              <w:rPr>
                <w:rFonts w:ascii="Arial" w:hAnsi="Arial" w:cs="Arial"/>
              </w:rPr>
              <w:t xml:space="preserve"> for each age band</w:t>
            </w:r>
          </w:p>
        </w:tc>
      </w:tr>
      <w:tr w:rsidR="000E0FEF" w:rsidRPr="000E6093" w14:paraId="79E7C511" w14:textId="77777777" w:rsidTr="003869D2">
        <w:trPr>
          <w:trHeight w:val="628"/>
        </w:trPr>
        <w:tc>
          <w:tcPr>
            <w:tcW w:w="534" w:type="dxa"/>
            <w:shd w:val="clear" w:color="auto" w:fill="auto"/>
          </w:tcPr>
          <w:p w14:paraId="720FDA80" w14:textId="77777777" w:rsidR="000E0FEF" w:rsidRPr="000E6093" w:rsidRDefault="000E0FEF" w:rsidP="003869D2">
            <w:pPr>
              <w:spacing w:after="0" w:line="240" w:lineRule="auto"/>
              <w:rPr>
                <w:rFonts w:ascii="Arial" w:hAnsi="Arial" w:cs="Arial"/>
              </w:rPr>
            </w:pPr>
            <w:r w:rsidRPr="000E6093">
              <w:rPr>
                <w:rFonts w:ascii="Arial" w:hAnsi="Arial" w:cs="Arial"/>
              </w:rPr>
              <w:t>1.3</w:t>
            </w:r>
          </w:p>
        </w:tc>
        <w:tc>
          <w:tcPr>
            <w:tcW w:w="1701" w:type="dxa"/>
            <w:tcBorders>
              <w:top w:val="single" w:sz="4" w:space="0" w:color="auto"/>
              <w:bottom w:val="single" w:sz="4" w:space="0" w:color="auto"/>
            </w:tcBorders>
            <w:shd w:val="clear" w:color="auto" w:fill="D9D9D9"/>
          </w:tcPr>
          <w:p w14:paraId="653E5BE8" w14:textId="77777777" w:rsidR="000E0FEF" w:rsidRPr="000E6093" w:rsidRDefault="000E0FEF" w:rsidP="003869D2">
            <w:pPr>
              <w:spacing w:after="0" w:line="240" w:lineRule="auto"/>
              <w:rPr>
                <w:rFonts w:ascii="Arial" w:hAnsi="Arial" w:cs="Arial"/>
                <w:b/>
              </w:rPr>
            </w:pPr>
            <w:r w:rsidRPr="000E6093">
              <w:rPr>
                <w:rFonts w:ascii="Arial" w:hAnsi="Arial" w:cs="Arial"/>
                <w:b/>
              </w:rPr>
              <w:t>Reporting Level</w:t>
            </w:r>
          </w:p>
        </w:tc>
        <w:tc>
          <w:tcPr>
            <w:tcW w:w="7654" w:type="dxa"/>
            <w:shd w:val="clear" w:color="auto" w:fill="auto"/>
          </w:tcPr>
          <w:p w14:paraId="2458B36B" w14:textId="77777777" w:rsidR="000E0FEF" w:rsidRPr="000E6093" w:rsidRDefault="00796DA5" w:rsidP="003869D2">
            <w:pPr>
              <w:spacing w:after="0" w:line="240" w:lineRule="auto"/>
              <w:rPr>
                <w:rFonts w:ascii="Arial" w:hAnsi="Arial" w:cs="Arial"/>
                <w:color w:val="FF0000"/>
              </w:rPr>
            </w:pPr>
            <w:r w:rsidRPr="000E6093">
              <w:rPr>
                <w:rFonts w:ascii="Arial" w:hAnsi="Arial" w:cs="Arial"/>
              </w:rPr>
              <w:t>GP Practice/Cost Centre level (aggregated to PCN, CCG, STP, Regional and England level)</w:t>
            </w:r>
          </w:p>
        </w:tc>
      </w:tr>
      <w:tr w:rsidR="000E0FEF" w:rsidRPr="000E6093" w14:paraId="1FDA72FE" w14:textId="77777777" w:rsidTr="000B1022">
        <w:trPr>
          <w:trHeight w:val="1293"/>
        </w:trPr>
        <w:tc>
          <w:tcPr>
            <w:tcW w:w="534" w:type="dxa"/>
            <w:shd w:val="clear" w:color="auto" w:fill="auto"/>
          </w:tcPr>
          <w:p w14:paraId="4B801C07" w14:textId="77777777" w:rsidR="000E0FEF" w:rsidRPr="000E6093" w:rsidRDefault="000E0FEF" w:rsidP="003869D2">
            <w:pPr>
              <w:spacing w:after="0" w:line="240" w:lineRule="auto"/>
              <w:rPr>
                <w:rFonts w:ascii="Arial" w:hAnsi="Arial" w:cs="Arial"/>
              </w:rPr>
            </w:pPr>
            <w:r w:rsidRPr="000E6093">
              <w:rPr>
                <w:rFonts w:ascii="Arial" w:hAnsi="Arial" w:cs="Arial"/>
              </w:rPr>
              <w:t>1.4</w:t>
            </w:r>
          </w:p>
        </w:tc>
        <w:tc>
          <w:tcPr>
            <w:tcW w:w="1701" w:type="dxa"/>
            <w:tcBorders>
              <w:top w:val="single" w:sz="4" w:space="0" w:color="auto"/>
              <w:bottom w:val="single" w:sz="4" w:space="0" w:color="auto"/>
            </w:tcBorders>
            <w:shd w:val="clear" w:color="auto" w:fill="D9D9D9"/>
          </w:tcPr>
          <w:p w14:paraId="0CC02651" w14:textId="77777777" w:rsidR="000E0FEF" w:rsidRPr="000E6093" w:rsidRDefault="000E0FEF" w:rsidP="003869D2">
            <w:pPr>
              <w:spacing w:after="0" w:line="240" w:lineRule="auto"/>
              <w:rPr>
                <w:rFonts w:ascii="Arial" w:hAnsi="Arial" w:cs="Arial"/>
                <w:b/>
              </w:rPr>
            </w:pPr>
            <w:r w:rsidRPr="000E6093">
              <w:rPr>
                <w:rFonts w:ascii="Arial" w:hAnsi="Arial" w:cs="Arial"/>
                <w:b/>
              </w:rPr>
              <w:t>Numerator</w:t>
            </w:r>
          </w:p>
        </w:tc>
        <w:tc>
          <w:tcPr>
            <w:tcW w:w="7654" w:type="dxa"/>
            <w:shd w:val="clear" w:color="auto" w:fill="auto"/>
          </w:tcPr>
          <w:p w14:paraId="428AA8DF" w14:textId="77777777" w:rsidR="000B1022" w:rsidRPr="000E6093" w:rsidRDefault="000B1022" w:rsidP="000B1022">
            <w:pPr>
              <w:spacing w:after="0" w:line="240" w:lineRule="auto"/>
              <w:rPr>
                <w:rFonts w:ascii="Arial" w:hAnsi="Arial" w:cs="Arial"/>
              </w:rPr>
            </w:pPr>
            <w:r w:rsidRPr="000E6093">
              <w:rPr>
                <w:rFonts w:ascii="Arial" w:hAnsi="Arial" w:cs="Arial"/>
              </w:rPr>
              <w:t>Number of children for each age band prescribed one, or more than one of the following drugs</w:t>
            </w:r>
          </w:p>
          <w:p w14:paraId="5C7D5CBC" w14:textId="77777777" w:rsidR="000B1022" w:rsidRPr="000E6093" w:rsidRDefault="000B1022" w:rsidP="000B1022">
            <w:pPr>
              <w:spacing w:after="0" w:line="240" w:lineRule="auto"/>
              <w:rPr>
                <w:rFonts w:ascii="Arial" w:hAnsi="Arial" w:cs="Arial"/>
              </w:rPr>
            </w:pPr>
          </w:p>
          <w:tbl>
            <w:tblPr>
              <w:tblW w:w="7280" w:type="dxa"/>
              <w:tblLayout w:type="fixed"/>
              <w:tblLook w:val="04A0" w:firstRow="1" w:lastRow="0" w:firstColumn="1" w:lastColumn="0" w:noHBand="0" w:noVBand="1"/>
            </w:tblPr>
            <w:tblGrid>
              <w:gridCol w:w="3640"/>
              <w:gridCol w:w="3640"/>
            </w:tblGrid>
            <w:tr w:rsidR="000B1022" w:rsidRPr="000E6093" w14:paraId="538A76D8" w14:textId="77777777" w:rsidTr="002223E1">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505B7D73" w14:textId="77777777" w:rsidR="000B1022" w:rsidRPr="000E6093" w:rsidRDefault="000B1022" w:rsidP="000B1022">
                  <w:pPr>
                    <w:spacing w:after="0" w:line="240" w:lineRule="auto"/>
                    <w:rPr>
                      <w:rFonts w:ascii="Arial" w:eastAsia="Times New Roman" w:hAnsi="Arial" w:cs="Arial"/>
                      <w:b/>
                      <w:bCs/>
                      <w:color w:val="000000"/>
                      <w:lang w:eastAsia="en-GB"/>
                    </w:rPr>
                  </w:pPr>
                  <w:r w:rsidRPr="000E6093">
                    <w:rPr>
                      <w:rFonts w:ascii="Arial" w:eastAsia="Times New Roman" w:hAnsi="Arial" w:cs="Arial"/>
                      <w:b/>
                      <w:bCs/>
                      <w:color w:val="000000"/>
                      <w:lang w:eastAsia="en-GB"/>
                    </w:rPr>
                    <w:t>BNF Section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60E886DB" w14:textId="77777777" w:rsidR="000B1022" w:rsidRPr="000E6093" w:rsidRDefault="000B1022" w:rsidP="000B1022">
                  <w:pPr>
                    <w:spacing w:after="0" w:line="240" w:lineRule="auto"/>
                    <w:rPr>
                      <w:rFonts w:ascii="Arial" w:eastAsia="Times New Roman" w:hAnsi="Arial" w:cs="Arial"/>
                      <w:b/>
                      <w:bCs/>
                      <w:color w:val="000000"/>
                      <w:lang w:eastAsia="en-GB"/>
                    </w:rPr>
                  </w:pPr>
                  <w:r w:rsidRPr="000E6093">
                    <w:rPr>
                      <w:rFonts w:ascii="Arial" w:eastAsia="Times New Roman" w:hAnsi="Arial" w:cs="Arial"/>
                      <w:b/>
                      <w:bCs/>
                      <w:color w:val="000000"/>
                      <w:lang w:eastAsia="en-GB"/>
                    </w:rPr>
                    <w:t>BNF Code</w:t>
                  </w:r>
                </w:p>
              </w:tc>
            </w:tr>
            <w:tr w:rsidR="000B1022" w:rsidRPr="000E6093" w14:paraId="14F1CA49" w14:textId="77777777" w:rsidTr="002223E1">
              <w:trPr>
                <w:trHeight w:val="255"/>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tcPr>
                <w:p w14:paraId="01FE1CE8" w14:textId="77777777" w:rsidR="000B1022" w:rsidRPr="000E6093" w:rsidRDefault="000B1022" w:rsidP="000B1022">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Antibacterial Drugs</w:t>
                  </w:r>
                </w:p>
              </w:tc>
              <w:tc>
                <w:tcPr>
                  <w:tcW w:w="3640" w:type="dxa"/>
                  <w:tcBorders>
                    <w:top w:val="single" w:sz="4" w:space="0" w:color="auto"/>
                    <w:left w:val="nil"/>
                    <w:bottom w:val="single" w:sz="4" w:space="0" w:color="auto"/>
                    <w:right w:val="single" w:sz="8" w:space="0" w:color="auto"/>
                  </w:tcBorders>
                  <w:shd w:val="clear" w:color="auto" w:fill="auto"/>
                  <w:vAlign w:val="center"/>
                </w:tcPr>
                <w:p w14:paraId="0CA79AFE" w14:textId="77777777" w:rsidR="000B1022" w:rsidRPr="000E6093" w:rsidRDefault="000B1022" w:rsidP="000B1022">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w:t>
                  </w:r>
                </w:p>
              </w:tc>
            </w:tr>
          </w:tbl>
          <w:p w14:paraId="1AEA0BFC" w14:textId="77777777" w:rsidR="000B1022" w:rsidRPr="000E6093" w:rsidRDefault="000B1022" w:rsidP="003869D2">
            <w:pPr>
              <w:spacing w:after="0" w:line="240" w:lineRule="auto"/>
              <w:rPr>
                <w:rFonts w:ascii="Arial" w:hAnsi="Arial" w:cs="Arial"/>
              </w:rPr>
            </w:pPr>
          </w:p>
        </w:tc>
      </w:tr>
      <w:tr w:rsidR="000E0FEF" w:rsidRPr="000E6093" w14:paraId="4E79011D" w14:textId="77777777" w:rsidTr="003869D2">
        <w:trPr>
          <w:trHeight w:val="597"/>
        </w:trPr>
        <w:tc>
          <w:tcPr>
            <w:tcW w:w="534" w:type="dxa"/>
            <w:shd w:val="clear" w:color="auto" w:fill="auto"/>
          </w:tcPr>
          <w:p w14:paraId="1A7A2B18" w14:textId="77777777" w:rsidR="000E0FEF" w:rsidRPr="000E6093" w:rsidRDefault="000E0FEF" w:rsidP="003869D2">
            <w:pPr>
              <w:spacing w:after="0" w:line="240" w:lineRule="auto"/>
              <w:rPr>
                <w:rFonts w:ascii="Arial" w:hAnsi="Arial" w:cs="Arial"/>
              </w:rPr>
            </w:pPr>
            <w:r w:rsidRPr="000E6093">
              <w:rPr>
                <w:rFonts w:ascii="Arial" w:hAnsi="Arial" w:cs="Arial"/>
              </w:rPr>
              <w:t>1.5</w:t>
            </w:r>
          </w:p>
        </w:tc>
        <w:tc>
          <w:tcPr>
            <w:tcW w:w="1701" w:type="dxa"/>
            <w:tcBorders>
              <w:top w:val="single" w:sz="4" w:space="0" w:color="auto"/>
              <w:bottom w:val="single" w:sz="4" w:space="0" w:color="auto"/>
            </w:tcBorders>
            <w:shd w:val="clear" w:color="auto" w:fill="D9D9D9"/>
          </w:tcPr>
          <w:p w14:paraId="5BD3E503" w14:textId="77777777" w:rsidR="000E0FEF" w:rsidRPr="000E6093" w:rsidRDefault="000E0FEF" w:rsidP="003869D2">
            <w:pPr>
              <w:spacing w:after="0" w:line="240" w:lineRule="auto"/>
              <w:rPr>
                <w:rFonts w:ascii="Arial" w:hAnsi="Arial" w:cs="Arial"/>
                <w:b/>
              </w:rPr>
            </w:pPr>
            <w:r w:rsidRPr="000E6093">
              <w:rPr>
                <w:rFonts w:ascii="Arial" w:hAnsi="Arial" w:cs="Arial"/>
                <w:b/>
              </w:rPr>
              <w:t>Denominator</w:t>
            </w:r>
          </w:p>
        </w:tc>
        <w:tc>
          <w:tcPr>
            <w:tcW w:w="7654" w:type="dxa"/>
            <w:shd w:val="clear" w:color="auto" w:fill="auto"/>
          </w:tcPr>
          <w:p w14:paraId="6B058981" w14:textId="77777777" w:rsidR="000E0FEF" w:rsidRPr="000E6093" w:rsidRDefault="00331E01" w:rsidP="003869D2">
            <w:pPr>
              <w:spacing w:after="0" w:line="240" w:lineRule="auto"/>
              <w:rPr>
                <w:rFonts w:ascii="Arial" w:hAnsi="Arial" w:cs="Arial"/>
              </w:rPr>
            </w:pPr>
            <w:r w:rsidRPr="000E6093">
              <w:rPr>
                <w:rFonts w:ascii="Arial" w:hAnsi="Arial" w:cs="Arial"/>
              </w:rPr>
              <w:t>None</w:t>
            </w:r>
          </w:p>
        </w:tc>
      </w:tr>
      <w:tr w:rsidR="000E0FEF" w:rsidRPr="000E6093" w14:paraId="34AFE81C" w14:textId="77777777" w:rsidTr="003869D2">
        <w:tc>
          <w:tcPr>
            <w:tcW w:w="534" w:type="dxa"/>
            <w:shd w:val="clear" w:color="auto" w:fill="auto"/>
          </w:tcPr>
          <w:p w14:paraId="132C9B11" w14:textId="77777777" w:rsidR="000E0FEF" w:rsidRPr="000E6093" w:rsidRDefault="000E0FEF" w:rsidP="003869D2">
            <w:pPr>
              <w:spacing w:after="0" w:line="240" w:lineRule="auto"/>
              <w:rPr>
                <w:rFonts w:ascii="Arial" w:hAnsi="Arial" w:cs="Arial"/>
              </w:rPr>
            </w:pPr>
            <w:r w:rsidRPr="000E6093">
              <w:rPr>
                <w:rFonts w:ascii="Arial" w:hAnsi="Arial" w:cs="Arial"/>
              </w:rPr>
              <w:t>1.6</w:t>
            </w:r>
          </w:p>
        </w:tc>
        <w:tc>
          <w:tcPr>
            <w:tcW w:w="1701" w:type="dxa"/>
            <w:tcBorders>
              <w:top w:val="single" w:sz="4" w:space="0" w:color="auto"/>
            </w:tcBorders>
            <w:shd w:val="clear" w:color="auto" w:fill="D9D9D9"/>
          </w:tcPr>
          <w:p w14:paraId="31459360" w14:textId="77777777" w:rsidR="000E0FEF" w:rsidRPr="000E6093" w:rsidRDefault="000E0FEF" w:rsidP="003869D2">
            <w:pPr>
              <w:spacing w:after="0" w:line="240" w:lineRule="auto"/>
              <w:rPr>
                <w:rFonts w:ascii="Arial" w:hAnsi="Arial" w:cs="Arial"/>
                <w:b/>
              </w:rPr>
            </w:pPr>
            <w:r w:rsidRPr="000E6093">
              <w:rPr>
                <w:rFonts w:ascii="Arial" w:hAnsi="Arial" w:cs="Arial"/>
                <w:b/>
              </w:rPr>
              <w:t>Methodology</w:t>
            </w:r>
          </w:p>
        </w:tc>
        <w:tc>
          <w:tcPr>
            <w:tcW w:w="7654" w:type="dxa"/>
            <w:shd w:val="clear" w:color="auto" w:fill="auto"/>
          </w:tcPr>
          <w:p w14:paraId="28E78679" w14:textId="77777777" w:rsidR="000E0FEF" w:rsidRDefault="00331E01" w:rsidP="003869D2">
            <w:pPr>
              <w:spacing w:after="0" w:line="240" w:lineRule="auto"/>
              <w:rPr>
                <w:rFonts w:ascii="Arial" w:hAnsi="Arial" w:cs="Arial"/>
              </w:rPr>
            </w:pPr>
            <w:r w:rsidRPr="000E6093">
              <w:rPr>
                <w:rFonts w:ascii="Arial" w:hAnsi="Arial" w:cs="Arial"/>
              </w:rPr>
              <w:t xml:space="preserve">Raw counts of children on one or multiple antibiotics as well as the same figures presented as a percentage of all children prescribed at least one antibiotic </w:t>
            </w:r>
            <w:r w:rsidR="000B1022" w:rsidRPr="000E6093">
              <w:rPr>
                <w:rFonts w:ascii="Arial" w:hAnsi="Arial" w:cs="Arial"/>
              </w:rPr>
              <w:t>–</w:t>
            </w:r>
            <w:r w:rsidRPr="000E6093">
              <w:rPr>
                <w:rFonts w:ascii="Arial" w:hAnsi="Arial" w:cs="Arial"/>
              </w:rPr>
              <w:t xml:space="preserve"> </w:t>
            </w:r>
            <w:r w:rsidR="000B1022" w:rsidRPr="000E6093">
              <w:rPr>
                <w:rFonts w:ascii="Arial" w:hAnsi="Arial" w:cs="Arial"/>
              </w:rPr>
              <w:t>Number of children prescribed one antibiotic divided by the number of children prescribed one antibiotic plus the number of children</w:t>
            </w:r>
            <w:r w:rsidR="00EA6B83" w:rsidRPr="000E6093">
              <w:rPr>
                <w:rFonts w:ascii="Arial" w:hAnsi="Arial" w:cs="Arial"/>
              </w:rPr>
              <w:t xml:space="preserve"> </w:t>
            </w:r>
            <w:r w:rsidR="000B1022" w:rsidRPr="000E6093">
              <w:rPr>
                <w:rFonts w:ascii="Arial" w:hAnsi="Arial" w:cs="Arial"/>
              </w:rPr>
              <w:t>prescribed more than one antibiotic, multiplied by 1</w:t>
            </w:r>
            <w:r w:rsidR="00E55757">
              <w:rPr>
                <w:rFonts w:ascii="Arial" w:hAnsi="Arial" w:cs="Arial"/>
              </w:rPr>
              <w:t>,</w:t>
            </w:r>
            <w:r w:rsidR="000B1022" w:rsidRPr="000E6093">
              <w:rPr>
                <w:rFonts w:ascii="Arial" w:hAnsi="Arial" w:cs="Arial"/>
              </w:rPr>
              <w:t>00</w:t>
            </w:r>
            <w:r w:rsidR="00E55757">
              <w:rPr>
                <w:rFonts w:ascii="Arial" w:hAnsi="Arial" w:cs="Arial"/>
              </w:rPr>
              <w:t>0.</w:t>
            </w:r>
          </w:p>
          <w:p w14:paraId="122302C7" w14:textId="77777777" w:rsidR="00E55757" w:rsidRDefault="00E55757" w:rsidP="003869D2">
            <w:pPr>
              <w:spacing w:after="0" w:line="240" w:lineRule="auto"/>
              <w:rPr>
                <w:rFonts w:ascii="Arial" w:hAnsi="Arial" w:cs="Arial"/>
              </w:rPr>
            </w:pPr>
          </w:p>
          <w:p w14:paraId="55338631" w14:textId="40B3476F" w:rsidR="00E55757" w:rsidRPr="000E6093" w:rsidRDefault="00E55757" w:rsidP="003869D2">
            <w:pPr>
              <w:spacing w:after="0" w:line="240" w:lineRule="auto"/>
              <w:rPr>
                <w:rFonts w:ascii="Arial" w:hAnsi="Arial" w:cs="Arial"/>
              </w:rPr>
            </w:pPr>
            <w:r>
              <w:rPr>
                <w:rFonts w:ascii="Arial" w:hAnsi="Arial" w:cs="Arial"/>
              </w:rPr>
              <w:t>A patients’ prescribing is considered across all organisations and the patient is subsequently assigned to the most relevant practice or cost centre based on whichever one prescribed the most items, followed by the ODS code.  This will attempt to place patients in a GP practice if possible and ensure that all prescribing for a patient is counted and not split across prescribing organisations.</w:t>
            </w:r>
          </w:p>
        </w:tc>
      </w:tr>
      <w:tr w:rsidR="000E0FEF" w:rsidRPr="000E6093" w14:paraId="4877F649" w14:textId="77777777" w:rsidTr="003869D2">
        <w:tc>
          <w:tcPr>
            <w:tcW w:w="9889" w:type="dxa"/>
            <w:gridSpan w:val="3"/>
            <w:shd w:val="clear" w:color="auto" w:fill="D9D9D9"/>
          </w:tcPr>
          <w:p w14:paraId="5B6839A3" w14:textId="77777777" w:rsidR="000E0FEF" w:rsidRPr="000E6093" w:rsidRDefault="000E0FEF" w:rsidP="003869D2">
            <w:pPr>
              <w:spacing w:after="0" w:line="240" w:lineRule="auto"/>
              <w:rPr>
                <w:rFonts w:ascii="Arial" w:hAnsi="Arial" w:cs="Arial"/>
              </w:rPr>
            </w:pPr>
            <w:r w:rsidRPr="000E6093">
              <w:rPr>
                <w:rFonts w:ascii="Arial" w:hAnsi="Arial" w:cs="Arial"/>
                <w:b/>
              </w:rPr>
              <w:t>Section 2: Rationale</w:t>
            </w:r>
          </w:p>
        </w:tc>
      </w:tr>
      <w:tr w:rsidR="000E0FEF" w:rsidRPr="000E6093" w14:paraId="2A4F560B" w14:textId="77777777" w:rsidTr="003869D2">
        <w:trPr>
          <w:trHeight w:val="558"/>
        </w:trPr>
        <w:tc>
          <w:tcPr>
            <w:tcW w:w="534" w:type="dxa"/>
            <w:shd w:val="clear" w:color="auto" w:fill="auto"/>
          </w:tcPr>
          <w:p w14:paraId="3D3020B7" w14:textId="77777777" w:rsidR="000E0FEF" w:rsidRPr="000E6093" w:rsidRDefault="000E0FEF" w:rsidP="003869D2">
            <w:pPr>
              <w:spacing w:after="0" w:line="240" w:lineRule="auto"/>
              <w:rPr>
                <w:rFonts w:ascii="Arial" w:hAnsi="Arial" w:cs="Arial"/>
              </w:rPr>
            </w:pPr>
            <w:r w:rsidRPr="000E6093">
              <w:rPr>
                <w:rFonts w:ascii="Arial" w:hAnsi="Arial" w:cs="Arial"/>
              </w:rPr>
              <w:t>2.1</w:t>
            </w:r>
          </w:p>
          <w:p w14:paraId="7A63F048" w14:textId="77777777" w:rsidR="000E0FEF" w:rsidRPr="000E6093" w:rsidRDefault="000E0FEF" w:rsidP="003869D2">
            <w:pPr>
              <w:spacing w:after="0" w:line="240" w:lineRule="auto"/>
              <w:rPr>
                <w:rFonts w:ascii="Arial" w:hAnsi="Arial" w:cs="Arial"/>
              </w:rPr>
            </w:pPr>
          </w:p>
        </w:tc>
        <w:tc>
          <w:tcPr>
            <w:tcW w:w="1701" w:type="dxa"/>
            <w:tcBorders>
              <w:bottom w:val="single" w:sz="4" w:space="0" w:color="auto"/>
            </w:tcBorders>
            <w:shd w:val="clear" w:color="auto" w:fill="D9D9D9"/>
          </w:tcPr>
          <w:p w14:paraId="6705F842" w14:textId="77777777" w:rsidR="000E0FEF" w:rsidRPr="000E6093" w:rsidRDefault="000E0FEF" w:rsidP="003869D2">
            <w:pPr>
              <w:spacing w:after="0" w:line="240" w:lineRule="auto"/>
              <w:rPr>
                <w:rFonts w:ascii="Arial" w:hAnsi="Arial" w:cs="Arial"/>
                <w:b/>
              </w:rPr>
            </w:pPr>
            <w:r w:rsidRPr="000E6093">
              <w:rPr>
                <w:rFonts w:ascii="Arial" w:hAnsi="Arial" w:cs="Arial"/>
                <w:b/>
              </w:rPr>
              <w:t>Purpose</w:t>
            </w:r>
          </w:p>
        </w:tc>
        <w:tc>
          <w:tcPr>
            <w:tcW w:w="7654" w:type="dxa"/>
            <w:shd w:val="clear" w:color="auto" w:fill="auto"/>
          </w:tcPr>
          <w:p w14:paraId="44D1CF8F" w14:textId="272AFD7A" w:rsidR="00552FB0" w:rsidRPr="000E6093" w:rsidRDefault="00552FB0" w:rsidP="00552FB0">
            <w:pPr>
              <w:spacing w:after="0" w:line="240" w:lineRule="auto"/>
              <w:rPr>
                <w:rFonts w:ascii="Arial" w:hAnsi="Arial" w:cs="Arial"/>
              </w:rPr>
            </w:pPr>
            <w:r w:rsidRPr="000E6093">
              <w:rPr>
                <w:rFonts w:ascii="Arial" w:hAnsi="Arial" w:cs="Arial"/>
              </w:rPr>
              <w:t xml:space="preserve">To identify the </w:t>
            </w:r>
            <w:r w:rsidR="00EA6B83" w:rsidRPr="000E6093">
              <w:rPr>
                <w:rFonts w:ascii="Arial" w:hAnsi="Arial" w:cs="Arial"/>
              </w:rPr>
              <w:t>number</w:t>
            </w:r>
            <w:r w:rsidRPr="000E6093">
              <w:rPr>
                <w:rFonts w:ascii="Arial" w:hAnsi="Arial" w:cs="Arial"/>
              </w:rPr>
              <w:t xml:space="preserve"> of children who are prescribed </w:t>
            </w:r>
            <w:r w:rsidR="00B75241" w:rsidRPr="000E6093">
              <w:rPr>
                <w:rFonts w:ascii="Arial" w:hAnsi="Arial" w:cs="Arial"/>
              </w:rPr>
              <w:t xml:space="preserve">one or more </w:t>
            </w:r>
            <w:r w:rsidRPr="000E6093">
              <w:rPr>
                <w:rFonts w:ascii="Arial" w:hAnsi="Arial" w:cs="Arial"/>
              </w:rPr>
              <w:t>antibiotics at a defined population level</w:t>
            </w:r>
          </w:p>
          <w:p w14:paraId="4014898D" w14:textId="7021003C" w:rsidR="00552FB0" w:rsidRPr="000E6093" w:rsidRDefault="00552FB0" w:rsidP="00552FB0">
            <w:pPr>
              <w:spacing w:after="0" w:line="240" w:lineRule="auto"/>
              <w:rPr>
                <w:rFonts w:ascii="Arial" w:hAnsi="Arial" w:cs="Arial"/>
              </w:rPr>
            </w:pPr>
            <w:r w:rsidRPr="000E6093">
              <w:rPr>
                <w:rFonts w:ascii="Arial" w:hAnsi="Arial" w:cs="Arial"/>
              </w:rPr>
              <w:t xml:space="preserve">To identify variation in the </w:t>
            </w:r>
            <w:r w:rsidR="00C0390D" w:rsidRPr="000E6093">
              <w:rPr>
                <w:rFonts w:ascii="Arial" w:hAnsi="Arial" w:cs="Arial"/>
              </w:rPr>
              <w:t>number</w:t>
            </w:r>
            <w:r w:rsidRPr="000E6093">
              <w:rPr>
                <w:rFonts w:ascii="Arial" w:hAnsi="Arial" w:cs="Arial"/>
              </w:rPr>
              <w:t xml:space="preserve"> of children who are prescribed </w:t>
            </w:r>
            <w:r w:rsidR="00C0390D" w:rsidRPr="000E6093">
              <w:rPr>
                <w:rFonts w:ascii="Arial" w:hAnsi="Arial" w:cs="Arial"/>
              </w:rPr>
              <w:t xml:space="preserve">one or </w:t>
            </w:r>
            <w:r w:rsidR="00B75241" w:rsidRPr="000E6093">
              <w:rPr>
                <w:rFonts w:ascii="Arial" w:hAnsi="Arial" w:cs="Arial"/>
              </w:rPr>
              <w:t xml:space="preserve">more </w:t>
            </w:r>
            <w:r w:rsidRPr="000E6093">
              <w:rPr>
                <w:rFonts w:ascii="Arial" w:hAnsi="Arial" w:cs="Arial"/>
              </w:rPr>
              <w:t xml:space="preserve">antibiotics </w:t>
            </w:r>
          </w:p>
          <w:p w14:paraId="6EEDAF93" w14:textId="07933B99" w:rsidR="00552FB0" w:rsidRPr="000E6093" w:rsidRDefault="00552FB0" w:rsidP="00552FB0">
            <w:pPr>
              <w:spacing w:after="0" w:line="240" w:lineRule="auto"/>
              <w:rPr>
                <w:rFonts w:ascii="Arial" w:hAnsi="Arial" w:cs="Arial"/>
              </w:rPr>
            </w:pPr>
            <w:r w:rsidRPr="000E6093">
              <w:rPr>
                <w:rFonts w:ascii="Arial" w:hAnsi="Arial" w:cs="Arial"/>
              </w:rPr>
              <w:t xml:space="preserve">To identify the trend in the </w:t>
            </w:r>
            <w:r w:rsidR="00B75241" w:rsidRPr="000E6093">
              <w:rPr>
                <w:rFonts w:ascii="Arial" w:hAnsi="Arial" w:cs="Arial"/>
              </w:rPr>
              <w:t>number</w:t>
            </w:r>
            <w:r w:rsidRPr="000E6093">
              <w:rPr>
                <w:rFonts w:ascii="Arial" w:hAnsi="Arial" w:cs="Arial"/>
              </w:rPr>
              <w:t xml:space="preserve"> of children who are prescribed </w:t>
            </w:r>
            <w:r w:rsidR="00B75241" w:rsidRPr="000E6093">
              <w:rPr>
                <w:rFonts w:ascii="Arial" w:hAnsi="Arial" w:cs="Arial"/>
              </w:rPr>
              <w:t xml:space="preserve">one or more </w:t>
            </w:r>
            <w:r w:rsidRPr="000E6093">
              <w:rPr>
                <w:rFonts w:ascii="Arial" w:hAnsi="Arial" w:cs="Arial"/>
              </w:rPr>
              <w:t>antibiotics over time</w:t>
            </w:r>
          </w:p>
          <w:p w14:paraId="6B11F0CA" w14:textId="58A1B89C" w:rsidR="000E0FEF" w:rsidRPr="000E6093" w:rsidRDefault="00552FB0" w:rsidP="00552FB0">
            <w:pPr>
              <w:spacing w:after="0" w:line="240" w:lineRule="auto"/>
              <w:rPr>
                <w:rFonts w:ascii="Arial" w:hAnsi="Arial" w:cs="Arial"/>
              </w:rPr>
            </w:pPr>
            <w:r w:rsidRPr="000E6093">
              <w:rPr>
                <w:rFonts w:ascii="Arial" w:hAnsi="Arial" w:cs="Arial"/>
              </w:rPr>
              <w:t xml:space="preserve">To identify variation in the </w:t>
            </w:r>
            <w:r w:rsidR="00B75241" w:rsidRPr="000E6093">
              <w:rPr>
                <w:rFonts w:ascii="Arial" w:hAnsi="Arial" w:cs="Arial"/>
              </w:rPr>
              <w:t>number</w:t>
            </w:r>
            <w:r w:rsidR="002F1C18" w:rsidRPr="000E6093">
              <w:rPr>
                <w:rFonts w:ascii="Arial" w:hAnsi="Arial" w:cs="Arial"/>
              </w:rPr>
              <w:t xml:space="preserve"> and proportion</w:t>
            </w:r>
            <w:r w:rsidRPr="000E6093">
              <w:rPr>
                <w:rFonts w:ascii="Arial" w:hAnsi="Arial" w:cs="Arial"/>
              </w:rPr>
              <w:t xml:space="preserve"> of children who are prescribed </w:t>
            </w:r>
            <w:r w:rsidR="002F1C18" w:rsidRPr="000E6093">
              <w:rPr>
                <w:rFonts w:ascii="Arial" w:hAnsi="Arial" w:cs="Arial"/>
              </w:rPr>
              <w:t xml:space="preserve">one or more </w:t>
            </w:r>
            <w:r w:rsidRPr="000E6093">
              <w:rPr>
                <w:rFonts w:ascii="Arial" w:hAnsi="Arial" w:cs="Arial"/>
              </w:rPr>
              <w:t>antibiotics</w:t>
            </w:r>
          </w:p>
        </w:tc>
      </w:tr>
      <w:tr w:rsidR="000E0FEF" w:rsidRPr="000E6093" w14:paraId="624F9FFF" w14:textId="77777777" w:rsidTr="003869D2">
        <w:tc>
          <w:tcPr>
            <w:tcW w:w="534" w:type="dxa"/>
            <w:shd w:val="clear" w:color="auto" w:fill="auto"/>
          </w:tcPr>
          <w:p w14:paraId="40A4A3C3" w14:textId="77777777" w:rsidR="000E0FEF" w:rsidRPr="000E6093" w:rsidRDefault="000E0FEF" w:rsidP="003869D2">
            <w:pPr>
              <w:spacing w:after="0" w:line="240" w:lineRule="auto"/>
              <w:rPr>
                <w:rFonts w:ascii="Arial" w:hAnsi="Arial" w:cs="Arial"/>
              </w:rPr>
            </w:pPr>
            <w:r w:rsidRPr="000E6093">
              <w:rPr>
                <w:rFonts w:ascii="Arial" w:hAnsi="Arial" w:cs="Arial"/>
              </w:rPr>
              <w:t>2.2</w:t>
            </w:r>
          </w:p>
          <w:p w14:paraId="072B396C" w14:textId="77777777" w:rsidR="000E0FEF" w:rsidRPr="000E6093" w:rsidRDefault="000E0FEF" w:rsidP="003869D2">
            <w:pPr>
              <w:spacing w:after="0" w:line="240" w:lineRule="auto"/>
              <w:rPr>
                <w:rFonts w:ascii="Arial" w:hAnsi="Arial" w:cs="Arial"/>
              </w:rPr>
            </w:pPr>
          </w:p>
        </w:tc>
        <w:tc>
          <w:tcPr>
            <w:tcW w:w="1701" w:type="dxa"/>
            <w:shd w:val="clear" w:color="auto" w:fill="D9D9D9"/>
          </w:tcPr>
          <w:p w14:paraId="2046A5F3" w14:textId="77777777" w:rsidR="000E0FEF" w:rsidRPr="000E6093" w:rsidRDefault="000E0FEF" w:rsidP="003869D2">
            <w:pPr>
              <w:spacing w:after="0" w:line="240" w:lineRule="auto"/>
              <w:rPr>
                <w:rFonts w:ascii="Arial" w:hAnsi="Arial" w:cs="Arial"/>
                <w:b/>
              </w:rPr>
            </w:pPr>
            <w:r w:rsidRPr="000E6093">
              <w:rPr>
                <w:rFonts w:ascii="Arial" w:hAnsi="Arial" w:cs="Arial"/>
                <w:b/>
              </w:rPr>
              <w:t>Evidence and Policy Base</w:t>
            </w:r>
          </w:p>
        </w:tc>
        <w:tc>
          <w:tcPr>
            <w:tcW w:w="7654" w:type="dxa"/>
            <w:shd w:val="clear" w:color="auto" w:fill="auto"/>
          </w:tcPr>
          <w:p w14:paraId="78C0544B" w14:textId="77777777" w:rsidR="006F684E" w:rsidRPr="000E6093" w:rsidRDefault="006F684E" w:rsidP="006F684E">
            <w:pPr>
              <w:autoSpaceDE w:val="0"/>
              <w:autoSpaceDN w:val="0"/>
              <w:spacing w:after="0" w:line="240" w:lineRule="auto"/>
              <w:jc w:val="both"/>
              <w:rPr>
                <w:rFonts w:ascii="Arial" w:hAnsi="Arial" w:cs="Arial"/>
              </w:rPr>
            </w:pPr>
            <w:r w:rsidRPr="000E6093">
              <w:rPr>
                <w:rFonts w:ascii="Arial" w:hAnsi="Arial" w:cs="Arial"/>
              </w:rPr>
              <w:t xml:space="preserve">The </w:t>
            </w:r>
            <w:hyperlink r:id="rId28" w:history="1">
              <w:r w:rsidRPr="000E6093">
                <w:rPr>
                  <w:rStyle w:val="Hyperlink"/>
                  <w:rFonts w:ascii="Arial" w:hAnsi="Arial" w:cs="Arial"/>
                </w:rPr>
                <w:t>UK 5-year action plan: Tackling antimicrobial resistance 2019 to 2024</w:t>
              </w:r>
            </w:hyperlink>
            <w:r w:rsidRPr="000E6093">
              <w:rPr>
                <w:rFonts w:ascii="Arial" w:hAnsi="Arial" w:cs="Arial"/>
              </w:rPr>
              <w:t xml:space="preserve"> includes an ambition to reduce antibiotic prescribing in humans by 15% by 2024, and a 25% reduction in antibiotic use in the community.</w:t>
            </w:r>
          </w:p>
          <w:p w14:paraId="056EC127" w14:textId="77777777" w:rsidR="006F684E" w:rsidRPr="000E6093" w:rsidRDefault="006F684E" w:rsidP="006F684E">
            <w:pPr>
              <w:autoSpaceDE w:val="0"/>
              <w:autoSpaceDN w:val="0"/>
              <w:spacing w:after="0" w:line="240" w:lineRule="auto"/>
              <w:jc w:val="both"/>
              <w:rPr>
                <w:rFonts w:ascii="Arial" w:hAnsi="Arial" w:cs="Arial"/>
              </w:rPr>
            </w:pPr>
            <w:r w:rsidRPr="000E6093">
              <w:rPr>
                <w:rFonts w:ascii="Arial" w:hAnsi="Arial" w:cs="Arial"/>
              </w:rPr>
              <w:t xml:space="preserve">Delivery of these ambitions are supported in the </w:t>
            </w:r>
            <w:hyperlink r:id="rId29" w:history="1">
              <w:r w:rsidRPr="000E6093">
                <w:rPr>
                  <w:rStyle w:val="Hyperlink"/>
                  <w:rFonts w:ascii="Arial" w:hAnsi="Arial" w:cs="Arial"/>
                </w:rPr>
                <w:t>NHS Long Term Plan</w:t>
              </w:r>
            </w:hyperlink>
            <w:r w:rsidRPr="000E6093">
              <w:rPr>
                <w:rFonts w:ascii="Arial" w:hAnsi="Arial" w:cs="Arial"/>
              </w:rPr>
              <w:t xml:space="preserve"> and implementation is led by the NHS England and NHS Improvement Antimicrobial Resistance (AMR) programme and integrated into NHS policies.</w:t>
            </w:r>
          </w:p>
          <w:p w14:paraId="51591A37" w14:textId="04F4AB0C" w:rsidR="000E0FEF" w:rsidRPr="000E6093" w:rsidRDefault="00593B60" w:rsidP="006F684E">
            <w:pPr>
              <w:autoSpaceDE w:val="0"/>
              <w:autoSpaceDN w:val="0"/>
              <w:spacing w:after="0" w:line="240" w:lineRule="auto"/>
              <w:jc w:val="both"/>
              <w:rPr>
                <w:rFonts w:ascii="Arial" w:hAnsi="Arial" w:cs="Arial"/>
              </w:rPr>
            </w:pPr>
            <w:hyperlink r:id="rId30" w:history="1">
              <w:r w:rsidR="006F684E" w:rsidRPr="000E6093">
                <w:rPr>
                  <w:rStyle w:val="Hyperlink"/>
                  <w:rFonts w:ascii="Arial" w:hAnsi="Arial" w:cs="Arial"/>
                </w:rPr>
                <w:t>NICE</w:t>
              </w:r>
            </w:hyperlink>
            <w:r w:rsidR="006F684E" w:rsidRPr="000E6093">
              <w:rPr>
                <w:rFonts w:ascii="Arial" w:hAnsi="Arial" w:cs="Arial"/>
              </w:rPr>
              <w:t xml:space="preserve"> publish antimicrobial prescribing guidelines for a variety of common infections and recommend appropriate use of antibiotics.</w:t>
            </w:r>
          </w:p>
        </w:tc>
      </w:tr>
    </w:tbl>
    <w:p w14:paraId="23B9E8AF" w14:textId="77777777" w:rsidR="00CF2715" w:rsidRPr="000E6093" w:rsidRDefault="00CF2715" w:rsidP="00CF2715">
      <w:pPr>
        <w:pStyle w:val="Heading2"/>
        <w:rPr>
          <w:rFonts w:cs="Arial"/>
          <w:sz w:val="22"/>
          <w:szCs w:val="22"/>
        </w:rPr>
      </w:pPr>
    </w:p>
    <w:p w14:paraId="2E203C65" w14:textId="1567AD8C" w:rsidR="00CF2715" w:rsidRPr="000E6093" w:rsidRDefault="008A6C13" w:rsidP="00CF2715">
      <w:pPr>
        <w:pStyle w:val="Heading2"/>
        <w:rPr>
          <w:rFonts w:cs="Arial"/>
          <w:sz w:val="22"/>
          <w:szCs w:val="22"/>
        </w:rPr>
      </w:pPr>
      <w:r w:rsidRPr="000E6093">
        <w:rPr>
          <w:rFonts w:cs="Arial"/>
          <w:sz w:val="22"/>
          <w:szCs w:val="22"/>
        </w:rPr>
        <w:br w:type="page"/>
      </w:r>
      <w:bookmarkStart w:id="76" w:name="_Toc82592085"/>
      <w:r w:rsidR="008E7A71" w:rsidRPr="000E6093">
        <w:rPr>
          <w:rFonts w:cs="Arial"/>
          <w:sz w:val="22"/>
          <w:szCs w:val="22"/>
        </w:rPr>
        <w:lastRenderedPageBreak/>
        <w:t xml:space="preserve">ASC04 – Prescribing of specific antibiotic items </w:t>
      </w:r>
      <w:r w:rsidR="00B562B6" w:rsidRPr="000E6093">
        <w:rPr>
          <w:rFonts w:cs="Arial"/>
          <w:sz w:val="22"/>
          <w:szCs w:val="22"/>
        </w:rPr>
        <w:t>per 1,000</w:t>
      </w:r>
      <w:r w:rsidR="008E7A71" w:rsidRPr="000E6093">
        <w:rPr>
          <w:rFonts w:cs="Arial"/>
          <w:sz w:val="22"/>
          <w:szCs w:val="22"/>
        </w:rPr>
        <w:t xml:space="preserve"> children</w:t>
      </w:r>
      <w:bookmarkEnd w:id="76"/>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0E6093" w14:paraId="60F0565D" w14:textId="77777777" w:rsidTr="003869D2">
        <w:tc>
          <w:tcPr>
            <w:tcW w:w="9889" w:type="dxa"/>
            <w:gridSpan w:val="3"/>
            <w:shd w:val="clear" w:color="auto" w:fill="D9D9D9"/>
          </w:tcPr>
          <w:p w14:paraId="25B9B8B9" w14:textId="77777777" w:rsidR="00CF2715" w:rsidRPr="000E6093" w:rsidRDefault="00CF2715" w:rsidP="003869D2">
            <w:pPr>
              <w:spacing w:after="0" w:line="240" w:lineRule="auto"/>
              <w:rPr>
                <w:rFonts w:ascii="Arial" w:hAnsi="Arial" w:cs="Arial"/>
              </w:rPr>
            </w:pPr>
            <w:r w:rsidRPr="000E6093">
              <w:rPr>
                <w:rFonts w:ascii="Arial" w:hAnsi="Arial" w:cs="Arial"/>
                <w:b/>
              </w:rPr>
              <w:t>Section 1: Introduction / Overview</w:t>
            </w:r>
          </w:p>
        </w:tc>
      </w:tr>
      <w:tr w:rsidR="00CF2715" w:rsidRPr="000E6093" w14:paraId="58BA26D3" w14:textId="77777777" w:rsidTr="003869D2">
        <w:trPr>
          <w:trHeight w:val="236"/>
        </w:trPr>
        <w:tc>
          <w:tcPr>
            <w:tcW w:w="534" w:type="dxa"/>
            <w:shd w:val="clear" w:color="auto" w:fill="auto"/>
          </w:tcPr>
          <w:p w14:paraId="7F2E20B9" w14:textId="77777777" w:rsidR="00CF2715" w:rsidRPr="000E6093" w:rsidRDefault="00CF2715" w:rsidP="003869D2">
            <w:pPr>
              <w:spacing w:after="0" w:line="240" w:lineRule="auto"/>
              <w:rPr>
                <w:rFonts w:ascii="Arial" w:hAnsi="Arial" w:cs="Arial"/>
              </w:rPr>
            </w:pPr>
            <w:r w:rsidRPr="000E6093">
              <w:rPr>
                <w:rFonts w:ascii="Arial" w:hAnsi="Arial" w:cs="Arial"/>
              </w:rPr>
              <w:t>1.1</w:t>
            </w:r>
          </w:p>
          <w:p w14:paraId="27AA4B79" w14:textId="77777777" w:rsidR="00CF2715" w:rsidRPr="000E6093" w:rsidRDefault="00CF2715" w:rsidP="003869D2">
            <w:pPr>
              <w:spacing w:after="0" w:line="240" w:lineRule="auto"/>
              <w:rPr>
                <w:rFonts w:ascii="Arial" w:hAnsi="Arial" w:cs="Arial"/>
              </w:rPr>
            </w:pPr>
          </w:p>
        </w:tc>
        <w:tc>
          <w:tcPr>
            <w:tcW w:w="1701" w:type="dxa"/>
            <w:tcBorders>
              <w:bottom w:val="single" w:sz="4" w:space="0" w:color="auto"/>
            </w:tcBorders>
            <w:shd w:val="clear" w:color="auto" w:fill="D9D9D9"/>
          </w:tcPr>
          <w:p w14:paraId="4B1E3AF2" w14:textId="77777777" w:rsidR="00CF2715" w:rsidRPr="000E6093" w:rsidRDefault="00CF2715" w:rsidP="003869D2">
            <w:pPr>
              <w:spacing w:after="0" w:line="240" w:lineRule="auto"/>
              <w:rPr>
                <w:rFonts w:ascii="Arial" w:hAnsi="Arial" w:cs="Arial"/>
                <w:b/>
              </w:rPr>
            </w:pPr>
            <w:r w:rsidRPr="000E6093">
              <w:rPr>
                <w:rFonts w:ascii="Arial" w:hAnsi="Arial" w:cs="Arial"/>
                <w:b/>
              </w:rPr>
              <w:t>Title</w:t>
            </w:r>
          </w:p>
        </w:tc>
        <w:tc>
          <w:tcPr>
            <w:tcW w:w="7654" w:type="dxa"/>
            <w:shd w:val="clear" w:color="auto" w:fill="auto"/>
          </w:tcPr>
          <w:p w14:paraId="61C83585" w14:textId="61D3E537" w:rsidR="00CF2715" w:rsidRPr="000E6093" w:rsidRDefault="008E7A71" w:rsidP="003869D2">
            <w:pPr>
              <w:spacing w:after="0" w:line="240" w:lineRule="auto"/>
              <w:rPr>
                <w:rFonts w:ascii="Arial" w:hAnsi="Arial" w:cs="Arial"/>
              </w:rPr>
            </w:pPr>
            <w:r w:rsidRPr="000E6093">
              <w:rPr>
                <w:rFonts w:ascii="Arial" w:hAnsi="Arial" w:cs="Arial"/>
              </w:rPr>
              <w:t xml:space="preserve">ASC04 – Prescribing of specific antibiotic items </w:t>
            </w:r>
            <w:r w:rsidR="00B562B6" w:rsidRPr="000E6093">
              <w:rPr>
                <w:rFonts w:ascii="Arial" w:hAnsi="Arial" w:cs="Arial"/>
              </w:rPr>
              <w:t>per 1,000</w:t>
            </w:r>
            <w:r w:rsidRPr="000E6093">
              <w:rPr>
                <w:rFonts w:ascii="Arial" w:hAnsi="Arial" w:cs="Arial"/>
              </w:rPr>
              <w:t xml:space="preserve"> children</w:t>
            </w:r>
          </w:p>
        </w:tc>
      </w:tr>
      <w:tr w:rsidR="008E7A71" w:rsidRPr="000E6093" w14:paraId="23B4E659" w14:textId="77777777" w:rsidTr="003869D2">
        <w:tc>
          <w:tcPr>
            <w:tcW w:w="534" w:type="dxa"/>
            <w:shd w:val="clear" w:color="auto" w:fill="auto"/>
          </w:tcPr>
          <w:p w14:paraId="787061FD" w14:textId="77777777" w:rsidR="008E7A71" w:rsidRPr="000E6093" w:rsidRDefault="008E7A71" w:rsidP="008E7A71">
            <w:pPr>
              <w:spacing w:after="0" w:line="240" w:lineRule="auto"/>
              <w:rPr>
                <w:rFonts w:ascii="Arial" w:hAnsi="Arial" w:cs="Arial"/>
              </w:rPr>
            </w:pPr>
            <w:r w:rsidRPr="000E6093">
              <w:rPr>
                <w:rFonts w:ascii="Arial" w:hAnsi="Arial" w:cs="Arial"/>
              </w:rPr>
              <w:t>1.2</w:t>
            </w:r>
          </w:p>
        </w:tc>
        <w:tc>
          <w:tcPr>
            <w:tcW w:w="1701" w:type="dxa"/>
            <w:tcBorders>
              <w:top w:val="single" w:sz="4" w:space="0" w:color="auto"/>
              <w:bottom w:val="single" w:sz="4" w:space="0" w:color="auto"/>
            </w:tcBorders>
            <w:shd w:val="clear" w:color="auto" w:fill="D9D9D9"/>
          </w:tcPr>
          <w:p w14:paraId="0A6C11FC" w14:textId="77777777" w:rsidR="008E7A71" w:rsidRPr="000E6093" w:rsidRDefault="008E7A71" w:rsidP="008E7A71">
            <w:pPr>
              <w:spacing w:after="0" w:line="240" w:lineRule="auto"/>
              <w:rPr>
                <w:rFonts w:ascii="Arial" w:hAnsi="Arial" w:cs="Arial"/>
                <w:b/>
              </w:rPr>
            </w:pPr>
            <w:r w:rsidRPr="000E6093">
              <w:rPr>
                <w:rFonts w:ascii="Arial" w:hAnsi="Arial" w:cs="Arial"/>
                <w:b/>
              </w:rPr>
              <w:t>Definition</w:t>
            </w:r>
          </w:p>
        </w:tc>
        <w:tc>
          <w:tcPr>
            <w:tcW w:w="7654" w:type="dxa"/>
            <w:shd w:val="clear" w:color="auto" w:fill="auto"/>
          </w:tcPr>
          <w:p w14:paraId="6EFAB9C0" w14:textId="77777777" w:rsidR="008E7A71" w:rsidRPr="000E6093" w:rsidRDefault="008E7A71" w:rsidP="008E7A71">
            <w:pPr>
              <w:spacing w:after="0" w:line="240" w:lineRule="auto"/>
              <w:rPr>
                <w:rFonts w:ascii="Arial" w:hAnsi="Arial" w:cs="Arial"/>
              </w:rPr>
            </w:pPr>
            <w:r w:rsidRPr="000E6093">
              <w:rPr>
                <w:rFonts w:ascii="Arial" w:hAnsi="Arial" w:cs="Arial"/>
              </w:rPr>
              <w:t>Number of items of selected antibiotics prescribed to children divided by the number of children on registered list size, multiplied by 1,000 for each age band</w:t>
            </w:r>
          </w:p>
        </w:tc>
      </w:tr>
      <w:tr w:rsidR="000E0FEF" w:rsidRPr="000E6093" w14:paraId="31CBC12B" w14:textId="77777777" w:rsidTr="003869D2">
        <w:trPr>
          <w:trHeight w:val="628"/>
        </w:trPr>
        <w:tc>
          <w:tcPr>
            <w:tcW w:w="534" w:type="dxa"/>
            <w:shd w:val="clear" w:color="auto" w:fill="auto"/>
          </w:tcPr>
          <w:p w14:paraId="6DF5B7E0" w14:textId="77777777" w:rsidR="000E0FEF" w:rsidRPr="000E6093" w:rsidRDefault="000E0FEF" w:rsidP="003869D2">
            <w:pPr>
              <w:spacing w:after="0" w:line="240" w:lineRule="auto"/>
              <w:rPr>
                <w:rFonts w:ascii="Arial" w:hAnsi="Arial" w:cs="Arial"/>
              </w:rPr>
            </w:pPr>
            <w:r w:rsidRPr="000E6093">
              <w:rPr>
                <w:rFonts w:ascii="Arial" w:hAnsi="Arial" w:cs="Arial"/>
              </w:rPr>
              <w:t>1.3</w:t>
            </w:r>
          </w:p>
        </w:tc>
        <w:tc>
          <w:tcPr>
            <w:tcW w:w="1701" w:type="dxa"/>
            <w:tcBorders>
              <w:top w:val="single" w:sz="4" w:space="0" w:color="auto"/>
              <w:bottom w:val="single" w:sz="4" w:space="0" w:color="auto"/>
            </w:tcBorders>
            <w:shd w:val="clear" w:color="auto" w:fill="D9D9D9"/>
          </w:tcPr>
          <w:p w14:paraId="069BFA86" w14:textId="77777777" w:rsidR="000E0FEF" w:rsidRPr="000E6093" w:rsidRDefault="000E0FEF" w:rsidP="003869D2">
            <w:pPr>
              <w:spacing w:after="0" w:line="240" w:lineRule="auto"/>
              <w:rPr>
                <w:rFonts w:ascii="Arial" w:hAnsi="Arial" w:cs="Arial"/>
                <w:b/>
              </w:rPr>
            </w:pPr>
            <w:r w:rsidRPr="000E6093">
              <w:rPr>
                <w:rFonts w:ascii="Arial" w:hAnsi="Arial" w:cs="Arial"/>
                <w:b/>
              </w:rPr>
              <w:t>Reporting Level</w:t>
            </w:r>
          </w:p>
        </w:tc>
        <w:tc>
          <w:tcPr>
            <w:tcW w:w="7654" w:type="dxa"/>
            <w:shd w:val="clear" w:color="auto" w:fill="auto"/>
          </w:tcPr>
          <w:p w14:paraId="28E69AC2" w14:textId="77777777" w:rsidR="000E0FEF" w:rsidRPr="000E6093" w:rsidRDefault="00796DA5" w:rsidP="003869D2">
            <w:pPr>
              <w:spacing w:after="0" w:line="240" w:lineRule="auto"/>
              <w:rPr>
                <w:rFonts w:ascii="Arial" w:hAnsi="Arial" w:cs="Arial"/>
                <w:color w:val="FF0000"/>
              </w:rPr>
            </w:pPr>
            <w:r w:rsidRPr="000E6093">
              <w:rPr>
                <w:rFonts w:ascii="Arial" w:hAnsi="Arial" w:cs="Arial"/>
              </w:rPr>
              <w:t>GP Practice/Cost Centre level (aggregated to PCN, CCG, STP, Regional and England level)</w:t>
            </w:r>
          </w:p>
        </w:tc>
      </w:tr>
      <w:tr w:rsidR="000E0FEF" w:rsidRPr="000E6093" w14:paraId="2A66B770" w14:textId="77777777" w:rsidTr="00FF66E7">
        <w:trPr>
          <w:trHeight w:val="1223"/>
        </w:trPr>
        <w:tc>
          <w:tcPr>
            <w:tcW w:w="534" w:type="dxa"/>
            <w:shd w:val="clear" w:color="auto" w:fill="auto"/>
          </w:tcPr>
          <w:p w14:paraId="70BE6D67" w14:textId="77777777" w:rsidR="000E0FEF" w:rsidRPr="000E6093" w:rsidRDefault="000E0FEF" w:rsidP="003869D2">
            <w:pPr>
              <w:spacing w:after="0" w:line="240" w:lineRule="auto"/>
              <w:rPr>
                <w:rFonts w:ascii="Arial" w:hAnsi="Arial" w:cs="Arial"/>
              </w:rPr>
            </w:pPr>
            <w:r w:rsidRPr="000E6093">
              <w:rPr>
                <w:rFonts w:ascii="Arial" w:hAnsi="Arial" w:cs="Arial"/>
              </w:rPr>
              <w:t>1.4</w:t>
            </w:r>
          </w:p>
        </w:tc>
        <w:tc>
          <w:tcPr>
            <w:tcW w:w="1701" w:type="dxa"/>
            <w:tcBorders>
              <w:top w:val="single" w:sz="4" w:space="0" w:color="auto"/>
              <w:bottom w:val="single" w:sz="4" w:space="0" w:color="auto"/>
            </w:tcBorders>
            <w:shd w:val="clear" w:color="auto" w:fill="D9D9D9"/>
          </w:tcPr>
          <w:p w14:paraId="54780001" w14:textId="77777777" w:rsidR="000E0FEF" w:rsidRPr="000E6093" w:rsidRDefault="000E0FEF" w:rsidP="003869D2">
            <w:pPr>
              <w:spacing w:after="0" w:line="240" w:lineRule="auto"/>
              <w:rPr>
                <w:rFonts w:ascii="Arial" w:hAnsi="Arial" w:cs="Arial"/>
                <w:b/>
              </w:rPr>
            </w:pPr>
            <w:r w:rsidRPr="000E6093">
              <w:rPr>
                <w:rFonts w:ascii="Arial" w:hAnsi="Arial" w:cs="Arial"/>
                <w:b/>
              </w:rPr>
              <w:t>Numerator</w:t>
            </w:r>
          </w:p>
        </w:tc>
        <w:tc>
          <w:tcPr>
            <w:tcW w:w="7654" w:type="dxa"/>
            <w:shd w:val="clear" w:color="auto" w:fill="auto"/>
          </w:tcPr>
          <w:p w14:paraId="1AA4FC4F" w14:textId="77777777" w:rsidR="008E7A71" w:rsidRPr="000E6093" w:rsidRDefault="008E7A71" w:rsidP="008E7A71">
            <w:pPr>
              <w:spacing w:after="0" w:line="240" w:lineRule="auto"/>
              <w:rPr>
                <w:rFonts w:ascii="Arial" w:hAnsi="Arial" w:cs="Arial"/>
              </w:rPr>
            </w:pPr>
            <w:r w:rsidRPr="000E6093">
              <w:rPr>
                <w:rFonts w:ascii="Arial" w:hAnsi="Arial" w:cs="Arial"/>
              </w:rPr>
              <w:t>Number of items prescribed to children in the selected age band for the drugs</w:t>
            </w:r>
            <w:r w:rsidR="00E14B23" w:rsidRPr="000E6093">
              <w:rPr>
                <w:rFonts w:ascii="Arial" w:hAnsi="Arial" w:cs="Arial"/>
              </w:rPr>
              <w:t xml:space="preserve"> selected from the following</w:t>
            </w:r>
            <w:r w:rsidRPr="000E6093">
              <w:rPr>
                <w:rFonts w:ascii="Arial" w:hAnsi="Arial" w:cs="Arial"/>
              </w:rPr>
              <w:t>:</w:t>
            </w:r>
          </w:p>
          <w:p w14:paraId="4670234A" w14:textId="77777777" w:rsidR="008E7A71" w:rsidRPr="000E6093" w:rsidRDefault="008E7A71" w:rsidP="008E7A71">
            <w:pPr>
              <w:spacing w:after="0" w:line="240" w:lineRule="auto"/>
              <w:rPr>
                <w:rFonts w:ascii="Arial" w:hAnsi="Arial" w:cs="Arial"/>
              </w:rPr>
            </w:pPr>
          </w:p>
          <w:p w14:paraId="57069763" w14:textId="77777777" w:rsidR="00FF66E7" w:rsidRPr="000E6093" w:rsidRDefault="00FF66E7" w:rsidP="003869D2">
            <w:pPr>
              <w:spacing w:after="0" w:line="240" w:lineRule="auto"/>
              <w:rPr>
                <w:rFonts w:ascii="Arial" w:hAnsi="Arial" w:cs="Arial"/>
              </w:rPr>
            </w:pPr>
          </w:p>
          <w:tbl>
            <w:tblPr>
              <w:tblW w:w="7280" w:type="dxa"/>
              <w:tblLayout w:type="fixed"/>
              <w:tblLook w:val="04A0" w:firstRow="1" w:lastRow="0" w:firstColumn="1" w:lastColumn="0" w:noHBand="0" w:noVBand="1"/>
            </w:tblPr>
            <w:tblGrid>
              <w:gridCol w:w="3640"/>
              <w:gridCol w:w="3640"/>
            </w:tblGrid>
            <w:tr w:rsidR="00FF66E7" w:rsidRPr="000E6093" w14:paraId="56D5BE02" w14:textId="77777777" w:rsidTr="00FF66E7">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32EA9213" w14:textId="77777777" w:rsidR="00FF66E7" w:rsidRPr="000E6093" w:rsidRDefault="00FF66E7" w:rsidP="00FF66E7">
                  <w:pPr>
                    <w:spacing w:after="0" w:line="240" w:lineRule="auto"/>
                    <w:rPr>
                      <w:rFonts w:ascii="Arial" w:eastAsia="Times New Roman" w:hAnsi="Arial" w:cs="Arial"/>
                      <w:b/>
                      <w:bCs/>
                      <w:color w:val="000000"/>
                      <w:lang w:eastAsia="en-GB"/>
                    </w:rPr>
                  </w:pPr>
                  <w:r w:rsidRPr="000E6093">
                    <w:rPr>
                      <w:rFonts w:ascii="Arial" w:eastAsia="Times New Roman" w:hAnsi="Arial" w:cs="Arial"/>
                      <w:b/>
                      <w:bCs/>
                      <w:color w:val="000000"/>
                      <w:lang w:eastAsia="en-GB"/>
                    </w:rPr>
                    <w:t xml:space="preserve">BNF Chemical Substance / </w:t>
                  </w:r>
                  <w:r w:rsidR="00E14B23" w:rsidRPr="000E6093">
                    <w:rPr>
                      <w:rFonts w:ascii="Arial" w:eastAsia="Times New Roman" w:hAnsi="Arial" w:cs="Arial"/>
                      <w:b/>
                      <w:bCs/>
                      <w:color w:val="000000"/>
                      <w:lang w:eastAsia="en-GB"/>
                    </w:rPr>
                    <w:t>Sub-Paragraph</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6BF2A5F6" w14:textId="77777777" w:rsidR="00FF66E7" w:rsidRPr="000E6093" w:rsidRDefault="00FF66E7" w:rsidP="00FF66E7">
                  <w:pPr>
                    <w:spacing w:after="0" w:line="240" w:lineRule="auto"/>
                    <w:rPr>
                      <w:rFonts w:ascii="Arial" w:eastAsia="Times New Roman" w:hAnsi="Arial" w:cs="Arial"/>
                      <w:b/>
                      <w:bCs/>
                      <w:color w:val="000000"/>
                      <w:lang w:eastAsia="en-GB"/>
                    </w:rPr>
                  </w:pPr>
                  <w:r w:rsidRPr="000E6093">
                    <w:rPr>
                      <w:rFonts w:ascii="Arial" w:eastAsia="Times New Roman" w:hAnsi="Arial" w:cs="Arial"/>
                      <w:b/>
                      <w:bCs/>
                      <w:color w:val="000000"/>
                      <w:lang w:eastAsia="en-GB"/>
                    </w:rPr>
                    <w:t>BNF Code</w:t>
                  </w:r>
                </w:p>
              </w:tc>
            </w:tr>
            <w:tr w:rsidR="00FF66E7" w:rsidRPr="000E6093" w14:paraId="2FBDEB6C" w14:textId="77777777" w:rsidTr="008E7A71">
              <w:trPr>
                <w:trHeight w:val="270"/>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0E74571" w14:textId="77777777" w:rsidR="00FF66E7"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Amoxicillin</w:t>
                  </w:r>
                </w:p>
              </w:tc>
              <w:tc>
                <w:tcPr>
                  <w:tcW w:w="3640" w:type="dxa"/>
                  <w:tcBorders>
                    <w:top w:val="single" w:sz="4" w:space="0" w:color="auto"/>
                    <w:left w:val="nil"/>
                    <w:bottom w:val="single" w:sz="4" w:space="0" w:color="auto"/>
                    <w:right w:val="single" w:sz="8" w:space="0" w:color="auto"/>
                  </w:tcBorders>
                  <w:shd w:val="clear" w:color="auto" w:fill="auto"/>
                  <w:vAlign w:val="center"/>
                  <w:hideMark/>
                </w:tcPr>
                <w:p w14:paraId="235FDD6A" w14:textId="77777777" w:rsidR="00FF66E7"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0501013B0</w:t>
                  </w:r>
                </w:p>
              </w:tc>
            </w:tr>
            <w:tr w:rsidR="008E7A71" w:rsidRPr="000E6093" w14:paraId="5847782E" w14:textId="77777777" w:rsidTr="008E7A71">
              <w:trPr>
                <w:trHeight w:val="270"/>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tcPr>
                <w:p w14:paraId="23FD65C1"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Cephalosporins</w:t>
                  </w:r>
                </w:p>
              </w:tc>
              <w:tc>
                <w:tcPr>
                  <w:tcW w:w="3640" w:type="dxa"/>
                  <w:tcBorders>
                    <w:top w:val="single" w:sz="4" w:space="0" w:color="auto"/>
                    <w:left w:val="nil"/>
                    <w:bottom w:val="single" w:sz="4" w:space="0" w:color="auto"/>
                    <w:right w:val="single" w:sz="8" w:space="0" w:color="auto"/>
                  </w:tcBorders>
                  <w:shd w:val="clear" w:color="auto" w:fill="auto"/>
                  <w:vAlign w:val="center"/>
                </w:tcPr>
                <w:p w14:paraId="4B355695"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0501021</w:t>
                  </w:r>
                </w:p>
              </w:tc>
            </w:tr>
            <w:tr w:rsidR="008E7A71" w:rsidRPr="000E6093" w14:paraId="12EB287F" w14:textId="77777777" w:rsidTr="008E7A71">
              <w:trPr>
                <w:trHeight w:val="270"/>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tcPr>
                <w:p w14:paraId="48DA65AF"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Co-Amoxiclav (Amoxicillin/</w:t>
                  </w:r>
                  <w:proofErr w:type="spellStart"/>
                  <w:r w:rsidRPr="000E6093">
                    <w:rPr>
                      <w:rFonts w:ascii="Arial" w:eastAsia="Times New Roman" w:hAnsi="Arial" w:cs="Arial"/>
                      <w:color w:val="000000"/>
                      <w:lang w:eastAsia="en-GB"/>
                    </w:rPr>
                    <w:t>Clavul</w:t>
                  </w:r>
                  <w:proofErr w:type="spellEnd"/>
                  <w:r w:rsidRPr="000E6093">
                    <w:rPr>
                      <w:rFonts w:ascii="Arial" w:eastAsia="Times New Roman" w:hAnsi="Arial" w:cs="Arial"/>
                      <w:color w:val="000000"/>
                      <w:lang w:eastAsia="en-GB"/>
                    </w:rPr>
                    <w:t xml:space="preserve"> Acid)</w:t>
                  </w:r>
                </w:p>
              </w:tc>
              <w:tc>
                <w:tcPr>
                  <w:tcW w:w="3640" w:type="dxa"/>
                  <w:tcBorders>
                    <w:top w:val="single" w:sz="4" w:space="0" w:color="auto"/>
                    <w:left w:val="nil"/>
                    <w:bottom w:val="single" w:sz="4" w:space="0" w:color="auto"/>
                    <w:right w:val="single" w:sz="8" w:space="0" w:color="auto"/>
                  </w:tcBorders>
                  <w:shd w:val="clear" w:color="auto" w:fill="auto"/>
                  <w:vAlign w:val="center"/>
                </w:tcPr>
                <w:p w14:paraId="7D7BD6C4"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0501013K0</w:t>
                  </w:r>
                </w:p>
              </w:tc>
            </w:tr>
            <w:tr w:rsidR="008E7A71" w:rsidRPr="000E6093" w14:paraId="56DAD688" w14:textId="77777777" w:rsidTr="008E7A71">
              <w:trPr>
                <w:trHeight w:val="270"/>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tcPr>
                <w:p w14:paraId="627D5D63"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Flucloxacillin</w:t>
                  </w:r>
                </w:p>
              </w:tc>
              <w:tc>
                <w:tcPr>
                  <w:tcW w:w="3640" w:type="dxa"/>
                  <w:tcBorders>
                    <w:top w:val="single" w:sz="4" w:space="0" w:color="auto"/>
                    <w:left w:val="nil"/>
                    <w:bottom w:val="single" w:sz="4" w:space="0" w:color="auto"/>
                    <w:right w:val="single" w:sz="8" w:space="0" w:color="auto"/>
                  </w:tcBorders>
                  <w:shd w:val="clear" w:color="auto" w:fill="auto"/>
                  <w:vAlign w:val="center"/>
                </w:tcPr>
                <w:p w14:paraId="7E748337"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0501012G0, 0501012H0</w:t>
                  </w:r>
                </w:p>
              </w:tc>
            </w:tr>
            <w:tr w:rsidR="008E7A71" w:rsidRPr="000E6093" w14:paraId="12612B10" w14:textId="77777777" w:rsidTr="008E7A71">
              <w:trPr>
                <w:trHeight w:val="270"/>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tcPr>
                <w:p w14:paraId="2464FB7F"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Macrolides</w:t>
                  </w:r>
                </w:p>
              </w:tc>
              <w:tc>
                <w:tcPr>
                  <w:tcW w:w="3640" w:type="dxa"/>
                  <w:tcBorders>
                    <w:top w:val="single" w:sz="4" w:space="0" w:color="auto"/>
                    <w:left w:val="nil"/>
                    <w:bottom w:val="single" w:sz="4" w:space="0" w:color="auto"/>
                    <w:right w:val="single" w:sz="8" w:space="0" w:color="auto"/>
                  </w:tcBorders>
                  <w:shd w:val="clear" w:color="auto" w:fill="auto"/>
                  <w:vAlign w:val="center"/>
                </w:tcPr>
                <w:p w14:paraId="5110F3AE"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0501050</w:t>
                  </w:r>
                </w:p>
              </w:tc>
            </w:tr>
            <w:tr w:rsidR="008E7A71" w:rsidRPr="000E6093" w14:paraId="19AECF86" w14:textId="77777777" w:rsidTr="008E7A71">
              <w:trPr>
                <w:trHeight w:val="270"/>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tcPr>
                <w:p w14:paraId="34BDB7EA"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Nitrofurantoin</w:t>
                  </w:r>
                </w:p>
              </w:tc>
              <w:tc>
                <w:tcPr>
                  <w:tcW w:w="3640" w:type="dxa"/>
                  <w:tcBorders>
                    <w:top w:val="single" w:sz="4" w:space="0" w:color="auto"/>
                    <w:left w:val="nil"/>
                    <w:bottom w:val="single" w:sz="4" w:space="0" w:color="auto"/>
                    <w:right w:val="single" w:sz="8" w:space="0" w:color="auto"/>
                  </w:tcBorders>
                  <w:shd w:val="clear" w:color="auto" w:fill="auto"/>
                  <w:vAlign w:val="center"/>
                </w:tcPr>
                <w:p w14:paraId="6D456133" w14:textId="77777777" w:rsidR="008E7A71" w:rsidRPr="000E6093" w:rsidRDefault="00E14B23"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0501130R0</w:t>
                  </w:r>
                </w:p>
              </w:tc>
            </w:tr>
            <w:tr w:rsidR="008E7A71" w:rsidRPr="000E6093" w14:paraId="26A29AFB" w14:textId="77777777" w:rsidTr="008E7A71">
              <w:trPr>
                <w:trHeight w:val="270"/>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tcPr>
                <w:p w14:paraId="625C1408"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Phenoxymethylpenicillin (Penicillin V)</w:t>
                  </w:r>
                </w:p>
              </w:tc>
              <w:tc>
                <w:tcPr>
                  <w:tcW w:w="3640" w:type="dxa"/>
                  <w:tcBorders>
                    <w:top w:val="single" w:sz="4" w:space="0" w:color="auto"/>
                    <w:left w:val="nil"/>
                    <w:bottom w:val="single" w:sz="4" w:space="0" w:color="auto"/>
                    <w:right w:val="single" w:sz="8" w:space="0" w:color="auto"/>
                  </w:tcBorders>
                  <w:shd w:val="clear" w:color="auto" w:fill="auto"/>
                  <w:vAlign w:val="center"/>
                </w:tcPr>
                <w:p w14:paraId="01795445" w14:textId="77777777" w:rsidR="008E7A71" w:rsidRPr="000E6093" w:rsidRDefault="00E14B23"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0501011P0</w:t>
                  </w:r>
                </w:p>
              </w:tc>
            </w:tr>
            <w:tr w:rsidR="008E7A71" w:rsidRPr="000E6093" w14:paraId="3C7CDA29" w14:textId="77777777" w:rsidTr="008E7A71">
              <w:trPr>
                <w:trHeight w:val="270"/>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tcPr>
                <w:p w14:paraId="472066B3"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Tetracyclines</w:t>
                  </w:r>
                </w:p>
              </w:tc>
              <w:tc>
                <w:tcPr>
                  <w:tcW w:w="3640" w:type="dxa"/>
                  <w:tcBorders>
                    <w:top w:val="single" w:sz="4" w:space="0" w:color="auto"/>
                    <w:left w:val="nil"/>
                    <w:bottom w:val="single" w:sz="4" w:space="0" w:color="auto"/>
                    <w:right w:val="single" w:sz="8" w:space="0" w:color="auto"/>
                  </w:tcBorders>
                  <w:shd w:val="clear" w:color="auto" w:fill="auto"/>
                  <w:vAlign w:val="center"/>
                </w:tcPr>
                <w:p w14:paraId="4110CC5D" w14:textId="77777777" w:rsidR="008E7A71" w:rsidRPr="000E6093" w:rsidRDefault="00E14B23"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0501030</w:t>
                  </w:r>
                </w:p>
              </w:tc>
            </w:tr>
            <w:tr w:rsidR="008E7A71" w:rsidRPr="000E6093" w14:paraId="6246C8B3" w14:textId="77777777" w:rsidTr="00FF66E7">
              <w:trPr>
                <w:trHeight w:val="270"/>
              </w:trPr>
              <w:tc>
                <w:tcPr>
                  <w:tcW w:w="3640" w:type="dxa"/>
                  <w:tcBorders>
                    <w:top w:val="single" w:sz="4" w:space="0" w:color="auto"/>
                    <w:left w:val="single" w:sz="8" w:space="0" w:color="auto"/>
                    <w:bottom w:val="single" w:sz="8" w:space="0" w:color="auto"/>
                    <w:right w:val="single" w:sz="4" w:space="0" w:color="auto"/>
                  </w:tcBorders>
                  <w:shd w:val="clear" w:color="auto" w:fill="auto"/>
                  <w:vAlign w:val="center"/>
                </w:tcPr>
                <w:p w14:paraId="1CCA3096" w14:textId="77777777" w:rsidR="008E7A71" w:rsidRPr="000E6093" w:rsidRDefault="008E7A71"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Trimethoprim</w:t>
                  </w:r>
                </w:p>
              </w:tc>
              <w:tc>
                <w:tcPr>
                  <w:tcW w:w="3640" w:type="dxa"/>
                  <w:tcBorders>
                    <w:top w:val="single" w:sz="4" w:space="0" w:color="auto"/>
                    <w:left w:val="nil"/>
                    <w:bottom w:val="single" w:sz="8" w:space="0" w:color="auto"/>
                    <w:right w:val="single" w:sz="8" w:space="0" w:color="auto"/>
                  </w:tcBorders>
                  <w:shd w:val="clear" w:color="auto" w:fill="auto"/>
                  <w:vAlign w:val="center"/>
                </w:tcPr>
                <w:p w14:paraId="13B6AE3B" w14:textId="77777777" w:rsidR="008E7A71" w:rsidRPr="000E6093" w:rsidRDefault="00E14B23" w:rsidP="00FF66E7">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0501080W0</w:t>
                  </w:r>
                </w:p>
              </w:tc>
            </w:tr>
          </w:tbl>
          <w:p w14:paraId="508E6EDE" w14:textId="77777777" w:rsidR="00FF66E7" w:rsidRPr="000E6093" w:rsidRDefault="00FF66E7" w:rsidP="003869D2">
            <w:pPr>
              <w:spacing w:after="0" w:line="240" w:lineRule="auto"/>
              <w:rPr>
                <w:rFonts w:ascii="Arial" w:hAnsi="Arial" w:cs="Arial"/>
              </w:rPr>
            </w:pPr>
          </w:p>
          <w:p w14:paraId="03400D73" w14:textId="150D4E8A" w:rsidR="008E7A71" w:rsidRPr="000E6093" w:rsidRDefault="005F6934" w:rsidP="003869D2">
            <w:pPr>
              <w:spacing w:after="0" w:line="240" w:lineRule="auto"/>
              <w:rPr>
                <w:rFonts w:ascii="Arial" w:hAnsi="Arial" w:cs="Arial"/>
              </w:rPr>
            </w:pPr>
            <w:r w:rsidRPr="000E6093">
              <w:rPr>
                <w:rFonts w:ascii="Arial" w:hAnsi="Arial" w:cs="Arial"/>
              </w:rPr>
              <w:t xml:space="preserve">Note the user has the option of selecting one or more of the above </w:t>
            </w:r>
            <w:r w:rsidR="00935F5A" w:rsidRPr="000E6093">
              <w:rPr>
                <w:rFonts w:ascii="Arial" w:hAnsi="Arial" w:cs="Arial"/>
              </w:rPr>
              <w:t>antibiotic</w:t>
            </w:r>
            <w:r w:rsidR="00C52D2B" w:rsidRPr="000E6093">
              <w:rPr>
                <w:rFonts w:ascii="Arial" w:hAnsi="Arial" w:cs="Arial"/>
              </w:rPr>
              <w:t xml:space="preserve"> categories</w:t>
            </w:r>
          </w:p>
          <w:p w14:paraId="4B509D3D" w14:textId="77777777" w:rsidR="008E7A71" w:rsidRPr="000E6093" w:rsidRDefault="008E7A71" w:rsidP="003869D2">
            <w:pPr>
              <w:spacing w:after="0" w:line="240" w:lineRule="auto"/>
              <w:rPr>
                <w:rFonts w:ascii="Arial" w:hAnsi="Arial" w:cs="Arial"/>
              </w:rPr>
            </w:pPr>
          </w:p>
          <w:p w14:paraId="6EAD0A4C" w14:textId="77777777" w:rsidR="008E7A71" w:rsidRPr="000E6093" w:rsidRDefault="008E7A71" w:rsidP="003869D2">
            <w:pPr>
              <w:spacing w:after="0" w:line="240" w:lineRule="auto"/>
              <w:rPr>
                <w:rFonts w:ascii="Arial" w:hAnsi="Arial" w:cs="Arial"/>
              </w:rPr>
            </w:pPr>
          </w:p>
          <w:p w14:paraId="7F70EDFB" w14:textId="77777777" w:rsidR="008E7A71" w:rsidRPr="000E6093" w:rsidRDefault="008E7A71" w:rsidP="003869D2">
            <w:pPr>
              <w:spacing w:after="0" w:line="240" w:lineRule="auto"/>
              <w:rPr>
                <w:rFonts w:ascii="Arial" w:hAnsi="Arial" w:cs="Arial"/>
              </w:rPr>
            </w:pPr>
          </w:p>
        </w:tc>
      </w:tr>
      <w:tr w:rsidR="005F6934" w:rsidRPr="000E6093" w14:paraId="378921F7" w14:textId="77777777" w:rsidTr="003869D2">
        <w:trPr>
          <w:trHeight w:val="597"/>
        </w:trPr>
        <w:tc>
          <w:tcPr>
            <w:tcW w:w="534" w:type="dxa"/>
            <w:shd w:val="clear" w:color="auto" w:fill="auto"/>
          </w:tcPr>
          <w:p w14:paraId="419803E7" w14:textId="77777777" w:rsidR="005F6934" w:rsidRPr="000E6093" w:rsidRDefault="005F6934" w:rsidP="005F6934">
            <w:pPr>
              <w:spacing w:after="0" w:line="240" w:lineRule="auto"/>
              <w:rPr>
                <w:rFonts w:ascii="Arial" w:hAnsi="Arial" w:cs="Arial"/>
              </w:rPr>
            </w:pPr>
            <w:r w:rsidRPr="000E6093">
              <w:rPr>
                <w:rFonts w:ascii="Arial" w:hAnsi="Arial" w:cs="Arial"/>
              </w:rPr>
              <w:t>1.5</w:t>
            </w:r>
          </w:p>
        </w:tc>
        <w:tc>
          <w:tcPr>
            <w:tcW w:w="1701" w:type="dxa"/>
            <w:tcBorders>
              <w:top w:val="single" w:sz="4" w:space="0" w:color="auto"/>
              <w:bottom w:val="single" w:sz="4" w:space="0" w:color="auto"/>
            </w:tcBorders>
            <w:shd w:val="clear" w:color="auto" w:fill="D9D9D9"/>
          </w:tcPr>
          <w:p w14:paraId="7FDA81F1" w14:textId="77777777" w:rsidR="005F6934" w:rsidRPr="000E6093" w:rsidRDefault="005F6934" w:rsidP="005F6934">
            <w:pPr>
              <w:spacing w:after="0" w:line="240" w:lineRule="auto"/>
              <w:rPr>
                <w:rFonts w:ascii="Arial" w:hAnsi="Arial" w:cs="Arial"/>
                <w:b/>
              </w:rPr>
            </w:pPr>
            <w:r w:rsidRPr="000E6093">
              <w:rPr>
                <w:rFonts w:ascii="Arial" w:hAnsi="Arial" w:cs="Arial"/>
                <w:b/>
              </w:rPr>
              <w:t>Denominator</w:t>
            </w:r>
          </w:p>
        </w:tc>
        <w:tc>
          <w:tcPr>
            <w:tcW w:w="7654" w:type="dxa"/>
            <w:shd w:val="clear" w:color="auto" w:fill="auto"/>
          </w:tcPr>
          <w:p w14:paraId="7CB7F042" w14:textId="77777777" w:rsidR="005F6934" w:rsidRPr="000E6093" w:rsidRDefault="005F6934" w:rsidP="005F6934">
            <w:pPr>
              <w:spacing w:after="0" w:line="240" w:lineRule="auto"/>
              <w:rPr>
                <w:rFonts w:ascii="Arial" w:hAnsi="Arial" w:cs="Arial"/>
              </w:rPr>
            </w:pPr>
            <w:r w:rsidRPr="000E6093">
              <w:rPr>
                <w:rFonts w:ascii="Arial" w:hAnsi="Arial" w:cs="Arial"/>
              </w:rPr>
              <w:t>Number of children on registered list size for the selected age band.</w:t>
            </w:r>
          </w:p>
        </w:tc>
      </w:tr>
      <w:tr w:rsidR="000E0FEF" w:rsidRPr="000E6093" w14:paraId="5203665A" w14:textId="77777777" w:rsidTr="003869D2">
        <w:tc>
          <w:tcPr>
            <w:tcW w:w="534" w:type="dxa"/>
            <w:shd w:val="clear" w:color="auto" w:fill="auto"/>
          </w:tcPr>
          <w:p w14:paraId="22E8E2AA" w14:textId="77777777" w:rsidR="000E0FEF" w:rsidRPr="000E6093" w:rsidRDefault="000E0FEF" w:rsidP="003869D2">
            <w:pPr>
              <w:spacing w:after="0" w:line="240" w:lineRule="auto"/>
              <w:rPr>
                <w:rFonts w:ascii="Arial" w:hAnsi="Arial" w:cs="Arial"/>
              </w:rPr>
            </w:pPr>
            <w:r w:rsidRPr="000E6093">
              <w:rPr>
                <w:rFonts w:ascii="Arial" w:hAnsi="Arial" w:cs="Arial"/>
              </w:rPr>
              <w:t>1.6</w:t>
            </w:r>
          </w:p>
        </w:tc>
        <w:tc>
          <w:tcPr>
            <w:tcW w:w="1701" w:type="dxa"/>
            <w:tcBorders>
              <w:top w:val="single" w:sz="4" w:space="0" w:color="auto"/>
            </w:tcBorders>
            <w:shd w:val="clear" w:color="auto" w:fill="D9D9D9"/>
          </w:tcPr>
          <w:p w14:paraId="5B4C56BE" w14:textId="77777777" w:rsidR="000E0FEF" w:rsidRPr="000E6093" w:rsidRDefault="000E0FEF" w:rsidP="003869D2">
            <w:pPr>
              <w:spacing w:after="0" w:line="240" w:lineRule="auto"/>
              <w:rPr>
                <w:rFonts w:ascii="Arial" w:hAnsi="Arial" w:cs="Arial"/>
                <w:b/>
              </w:rPr>
            </w:pPr>
            <w:r w:rsidRPr="000E6093">
              <w:rPr>
                <w:rFonts w:ascii="Arial" w:hAnsi="Arial" w:cs="Arial"/>
                <w:b/>
              </w:rPr>
              <w:t>Methodology</w:t>
            </w:r>
          </w:p>
        </w:tc>
        <w:tc>
          <w:tcPr>
            <w:tcW w:w="7654" w:type="dxa"/>
            <w:shd w:val="clear" w:color="auto" w:fill="auto"/>
          </w:tcPr>
          <w:p w14:paraId="1AA89FB3" w14:textId="77777777" w:rsidR="000E0FEF" w:rsidRPr="000E6093" w:rsidRDefault="007C2F4D" w:rsidP="003869D2">
            <w:pPr>
              <w:spacing w:after="0" w:line="240" w:lineRule="auto"/>
              <w:rPr>
                <w:rFonts w:ascii="Arial" w:hAnsi="Arial" w:cs="Arial"/>
              </w:rPr>
            </w:pPr>
            <w:r w:rsidRPr="000E6093">
              <w:rPr>
                <w:rFonts w:ascii="Arial" w:hAnsi="Arial" w:cs="Arial"/>
              </w:rPr>
              <w:t>Numerator divided by denominator, multiplied by 1,000</w:t>
            </w:r>
          </w:p>
        </w:tc>
      </w:tr>
      <w:tr w:rsidR="000E0FEF" w:rsidRPr="000E6093" w14:paraId="5BD1C010" w14:textId="77777777" w:rsidTr="003869D2">
        <w:tc>
          <w:tcPr>
            <w:tcW w:w="9889" w:type="dxa"/>
            <w:gridSpan w:val="3"/>
            <w:shd w:val="clear" w:color="auto" w:fill="D9D9D9"/>
          </w:tcPr>
          <w:p w14:paraId="677A59BE" w14:textId="77777777" w:rsidR="000E0FEF" w:rsidRPr="000E6093" w:rsidRDefault="000E0FEF" w:rsidP="003869D2">
            <w:pPr>
              <w:spacing w:after="0" w:line="240" w:lineRule="auto"/>
              <w:rPr>
                <w:rFonts w:ascii="Arial" w:hAnsi="Arial" w:cs="Arial"/>
              </w:rPr>
            </w:pPr>
            <w:r w:rsidRPr="000E6093">
              <w:rPr>
                <w:rFonts w:ascii="Arial" w:hAnsi="Arial" w:cs="Arial"/>
                <w:b/>
              </w:rPr>
              <w:t>Section 2: Rationale</w:t>
            </w:r>
          </w:p>
        </w:tc>
      </w:tr>
      <w:tr w:rsidR="000E0FEF" w:rsidRPr="000E6093" w14:paraId="63F71361" w14:textId="77777777" w:rsidTr="003869D2">
        <w:trPr>
          <w:trHeight w:val="558"/>
        </w:trPr>
        <w:tc>
          <w:tcPr>
            <w:tcW w:w="534" w:type="dxa"/>
            <w:shd w:val="clear" w:color="auto" w:fill="auto"/>
          </w:tcPr>
          <w:p w14:paraId="18C21130" w14:textId="77777777" w:rsidR="000E0FEF" w:rsidRPr="000E6093" w:rsidRDefault="000E0FEF" w:rsidP="003869D2">
            <w:pPr>
              <w:spacing w:after="0" w:line="240" w:lineRule="auto"/>
              <w:rPr>
                <w:rFonts w:ascii="Arial" w:hAnsi="Arial" w:cs="Arial"/>
              </w:rPr>
            </w:pPr>
            <w:r w:rsidRPr="000E6093">
              <w:rPr>
                <w:rFonts w:ascii="Arial" w:hAnsi="Arial" w:cs="Arial"/>
              </w:rPr>
              <w:t>2.1</w:t>
            </w:r>
          </w:p>
          <w:p w14:paraId="681A1D13" w14:textId="77777777" w:rsidR="000E0FEF" w:rsidRPr="000E6093" w:rsidRDefault="000E0FEF" w:rsidP="003869D2">
            <w:pPr>
              <w:spacing w:after="0" w:line="240" w:lineRule="auto"/>
              <w:rPr>
                <w:rFonts w:ascii="Arial" w:hAnsi="Arial" w:cs="Arial"/>
              </w:rPr>
            </w:pPr>
          </w:p>
        </w:tc>
        <w:tc>
          <w:tcPr>
            <w:tcW w:w="1701" w:type="dxa"/>
            <w:tcBorders>
              <w:bottom w:val="single" w:sz="4" w:space="0" w:color="auto"/>
            </w:tcBorders>
            <w:shd w:val="clear" w:color="auto" w:fill="D9D9D9"/>
          </w:tcPr>
          <w:p w14:paraId="4CDA5C69" w14:textId="77777777" w:rsidR="000E0FEF" w:rsidRPr="000E6093" w:rsidRDefault="000E0FEF" w:rsidP="003869D2">
            <w:pPr>
              <w:spacing w:after="0" w:line="240" w:lineRule="auto"/>
              <w:rPr>
                <w:rFonts w:ascii="Arial" w:hAnsi="Arial" w:cs="Arial"/>
                <w:b/>
              </w:rPr>
            </w:pPr>
            <w:r w:rsidRPr="000E6093">
              <w:rPr>
                <w:rFonts w:ascii="Arial" w:hAnsi="Arial" w:cs="Arial"/>
                <w:b/>
              </w:rPr>
              <w:t>Purpose</w:t>
            </w:r>
          </w:p>
        </w:tc>
        <w:tc>
          <w:tcPr>
            <w:tcW w:w="7654" w:type="dxa"/>
            <w:shd w:val="clear" w:color="auto" w:fill="auto"/>
          </w:tcPr>
          <w:p w14:paraId="28F0504B" w14:textId="77777777" w:rsidR="00C52D2B" w:rsidRPr="000E6093" w:rsidRDefault="00C52D2B" w:rsidP="00C52D2B">
            <w:pPr>
              <w:spacing w:after="0" w:line="240" w:lineRule="auto"/>
              <w:rPr>
                <w:rFonts w:ascii="Arial" w:hAnsi="Arial" w:cs="Arial"/>
              </w:rPr>
            </w:pPr>
            <w:r w:rsidRPr="000E6093">
              <w:rPr>
                <w:rFonts w:ascii="Arial" w:hAnsi="Arial" w:cs="Arial"/>
              </w:rPr>
              <w:t>To identify the rate of antibiotic prescribing for children at a defined population level</w:t>
            </w:r>
          </w:p>
          <w:p w14:paraId="2645085E" w14:textId="77777777" w:rsidR="00C52D2B" w:rsidRPr="000E6093" w:rsidRDefault="00C52D2B" w:rsidP="00C52D2B">
            <w:pPr>
              <w:spacing w:after="0" w:line="240" w:lineRule="auto"/>
              <w:rPr>
                <w:rFonts w:ascii="Arial" w:hAnsi="Arial" w:cs="Arial"/>
              </w:rPr>
            </w:pPr>
            <w:r w:rsidRPr="000E6093">
              <w:rPr>
                <w:rFonts w:ascii="Arial" w:hAnsi="Arial" w:cs="Arial"/>
              </w:rPr>
              <w:t>To identify variation in the rate of antibiotic prescribing for children</w:t>
            </w:r>
          </w:p>
          <w:p w14:paraId="415EBDB0" w14:textId="77777777" w:rsidR="00C52D2B" w:rsidRPr="000E6093" w:rsidRDefault="00C52D2B" w:rsidP="00C52D2B">
            <w:pPr>
              <w:spacing w:after="0" w:line="240" w:lineRule="auto"/>
              <w:rPr>
                <w:rFonts w:ascii="Arial" w:hAnsi="Arial" w:cs="Arial"/>
              </w:rPr>
            </w:pPr>
            <w:r w:rsidRPr="000E6093">
              <w:rPr>
                <w:rFonts w:ascii="Arial" w:hAnsi="Arial" w:cs="Arial"/>
              </w:rPr>
              <w:t>To identify the trend in antibiotic prescribing for children over time</w:t>
            </w:r>
          </w:p>
          <w:p w14:paraId="7018014E" w14:textId="6A9FE3F9" w:rsidR="000E0FEF" w:rsidRPr="000E6093" w:rsidRDefault="00C52D2B" w:rsidP="00C52D2B">
            <w:pPr>
              <w:spacing w:after="0" w:line="240" w:lineRule="auto"/>
              <w:rPr>
                <w:rFonts w:ascii="Arial" w:hAnsi="Arial" w:cs="Arial"/>
              </w:rPr>
            </w:pPr>
            <w:r w:rsidRPr="000E6093">
              <w:rPr>
                <w:rFonts w:ascii="Arial" w:hAnsi="Arial" w:cs="Arial"/>
              </w:rPr>
              <w:t>To identify variation in antibiotic prescribing for children over time</w:t>
            </w:r>
          </w:p>
        </w:tc>
      </w:tr>
      <w:tr w:rsidR="000E0FEF" w:rsidRPr="000E6093" w14:paraId="2A9A0FD6" w14:textId="77777777" w:rsidTr="003869D2">
        <w:tc>
          <w:tcPr>
            <w:tcW w:w="534" w:type="dxa"/>
            <w:shd w:val="clear" w:color="auto" w:fill="auto"/>
          </w:tcPr>
          <w:p w14:paraId="18AF6ECB" w14:textId="77777777" w:rsidR="000E0FEF" w:rsidRPr="000E6093" w:rsidRDefault="000E0FEF" w:rsidP="003869D2">
            <w:pPr>
              <w:spacing w:after="0" w:line="240" w:lineRule="auto"/>
              <w:rPr>
                <w:rFonts w:ascii="Arial" w:hAnsi="Arial" w:cs="Arial"/>
              </w:rPr>
            </w:pPr>
            <w:r w:rsidRPr="000E6093">
              <w:rPr>
                <w:rFonts w:ascii="Arial" w:hAnsi="Arial" w:cs="Arial"/>
              </w:rPr>
              <w:t>2.2</w:t>
            </w:r>
          </w:p>
          <w:p w14:paraId="1D3A3392" w14:textId="77777777" w:rsidR="000E0FEF" w:rsidRPr="000E6093" w:rsidRDefault="000E0FEF" w:rsidP="003869D2">
            <w:pPr>
              <w:spacing w:after="0" w:line="240" w:lineRule="auto"/>
              <w:rPr>
                <w:rFonts w:ascii="Arial" w:hAnsi="Arial" w:cs="Arial"/>
              </w:rPr>
            </w:pPr>
          </w:p>
        </w:tc>
        <w:tc>
          <w:tcPr>
            <w:tcW w:w="1701" w:type="dxa"/>
            <w:shd w:val="clear" w:color="auto" w:fill="D9D9D9"/>
          </w:tcPr>
          <w:p w14:paraId="5CD92900" w14:textId="77777777" w:rsidR="000E0FEF" w:rsidRPr="000E6093" w:rsidRDefault="000E0FEF" w:rsidP="003869D2">
            <w:pPr>
              <w:spacing w:after="0" w:line="240" w:lineRule="auto"/>
              <w:rPr>
                <w:rFonts w:ascii="Arial" w:hAnsi="Arial" w:cs="Arial"/>
                <w:b/>
              </w:rPr>
            </w:pPr>
            <w:r w:rsidRPr="000E6093">
              <w:rPr>
                <w:rFonts w:ascii="Arial" w:hAnsi="Arial" w:cs="Arial"/>
                <w:b/>
              </w:rPr>
              <w:t>Evidence and Policy Base</w:t>
            </w:r>
          </w:p>
        </w:tc>
        <w:tc>
          <w:tcPr>
            <w:tcW w:w="7654" w:type="dxa"/>
            <w:shd w:val="clear" w:color="auto" w:fill="auto"/>
          </w:tcPr>
          <w:p w14:paraId="2F5703ED" w14:textId="77777777" w:rsidR="006F684E" w:rsidRPr="000E6093" w:rsidRDefault="006F684E" w:rsidP="006F684E">
            <w:pPr>
              <w:autoSpaceDE w:val="0"/>
              <w:autoSpaceDN w:val="0"/>
              <w:spacing w:after="0" w:line="240" w:lineRule="auto"/>
              <w:jc w:val="both"/>
              <w:rPr>
                <w:rFonts w:ascii="Arial" w:hAnsi="Arial" w:cs="Arial"/>
              </w:rPr>
            </w:pPr>
            <w:r w:rsidRPr="000E6093">
              <w:rPr>
                <w:rFonts w:ascii="Arial" w:hAnsi="Arial" w:cs="Arial"/>
              </w:rPr>
              <w:t xml:space="preserve">The </w:t>
            </w:r>
            <w:hyperlink r:id="rId31" w:history="1">
              <w:r w:rsidRPr="000E6093">
                <w:rPr>
                  <w:rStyle w:val="Hyperlink"/>
                  <w:rFonts w:ascii="Arial" w:hAnsi="Arial" w:cs="Arial"/>
                </w:rPr>
                <w:t>UK 5-year action plan: Tackling antimicrobial resistance 2019 to 2024</w:t>
              </w:r>
            </w:hyperlink>
            <w:r w:rsidRPr="000E6093">
              <w:rPr>
                <w:rFonts w:ascii="Arial" w:hAnsi="Arial" w:cs="Arial"/>
              </w:rPr>
              <w:t xml:space="preserve"> includes an ambition to reduce antibiotic prescribing in humans by 15% by 2024, and a 25% reduction in antibiotic use in the community.</w:t>
            </w:r>
          </w:p>
          <w:p w14:paraId="383E7550" w14:textId="77777777" w:rsidR="006F684E" w:rsidRPr="000E6093" w:rsidRDefault="006F684E" w:rsidP="006F684E">
            <w:pPr>
              <w:autoSpaceDE w:val="0"/>
              <w:autoSpaceDN w:val="0"/>
              <w:spacing w:after="0" w:line="240" w:lineRule="auto"/>
              <w:jc w:val="both"/>
              <w:rPr>
                <w:rFonts w:ascii="Arial" w:hAnsi="Arial" w:cs="Arial"/>
              </w:rPr>
            </w:pPr>
            <w:r w:rsidRPr="000E6093">
              <w:rPr>
                <w:rFonts w:ascii="Arial" w:hAnsi="Arial" w:cs="Arial"/>
              </w:rPr>
              <w:t xml:space="preserve">Delivery of these ambitions are supported in the </w:t>
            </w:r>
            <w:hyperlink r:id="rId32" w:history="1">
              <w:r w:rsidRPr="000E6093">
                <w:rPr>
                  <w:rStyle w:val="Hyperlink"/>
                  <w:rFonts w:ascii="Arial" w:hAnsi="Arial" w:cs="Arial"/>
                </w:rPr>
                <w:t>NHS Long Term Plan</w:t>
              </w:r>
            </w:hyperlink>
            <w:r w:rsidRPr="000E6093">
              <w:rPr>
                <w:rFonts w:ascii="Arial" w:hAnsi="Arial" w:cs="Arial"/>
              </w:rPr>
              <w:t xml:space="preserve"> and implementation is led by the NHS England and NHS Improvement Antimicrobial Resistance (AMR) programme and integrated into NHS policies.</w:t>
            </w:r>
          </w:p>
          <w:p w14:paraId="1206D159" w14:textId="4F274C36" w:rsidR="000E0FEF" w:rsidRPr="000E6093" w:rsidRDefault="00593B60" w:rsidP="006F684E">
            <w:pPr>
              <w:autoSpaceDE w:val="0"/>
              <w:autoSpaceDN w:val="0"/>
              <w:spacing w:after="0" w:line="240" w:lineRule="auto"/>
              <w:jc w:val="both"/>
              <w:rPr>
                <w:rFonts w:ascii="Arial" w:hAnsi="Arial" w:cs="Arial"/>
              </w:rPr>
            </w:pPr>
            <w:hyperlink r:id="rId33" w:history="1">
              <w:r w:rsidR="006F684E" w:rsidRPr="000E6093">
                <w:rPr>
                  <w:rStyle w:val="Hyperlink"/>
                  <w:rFonts w:ascii="Arial" w:hAnsi="Arial" w:cs="Arial"/>
                </w:rPr>
                <w:t>NICE</w:t>
              </w:r>
            </w:hyperlink>
            <w:r w:rsidR="006F684E" w:rsidRPr="000E6093">
              <w:rPr>
                <w:rFonts w:ascii="Arial" w:hAnsi="Arial" w:cs="Arial"/>
              </w:rPr>
              <w:t xml:space="preserve"> publish antimicrobial prescribing guidelines for a variety of common infections and recommend appropriate use of antibiotics.</w:t>
            </w:r>
          </w:p>
        </w:tc>
      </w:tr>
    </w:tbl>
    <w:p w14:paraId="735E49AC" w14:textId="77777777" w:rsidR="00CF2715" w:rsidRPr="000E6093" w:rsidRDefault="00CF2715" w:rsidP="00CF2715">
      <w:pPr>
        <w:pStyle w:val="Heading2"/>
        <w:rPr>
          <w:rFonts w:cs="Arial"/>
          <w:sz w:val="22"/>
          <w:szCs w:val="22"/>
        </w:rPr>
      </w:pPr>
    </w:p>
    <w:p w14:paraId="033D4FE3" w14:textId="77777777" w:rsidR="00CF2715" w:rsidRPr="000E6093" w:rsidRDefault="008A6C13" w:rsidP="00CF2715">
      <w:pPr>
        <w:pStyle w:val="Heading2"/>
        <w:rPr>
          <w:rFonts w:cs="Arial"/>
          <w:sz w:val="22"/>
          <w:szCs w:val="22"/>
        </w:rPr>
      </w:pPr>
      <w:r w:rsidRPr="000E6093">
        <w:rPr>
          <w:rFonts w:cs="Arial"/>
          <w:sz w:val="22"/>
          <w:szCs w:val="22"/>
        </w:rPr>
        <w:br w:type="page"/>
      </w:r>
      <w:bookmarkStart w:id="77" w:name="_Toc82592086"/>
      <w:r w:rsidR="005F6934" w:rsidRPr="000E6093">
        <w:rPr>
          <w:rFonts w:cs="Arial"/>
          <w:sz w:val="22"/>
          <w:szCs w:val="22"/>
        </w:rPr>
        <w:lastRenderedPageBreak/>
        <w:t>ASC05 – Prescribing of UTI related antibiotic items per 1,000 children</w:t>
      </w:r>
      <w:bookmarkEnd w:id="77"/>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7654"/>
      </w:tblGrid>
      <w:tr w:rsidR="00CF2715" w:rsidRPr="000E6093" w14:paraId="298FF3D0" w14:textId="77777777" w:rsidTr="003869D2">
        <w:tc>
          <w:tcPr>
            <w:tcW w:w="9889" w:type="dxa"/>
            <w:gridSpan w:val="3"/>
            <w:shd w:val="clear" w:color="auto" w:fill="D9D9D9"/>
          </w:tcPr>
          <w:p w14:paraId="622E6971" w14:textId="77777777" w:rsidR="00CF2715" w:rsidRPr="000E6093" w:rsidRDefault="00CF2715" w:rsidP="003869D2">
            <w:pPr>
              <w:spacing w:after="0" w:line="240" w:lineRule="auto"/>
              <w:rPr>
                <w:rFonts w:ascii="Arial" w:hAnsi="Arial" w:cs="Arial"/>
              </w:rPr>
            </w:pPr>
            <w:r w:rsidRPr="000E6093">
              <w:rPr>
                <w:rFonts w:ascii="Arial" w:hAnsi="Arial" w:cs="Arial"/>
                <w:b/>
              </w:rPr>
              <w:t>Section 1: Introduction / Overview</w:t>
            </w:r>
          </w:p>
        </w:tc>
      </w:tr>
      <w:tr w:rsidR="00CF2715" w:rsidRPr="000E6093" w14:paraId="69B78CF9" w14:textId="77777777" w:rsidTr="003869D2">
        <w:trPr>
          <w:trHeight w:val="236"/>
        </w:trPr>
        <w:tc>
          <w:tcPr>
            <w:tcW w:w="534" w:type="dxa"/>
            <w:shd w:val="clear" w:color="auto" w:fill="auto"/>
          </w:tcPr>
          <w:p w14:paraId="1289424A" w14:textId="77777777" w:rsidR="00CF2715" w:rsidRPr="000E6093" w:rsidRDefault="00CF2715" w:rsidP="003869D2">
            <w:pPr>
              <w:spacing w:after="0" w:line="240" w:lineRule="auto"/>
              <w:rPr>
                <w:rFonts w:ascii="Arial" w:hAnsi="Arial" w:cs="Arial"/>
              </w:rPr>
            </w:pPr>
            <w:r w:rsidRPr="000E6093">
              <w:rPr>
                <w:rFonts w:ascii="Arial" w:hAnsi="Arial" w:cs="Arial"/>
              </w:rPr>
              <w:t>1.1</w:t>
            </w:r>
          </w:p>
          <w:p w14:paraId="36C0CE8D" w14:textId="77777777" w:rsidR="00CF2715" w:rsidRPr="000E6093" w:rsidRDefault="00CF2715" w:rsidP="003869D2">
            <w:pPr>
              <w:spacing w:after="0" w:line="240" w:lineRule="auto"/>
              <w:rPr>
                <w:rFonts w:ascii="Arial" w:hAnsi="Arial" w:cs="Arial"/>
              </w:rPr>
            </w:pPr>
          </w:p>
        </w:tc>
        <w:tc>
          <w:tcPr>
            <w:tcW w:w="1701" w:type="dxa"/>
            <w:tcBorders>
              <w:bottom w:val="single" w:sz="4" w:space="0" w:color="auto"/>
            </w:tcBorders>
            <w:shd w:val="clear" w:color="auto" w:fill="D9D9D9"/>
          </w:tcPr>
          <w:p w14:paraId="1DC0BD82" w14:textId="77777777" w:rsidR="00CF2715" w:rsidRPr="000E6093" w:rsidRDefault="00CF2715" w:rsidP="003869D2">
            <w:pPr>
              <w:spacing w:after="0" w:line="240" w:lineRule="auto"/>
              <w:rPr>
                <w:rFonts w:ascii="Arial" w:hAnsi="Arial" w:cs="Arial"/>
                <w:b/>
              </w:rPr>
            </w:pPr>
            <w:r w:rsidRPr="000E6093">
              <w:rPr>
                <w:rFonts w:ascii="Arial" w:hAnsi="Arial" w:cs="Arial"/>
                <w:b/>
              </w:rPr>
              <w:t>Title</w:t>
            </w:r>
          </w:p>
        </w:tc>
        <w:tc>
          <w:tcPr>
            <w:tcW w:w="7654" w:type="dxa"/>
            <w:shd w:val="clear" w:color="auto" w:fill="auto"/>
          </w:tcPr>
          <w:p w14:paraId="0632E63E" w14:textId="77777777" w:rsidR="00CF2715" w:rsidRPr="000E6093" w:rsidRDefault="00CF2715" w:rsidP="003869D2">
            <w:pPr>
              <w:spacing w:after="0" w:line="240" w:lineRule="auto"/>
              <w:rPr>
                <w:rFonts w:ascii="Arial" w:hAnsi="Arial" w:cs="Arial"/>
              </w:rPr>
            </w:pPr>
            <w:r w:rsidRPr="000E6093">
              <w:rPr>
                <w:rFonts w:ascii="Arial" w:hAnsi="Arial" w:cs="Arial"/>
              </w:rPr>
              <w:t>Number of Trimethoprim items prescribed to patients aged 70 years plus, per 1,000 patient list size aged 70 years plus</w:t>
            </w:r>
          </w:p>
        </w:tc>
      </w:tr>
      <w:tr w:rsidR="00CF2715" w:rsidRPr="000E6093" w14:paraId="1EAC8A7F" w14:textId="77777777" w:rsidTr="003869D2">
        <w:tc>
          <w:tcPr>
            <w:tcW w:w="534" w:type="dxa"/>
            <w:shd w:val="clear" w:color="auto" w:fill="auto"/>
          </w:tcPr>
          <w:p w14:paraId="41A80BFE" w14:textId="77777777" w:rsidR="00CF2715" w:rsidRPr="000E6093" w:rsidRDefault="00CF2715" w:rsidP="003869D2">
            <w:pPr>
              <w:spacing w:after="0" w:line="240" w:lineRule="auto"/>
              <w:rPr>
                <w:rFonts w:ascii="Arial" w:hAnsi="Arial" w:cs="Arial"/>
              </w:rPr>
            </w:pPr>
            <w:r w:rsidRPr="000E6093">
              <w:rPr>
                <w:rFonts w:ascii="Arial" w:hAnsi="Arial" w:cs="Arial"/>
              </w:rPr>
              <w:t>1.2</w:t>
            </w:r>
          </w:p>
        </w:tc>
        <w:tc>
          <w:tcPr>
            <w:tcW w:w="1701" w:type="dxa"/>
            <w:tcBorders>
              <w:top w:val="single" w:sz="4" w:space="0" w:color="auto"/>
              <w:bottom w:val="single" w:sz="4" w:space="0" w:color="auto"/>
            </w:tcBorders>
            <w:shd w:val="clear" w:color="auto" w:fill="D9D9D9"/>
          </w:tcPr>
          <w:p w14:paraId="66E0D973" w14:textId="77777777" w:rsidR="00CF2715" w:rsidRPr="000E6093" w:rsidRDefault="00CF2715" w:rsidP="003869D2">
            <w:pPr>
              <w:spacing w:after="0" w:line="240" w:lineRule="auto"/>
              <w:rPr>
                <w:rFonts w:ascii="Arial" w:hAnsi="Arial" w:cs="Arial"/>
                <w:b/>
              </w:rPr>
            </w:pPr>
            <w:r w:rsidRPr="000E6093">
              <w:rPr>
                <w:rFonts w:ascii="Arial" w:hAnsi="Arial" w:cs="Arial"/>
                <w:b/>
              </w:rPr>
              <w:t>Definition</w:t>
            </w:r>
          </w:p>
        </w:tc>
        <w:tc>
          <w:tcPr>
            <w:tcW w:w="7654" w:type="dxa"/>
            <w:shd w:val="clear" w:color="auto" w:fill="auto"/>
          </w:tcPr>
          <w:p w14:paraId="5B030A3C" w14:textId="77777777" w:rsidR="00CF2715" w:rsidRPr="000E6093" w:rsidRDefault="005F6934" w:rsidP="003869D2">
            <w:pPr>
              <w:spacing w:after="0" w:line="240" w:lineRule="auto"/>
              <w:rPr>
                <w:rFonts w:ascii="Arial" w:hAnsi="Arial" w:cs="Arial"/>
              </w:rPr>
            </w:pPr>
            <w:r w:rsidRPr="000E6093">
              <w:rPr>
                <w:rFonts w:ascii="Arial" w:hAnsi="Arial" w:cs="Arial"/>
              </w:rPr>
              <w:t>Number of Cefalexin, Nitrofurantoin and Trimethoprim items prescribed to children divided by the number of children on registered list size, multiplied by 1,000 for each age band</w:t>
            </w:r>
          </w:p>
        </w:tc>
      </w:tr>
      <w:tr w:rsidR="00CF2715" w:rsidRPr="000E6093" w14:paraId="31517BCC" w14:textId="77777777" w:rsidTr="003869D2">
        <w:trPr>
          <w:trHeight w:val="628"/>
        </w:trPr>
        <w:tc>
          <w:tcPr>
            <w:tcW w:w="534" w:type="dxa"/>
            <w:shd w:val="clear" w:color="auto" w:fill="auto"/>
          </w:tcPr>
          <w:p w14:paraId="5C49F6C9" w14:textId="77777777" w:rsidR="00CF2715" w:rsidRPr="000E6093" w:rsidRDefault="00CF2715" w:rsidP="003869D2">
            <w:pPr>
              <w:spacing w:after="0" w:line="240" w:lineRule="auto"/>
              <w:rPr>
                <w:rFonts w:ascii="Arial" w:hAnsi="Arial" w:cs="Arial"/>
              </w:rPr>
            </w:pPr>
            <w:r w:rsidRPr="000E6093">
              <w:rPr>
                <w:rFonts w:ascii="Arial" w:hAnsi="Arial" w:cs="Arial"/>
              </w:rPr>
              <w:t>1.3</w:t>
            </w:r>
          </w:p>
        </w:tc>
        <w:tc>
          <w:tcPr>
            <w:tcW w:w="1701" w:type="dxa"/>
            <w:tcBorders>
              <w:top w:val="single" w:sz="4" w:space="0" w:color="auto"/>
              <w:bottom w:val="single" w:sz="4" w:space="0" w:color="auto"/>
            </w:tcBorders>
            <w:shd w:val="clear" w:color="auto" w:fill="D9D9D9"/>
          </w:tcPr>
          <w:p w14:paraId="1C8D7642" w14:textId="77777777" w:rsidR="00CF2715" w:rsidRPr="000E6093" w:rsidRDefault="00CF2715" w:rsidP="003869D2">
            <w:pPr>
              <w:spacing w:after="0" w:line="240" w:lineRule="auto"/>
              <w:rPr>
                <w:rFonts w:ascii="Arial" w:hAnsi="Arial" w:cs="Arial"/>
                <w:b/>
              </w:rPr>
            </w:pPr>
            <w:r w:rsidRPr="000E6093">
              <w:rPr>
                <w:rFonts w:ascii="Arial" w:hAnsi="Arial" w:cs="Arial"/>
                <w:b/>
              </w:rPr>
              <w:t>Reporting Level</w:t>
            </w:r>
          </w:p>
        </w:tc>
        <w:tc>
          <w:tcPr>
            <w:tcW w:w="7654" w:type="dxa"/>
            <w:shd w:val="clear" w:color="auto" w:fill="auto"/>
          </w:tcPr>
          <w:p w14:paraId="79FE7167" w14:textId="77777777" w:rsidR="00CF2715" w:rsidRPr="000E6093" w:rsidRDefault="00796DA5" w:rsidP="003869D2">
            <w:pPr>
              <w:spacing w:after="0" w:line="240" w:lineRule="auto"/>
              <w:rPr>
                <w:rFonts w:ascii="Arial" w:hAnsi="Arial" w:cs="Arial"/>
                <w:color w:val="FF0000"/>
              </w:rPr>
            </w:pPr>
            <w:r w:rsidRPr="000E6093">
              <w:rPr>
                <w:rFonts w:ascii="Arial" w:hAnsi="Arial" w:cs="Arial"/>
              </w:rPr>
              <w:t>GP Practice/Cost Centre level (aggregated to PCN, CCG, STP, Regional and England level)</w:t>
            </w:r>
          </w:p>
        </w:tc>
      </w:tr>
      <w:tr w:rsidR="00CF2715" w:rsidRPr="000E6093" w14:paraId="130F68A0" w14:textId="77777777" w:rsidTr="00EB75DD">
        <w:trPr>
          <w:trHeight w:val="1426"/>
        </w:trPr>
        <w:tc>
          <w:tcPr>
            <w:tcW w:w="534" w:type="dxa"/>
            <w:shd w:val="clear" w:color="auto" w:fill="auto"/>
          </w:tcPr>
          <w:p w14:paraId="1E0712DC" w14:textId="77777777" w:rsidR="00CF2715" w:rsidRPr="000E6093" w:rsidRDefault="00CF2715" w:rsidP="003869D2">
            <w:pPr>
              <w:spacing w:after="0" w:line="240" w:lineRule="auto"/>
              <w:rPr>
                <w:rFonts w:ascii="Arial" w:hAnsi="Arial" w:cs="Arial"/>
              </w:rPr>
            </w:pPr>
            <w:r w:rsidRPr="000E6093">
              <w:rPr>
                <w:rFonts w:ascii="Arial" w:hAnsi="Arial" w:cs="Arial"/>
              </w:rPr>
              <w:t>1.4</w:t>
            </w:r>
          </w:p>
        </w:tc>
        <w:tc>
          <w:tcPr>
            <w:tcW w:w="1701" w:type="dxa"/>
            <w:tcBorders>
              <w:top w:val="single" w:sz="4" w:space="0" w:color="auto"/>
              <w:bottom w:val="single" w:sz="4" w:space="0" w:color="auto"/>
            </w:tcBorders>
            <w:shd w:val="clear" w:color="auto" w:fill="D9D9D9"/>
          </w:tcPr>
          <w:p w14:paraId="106B3BEB" w14:textId="77777777" w:rsidR="00CF2715" w:rsidRPr="000E6093" w:rsidRDefault="00CF2715" w:rsidP="003869D2">
            <w:pPr>
              <w:spacing w:after="0" w:line="240" w:lineRule="auto"/>
              <w:rPr>
                <w:rFonts w:ascii="Arial" w:hAnsi="Arial" w:cs="Arial"/>
                <w:b/>
              </w:rPr>
            </w:pPr>
            <w:r w:rsidRPr="000E6093">
              <w:rPr>
                <w:rFonts w:ascii="Arial" w:hAnsi="Arial" w:cs="Arial"/>
                <w:b/>
              </w:rPr>
              <w:t>Numerator</w:t>
            </w:r>
          </w:p>
        </w:tc>
        <w:tc>
          <w:tcPr>
            <w:tcW w:w="7654" w:type="dxa"/>
            <w:shd w:val="clear" w:color="auto" w:fill="auto"/>
          </w:tcPr>
          <w:p w14:paraId="7CE67079" w14:textId="77777777" w:rsidR="00EB75DD" w:rsidRPr="000E6093" w:rsidRDefault="005F6934" w:rsidP="00EB75DD">
            <w:pPr>
              <w:spacing w:after="0" w:line="240" w:lineRule="auto"/>
              <w:rPr>
                <w:rFonts w:ascii="Arial" w:hAnsi="Arial" w:cs="Arial"/>
              </w:rPr>
            </w:pPr>
            <w:r w:rsidRPr="000E6093">
              <w:rPr>
                <w:rFonts w:ascii="Arial" w:hAnsi="Arial" w:cs="Arial"/>
              </w:rPr>
              <w:t xml:space="preserve">Number of items prescribed to children in the selected age band for the following drugs </w:t>
            </w:r>
          </w:p>
          <w:p w14:paraId="2F75C473" w14:textId="77777777" w:rsidR="005F6934" w:rsidRPr="000E6093" w:rsidRDefault="005F6934" w:rsidP="00EB75DD">
            <w:pPr>
              <w:spacing w:after="0" w:line="240" w:lineRule="auto"/>
              <w:rPr>
                <w:rFonts w:ascii="Arial" w:hAnsi="Arial" w:cs="Arial"/>
              </w:rPr>
            </w:pPr>
          </w:p>
          <w:tbl>
            <w:tblPr>
              <w:tblW w:w="7280" w:type="dxa"/>
              <w:tblLayout w:type="fixed"/>
              <w:tblLook w:val="04A0" w:firstRow="1" w:lastRow="0" w:firstColumn="1" w:lastColumn="0" w:noHBand="0" w:noVBand="1"/>
            </w:tblPr>
            <w:tblGrid>
              <w:gridCol w:w="3640"/>
              <w:gridCol w:w="3640"/>
            </w:tblGrid>
            <w:tr w:rsidR="00EB75DD" w:rsidRPr="000E6093" w14:paraId="17E8094C" w14:textId="77777777" w:rsidTr="00EB75DD">
              <w:trPr>
                <w:trHeight w:val="270"/>
              </w:trPr>
              <w:tc>
                <w:tcPr>
                  <w:tcW w:w="3640" w:type="dxa"/>
                  <w:tcBorders>
                    <w:top w:val="single" w:sz="8" w:space="0" w:color="auto"/>
                    <w:left w:val="single" w:sz="8" w:space="0" w:color="auto"/>
                    <w:bottom w:val="single" w:sz="8" w:space="0" w:color="auto"/>
                    <w:right w:val="nil"/>
                  </w:tcBorders>
                  <w:shd w:val="clear" w:color="000000" w:fill="A6A6A6"/>
                  <w:vAlign w:val="center"/>
                  <w:hideMark/>
                </w:tcPr>
                <w:p w14:paraId="53FE383B" w14:textId="77777777" w:rsidR="00EB75DD" w:rsidRPr="000E6093" w:rsidRDefault="00EB75DD" w:rsidP="00EB75DD">
                  <w:pPr>
                    <w:spacing w:after="0" w:line="240" w:lineRule="auto"/>
                    <w:rPr>
                      <w:rFonts w:ascii="Arial" w:eastAsia="Times New Roman" w:hAnsi="Arial" w:cs="Arial"/>
                      <w:b/>
                      <w:bCs/>
                      <w:color w:val="000000"/>
                      <w:lang w:eastAsia="en-GB"/>
                    </w:rPr>
                  </w:pPr>
                  <w:r w:rsidRPr="000E6093">
                    <w:rPr>
                      <w:rFonts w:ascii="Arial" w:eastAsia="Times New Roman" w:hAnsi="Arial" w:cs="Arial"/>
                      <w:b/>
                      <w:bCs/>
                      <w:color w:val="000000"/>
                      <w:lang w:eastAsia="en-GB"/>
                    </w:rPr>
                    <w:t>BNF Chemical Substance / Presentation</w:t>
                  </w:r>
                </w:p>
              </w:tc>
              <w:tc>
                <w:tcPr>
                  <w:tcW w:w="3640" w:type="dxa"/>
                  <w:tcBorders>
                    <w:top w:val="single" w:sz="8" w:space="0" w:color="auto"/>
                    <w:left w:val="single" w:sz="4" w:space="0" w:color="auto"/>
                    <w:bottom w:val="single" w:sz="8" w:space="0" w:color="auto"/>
                    <w:right w:val="single" w:sz="8" w:space="0" w:color="auto"/>
                  </w:tcBorders>
                  <w:shd w:val="clear" w:color="000000" w:fill="A6A6A6"/>
                  <w:vAlign w:val="center"/>
                  <w:hideMark/>
                </w:tcPr>
                <w:p w14:paraId="5AC02213" w14:textId="77777777" w:rsidR="00EB75DD" w:rsidRPr="000E6093" w:rsidRDefault="00EB75DD" w:rsidP="00EB75DD">
                  <w:pPr>
                    <w:spacing w:after="0" w:line="240" w:lineRule="auto"/>
                    <w:rPr>
                      <w:rFonts w:ascii="Arial" w:eastAsia="Times New Roman" w:hAnsi="Arial" w:cs="Arial"/>
                      <w:b/>
                      <w:bCs/>
                      <w:color w:val="000000"/>
                      <w:lang w:eastAsia="en-GB"/>
                    </w:rPr>
                  </w:pPr>
                  <w:r w:rsidRPr="000E6093">
                    <w:rPr>
                      <w:rFonts w:ascii="Arial" w:eastAsia="Times New Roman" w:hAnsi="Arial" w:cs="Arial"/>
                      <w:b/>
                      <w:bCs/>
                      <w:color w:val="000000"/>
                      <w:lang w:eastAsia="en-GB"/>
                    </w:rPr>
                    <w:t>BNF Code</w:t>
                  </w:r>
                </w:p>
              </w:tc>
            </w:tr>
            <w:tr w:rsidR="00EB75DD" w:rsidRPr="000E6093" w14:paraId="688D81FB" w14:textId="77777777" w:rsidTr="005F6934">
              <w:trPr>
                <w:trHeight w:val="270"/>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BB96CA5" w14:textId="77777777" w:rsidR="00EB75DD" w:rsidRPr="000E6093" w:rsidRDefault="005F6934" w:rsidP="00EB75DD">
                  <w:pPr>
                    <w:spacing w:after="0" w:line="240" w:lineRule="auto"/>
                    <w:rPr>
                      <w:rFonts w:ascii="Arial" w:eastAsia="Times New Roman" w:hAnsi="Arial" w:cs="Arial"/>
                      <w:color w:val="000000"/>
                      <w:lang w:eastAsia="en-GB"/>
                    </w:rPr>
                  </w:pPr>
                  <w:r w:rsidRPr="000E6093">
                    <w:rPr>
                      <w:rFonts w:ascii="Arial" w:hAnsi="Arial" w:cs="Arial"/>
                    </w:rPr>
                    <w:t>Cefalexin</w:t>
                  </w:r>
                </w:p>
              </w:tc>
              <w:tc>
                <w:tcPr>
                  <w:tcW w:w="3640" w:type="dxa"/>
                  <w:tcBorders>
                    <w:top w:val="single" w:sz="4" w:space="0" w:color="auto"/>
                    <w:left w:val="nil"/>
                    <w:bottom w:val="single" w:sz="4" w:space="0" w:color="auto"/>
                    <w:right w:val="single" w:sz="8" w:space="0" w:color="auto"/>
                  </w:tcBorders>
                  <w:shd w:val="clear" w:color="auto" w:fill="auto"/>
                  <w:vAlign w:val="center"/>
                  <w:hideMark/>
                </w:tcPr>
                <w:p w14:paraId="5389CD15" w14:textId="77777777" w:rsidR="00EB75DD" w:rsidRPr="000E6093" w:rsidRDefault="005F6934" w:rsidP="00EB75DD">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0501021L0</w:t>
                  </w:r>
                </w:p>
              </w:tc>
            </w:tr>
            <w:tr w:rsidR="005F6934" w:rsidRPr="000E6093" w14:paraId="74D21FB1" w14:textId="77777777" w:rsidTr="005F6934">
              <w:trPr>
                <w:trHeight w:val="270"/>
              </w:trPr>
              <w:tc>
                <w:tcPr>
                  <w:tcW w:w="3640" w:type="dxa"/>
                  <w:tcBorders>
                    <w:top w:val="single" w:sz="4" w:space="0" w:color="auto"/>
                    <w:left w:val="single" w:sz="8" w:space="0" w:color="auto"/>
                    <w:bottom w:val="single" w:sz="4" w:space="0" w:color="auto"/>
                    <w:right w:val="single" w:sz="4" w:space="0" w:color="auto"/>
                  </w:tcBorders>
                  <w:shd w:val="clear" w:color="auto" w:fill="auto"/>
                  <w:vAlign w:val="center"/>
                </w:tcPr>
                <w:p w14:paraId="17C074D8" w14:textId="77777777" w:rsidR="005F6934" w:rsidRPr="000E6093" w:rsidRDefault="005F6934" w:rsidP="005F6934">
                  <w:pPr>
                    <w:spacing w:after="0" w:line="240" w:lineRule="auto"/>
                    <w:rPr>
                      <w:rFonts w:ascii="Arial" w:hAnsi="Arial" w:cs="Arial"/>
                    </w:rPr>
                  </w:pPr>
                  <w:r w:rsidRPr="000E6093">
                    <w:rPr>
                      <w:rFonts w:ascii="Arial" w:eastAsia="Times New Roman" w:hAnsi="Arial" w:cs="Arial"/>
                      <w:color w:val="000000"/>
                      <w:lang w:eastAsia="en-GB"/>
                    </w:rPr>
                    <w:t>Nitrofurantoin</w:t>
                  </w:r>
                </w:p>
              </w:tc>
              <w:tc>
                <w:tcPr>
                  <w:tcW w:w="3640" w:type="dxa"/>
                  <w:tcBorders>
                    <w:top w:val="single" w:sz="4" w:space="0" w:color="auto"/>
                    <w:left w:val="nil"/>
                    <w:bottom w:val="single" w:sz="4" w:space="0" w:color="auto"/>
                    <w:right w:val="single" w:sz="8" w:space="0" w:color="auto"/>
                  </w:tcBorders>
                  <w:shd w:val="clear" w:color="auto" w:fill="auto"/>
                  <w:vAlign w:val="center"/>
                </w:tcPr>
                <w:p w14:paraId="4D4F4335" w14:textId="77777777" w:rsidR="005F6934" w:rsidRPr="000E6093" w:rsidRDefault="005F6934" w:rsidP="005F6934">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0501130R0</w:t>
                  </w:r>
                </w:p>
              </w:tc>
            </w:tr>
            <w:tr w:rsidR="005F6934" w:rsidRPr="000E6093" w14:paraId="192E5F53" w14:textId="77777777" w:rsidTr="00EB75DD">
              <w:trPr>
                <w:trHeight w:val="270"/>
              </w:trPr>
              <w:tc>
                <w:tcPr>
                  <w:tcW w:w="3640" w:type="dxa"/>
                  <w:tcBorders>
                    <w:top w:val="single" w:sz="4" w:space="0" w:color="auto"/>
                    <w:left w:val="single" w:sz="8" w:space="0" w:color="auto"/>
                    <w:bottom w:val="single" w:sz="8" w:space="0" w:color="auto"/>
                    <w:right w:val="single" w:sz="4" w:space="0" w:color="auto"/>
                  </w:tcBorders>
                  <w:shd w:val="clear" w:color="auto" w:fill="auto"/>
                  <w:vAlign w:val="center"/>
                </w:tcPr>
                <w:p w14:paraId="3C16C888" w14:textId="77777777" w:rsidR="005F6934" w:rsidRPr="000E6093" w:rsidRDefault="005F6934" w:rsidP="005F6934">
                  <w:pPr>
                    <w:spacing w:after="0" w:line="240" w:lineRule="auto"/>
                    <w:rPr>
                      <w:rFonts w:ascii="Arial" w:hAnsi="Arial" w:cs="Arial"/>
                    </w:rPr>
                  </w:pPr>
                  <w:r w:rsidRPr="000E6093">
                    <w:rPr>
                      <w:rFonts w:ascii="Arial" w:hAnsi="Arial" w:cs="Arial"/>
                    </w:rPr>
                    <w:t>Trimethoprim</w:t>
                  </w:r>
                </w:p>
              </w:tc>
              <w:tc>
                <w:tcPr>
                  <w:tcW w:w="3640" w:type="dxa"/>
                  <w:tcBorders>
                    <w:top w:val="single" w:sz="4" w:space="0" w:color="auto"/>
                    <w:left w:val="nil"/>
                    <w:bottom w:val="single" w:sz="8" w:space="0" w:color="auto"/>
                    <w:right w:val="single" w:sz="8" w:space="0" w:color="auto"/>
                  </w:tcBorders>
                  <w:shd w:val="clear" w:color="auto" w:fill="auto"/>
                  <w:vAlign w:val="center"/>
                </w:tcPr>
                <w:p w14:paraId="5117CD5E" w14:textId="77777777" w:rsidR="005F6934" w:rsidRPr="000E6093" w:rsidRDefault="005F6934" w:rsidP="005F6934">
                  <w:pPr>
                    <w:spacing w:after="0" w:line="240" w:lineRule="auto"/>
                    <w:rPr>
                      <w:rFonts w:ascii="Arial" w:eastAsia="Times New Roman" w:hAnsi="Arial" w:cs="Arial"/>
                      <w:color w:val="000000"/>
                      <w:lang w:eastAsia="en-GB"/>
                    </w:rPr>
                  </w:pPr>
                  <w:r w:rsidRPr="000E6093">
                    <w:rPr>
                      <w:rFonts w:ascii="Arial" w:eastAsia="Times New Roman" w:hAnsi="Arial" w:cs="Arial"/>
                      <w:color w:val="000000"/>
                      <w:lang w:eastAsia="en-GB"/>
                    </w:rPr>
                    <w:t>0501080W0</w:t>
                  </w:r>
                </w:p>
              </w:tc>
            </w:tr>
          </w:tbl>
          <w:p w14:paraId="230BB444" w14:textId="77777777" w:rsidR="00CF2715" w:rsidRPr="000E6093" w:rsidRDefault="00CF2715" w:rsidP="003869D2">
            <w:pPr>
              <w:spacing w:after="0" w:line="240" w:lineRule="auto"/>
              <w:rPr>
                <w:rFonts w:ascii="Arial" w:hAnsi="Arial" w:cs="Arial"/>
              </w:rPr>
            </w:pPr>
          </w:p>
        </w:tc>
      </w:tr>
      <w:tr w:rsidR="005F6934" w:rsidRPr="000E6093" w14:paraId="78A50506" w14:textId="77777777" w:rsidTr="003869D2">
        <w:trPr>
          <w:trHeight w:val="597"/>
        </w:trPr>
        <w:tc>
          <w:tcPr>
            <w:tcW w:w="534" w:type="dxa"/>
            <w:shd w:val="clear" w:color="auto" w:fill="auto"/>
          </w:tcPr>
          <w:p w14:paraId="512D8662" w14:textId="77777777" w:rsidR="005F6934" w:rsidRPr="000E6093" w:rsidRDefault="005F6934" w:rsidP="005F6934">
            <w:pPr>
              <w:spacing w:after="0" w:line="240" w:lineRule="auto"/>
              <w:rPr>
                <w:rFonts w:ascii="Arial" w:hAnsi="Arial" w:cs="Arial"/>
              </w:rPr>
            </w:pPr>
            <w:r w:rsidRPr="000E6093">
              <w:rPr>
                <w:rFonts w:ascii="Arial" w:hAnsi="Arial" w:cs="Arial"/>
              </w:rPr>
              <w:t>1.5</w:t>
            </w:r>
          </w:p>
        </w:tc>
        <w:tc>
          <w:tcPr>
            <w:tcW w:w="1701" w:type="dxa"/>
            <w:tcBorders>
              <w:top w:val="single" w:sz="4" w:space="0" w:color="auto"/>
              <w:bottom w:val="single" w:sz="4" w:space="0" w:color="auto"/>
            </w:tcBorders>
            <w:shd w:val="clear" w:color="auto" w:fill="D9D9D9"/>
          </w:tcPr>
          <w:p w14:paraId="5A8949A6" w14:textId="77777777" w:rsidR="005F6934" w:rsidRPr="000E6093" w:rsidRDefault="005F6934" w:rsidP="005F6934">
            <w:pPr>
              <w:spacing w:after="0" w:line="240" w:lineRule="auto"/>
              <w:rPr>
                <w:rFonts w:ascii="Arial" w:hAnsi="Arial" w:cs="Arial"/>
                <w:b/>
              </w:rPr>
            </w:pPr>
            <w:r w:rsidRPr="000E6093">
              <w:rPr>
                <w:rFonts w:ascii="Arial" w:hAnsi="Arial" w:cs="Arial"/>
                <w:b/>
              </w:rPr>
              <w:t>Denominator</w:t>
            </w:r>
          </w:p>
        </w:tc>
        <w:tc>
          <w:tcPr>
            <w:tcW w:w="7654" w:type="dxa"/>
            <w:shd w:val="clear" w:color="auto" w:fill="auto"/>
          </w:tcPr>
          <w:p w14:paraId="5FDB3C4B" w14:textId="77777777" w:rsidR="005F6934" w:rsidRPr="000E6093" w:rsidRDefault="005F6934" w:rsidP="005F6934">
            <w:pPr>
              <w:spacing w:after="0" w:line="240" w:lineRule="auto"/>
              <w:rPr>
                <w:rFonts w:ascii="Arial" w:hAnsi="Arial" w:cs="Arial"/>
              </w:rPr>
            </w:pPr>
            <w:r w:rsidRPr="000E6093">
              <w:rPr>
                <w:rFonts w:ascii="Arial" w:hAnsi="Arial" w:cs="Arial"/>
              </w:rPr>
              <w:t>Number of children on registered list size for the selected age band.</w:t>
            </w:r>
          </w:p>
        </w:tc>
      </w:tr>
      <w:tr w:rsidR="00CF2715" w:rsidRPr="000E6093" w14:paraId="1CF5F194" w14:textId="77777777" w:rsidTr="003869D2">
        <w:tc>
          <w:tcPr>
            <w:tcW w:w="534" w:type="dxa"/>
            <w:shd w:val="clear" w:color="auto" w:fill="auto"/>
          </w:tcPr>
          <w:p w14:paraId="6DBEBA14" w14:textId="77777777" w:rsidR="00CF2715" w:rsidRPr="000E6093" w:rsidRDefault="00CF2715" w:rsidP="003869D2">
            <w:pPr>
              <w:spacing w:after="0" w:line="240" w:lineRule="auto"/>
              <w:rPr>
                <w:rFonts w:ascii="Arial" w:hAnsi="Arial" w:cs="Arial"/>
              </w:rPr>
            </w:pPr>
            <w:r w:rsidRPr="000E6093">
              <w:rPr>
                <w:rFonts w:ascii="Arial" w:hAnsi="Arial" w:cs="Arial"/>
              </w:rPr>
              <w:t>1.6</w:t>
            </w:r>
          </w:p>
        </w:tc>
        <w:tc>
          <w:tcPr>
            <w:tcW w:w="1701" w:type="dxa"/>
            <w:tcBorders>
              <w:top w:val="single" w:sz="4" w:space="0" w:color="auto"/>
            </w:tcBorders>
            <w:shd w:val="clear" w:color="auto" w:fill="D9D9D9"/>
          </w:tcPr>
          <w:p w14:paraId="48F577B1" w14:textId="77777777" w:rsidR="00CF2715" w:rsidRPr="000E6093" w:rsidRDefault="00CF2715" w:rsidP="003869D2">
            <w:pPr>
              <w:spacing w:after="0" w:line="240" w:lineRule="auto"/>
              <w:rPr>
                <w:rFonts w:ascii="Arial" w:hAnsi="Arial" w:cs="Arial"/>
                <w:b/>
              </w:rPr>
            </w:pPr>
            <w:r w:rsidRPr="000E6093">
              <w:rPr>
                <w:rFonts w:ascii="Arial" w:hAnsi="Arial" w:cs="Arial"/>
                <w:b/>
              </w:rPr>
              <w:t>Methodology</w:t>
            </w:r>
          </w:p>
        </w:tc>
        <w:tc>
          <w:tcPr>
            <w:tcW w:w="7654" w:type="dxa"/>
            <w:shd w:val="clear" w:color="auto" w:fill="auto"/>
          </w:tcPr>
          <w:p w14:paraId="0BFDA6D5" w14:textId="77777777" w:rsidR="00CF2715" w:rsidRPr="000E6093" w:rsidRDefault="007C2F4D" w:rsidP="003869D2">
            <w:pPr>
              <w:spacing w:after="0" w:line="240" w:lineRule="auto"/>
              <w:rPr>
                <w:rFonts w:ascii="Arial" w:hAnsi="Arial" w:cs="Arial"/>
              </w:rPr>
            </w:pPr>
            <w:r w:rsidRPr="000E6093">
              <w:rPr>
                <w:rFonts w:ascii="Arial" w:hAnsi="Arial" w:cs="Arial"/>
              </w:rPr>
              <w:t>Numerator divided by denominator, multiplied by 1,000</w:t>
            </w:r>
          </w:p>
        </w:tc>
      </w:tr>
      <w:tr w:rsidR="00CF2715" w:rsidRPr="000E6093" w14:paraId="448242EF" w14:textId="77777777" w:rsidTr="003869D2">
        <w:tc>
          <w:tcPr>
            <w:tcW w:w="9889" w:type="dxa"/>
            <w:gridSpan w:val="3"/>
            <w:shd w:val="clear" w:color="auto" w:fill="D9D9D9"/>
          </w:tcPr>
          <w:p w14:paraId="22417716" w14:textId="77777777" w:rsidR="00CF2715" w:rsidRPr="000E6093" w:rsidRDefault="00CF2715" w:rsidP="003869D2">
            <w:pPr>
              <w:spacing w:after="0" w:line="240" w:lineRule="auto"/>
              <w:rPr>
                <w:rFonts w:ascii="Arial" w:hAnsi="Arial" w:cs="Arial"/>
              </w:rPr>
            </w:pPr>
            <w:r w:rsidRPr="000E6093">
              <w:rPr>
                <w:rFonts w:ascii="Arial" w:hAnsi="Arial" w:cs="Arial"/>
                <w:b/>
              </w:rPr>
              <w:t>Section 2: Rationale</w:t>
            </w:r>
          </w:p>
        </w:tc>
      </w:tr>
      <w:tr w:rsidR="00CF2715" w:rsidRPr="000E6093" w14:paraId="178FBE87" w14:textId="77777777" w:rsidTr="003869D2">
        <w:trPr>
          <w:trHeight w:val="558"/>
        </w:trPr>
        <w:tc>
          <w:tcPr>
            <w:tcW w:w="534" w:type="dxa"/>
            <w:shd w:val="clear" w:color="auto" w:fill="auto"/>
          </w:tcPr>
          <w:p w14:paraId="544EB0A7" w14:textId="77777777" w:rsidR="00CF2715" w:rsidRPr="000E6093" w:rsidRDefault="00CF2715" w:rsidP="003869D2">
            <w:pPr>
              <w:spacing w:after="0" w:line="240" w:lineRule="auto"/>
              <w:rPr>
                <w:rFonts w:ascii="Arial" w:hAnsi="Arial" w:cs="Arial"/>
              </w:rPr>
            </w:pPr>
            <w:r w:rsidRPr="000E6093">
              <w:rPr>
                <w:rFonts w:ascii="Arial" w:hAnsi="Arial" w:cs="Arial"/>
              </w:rPr>
              <w:t>2.1</w:t>
            </w:r>
          </w:p>
          <w:p w14:paraId="69DBCABC" w14:textId="77777777" w:rsidR="00CF2715" w:rsidRPr="000E6093" w:rsidRDefault="00CF2715" w:rsidP="003869D2">
            <w:pPr>
              <w:spacing w:after="0" w:line="240" w:lineRule="auto"/>
              <w:rPr>
                <w:rFonts w:ascii="Arial" w:hAnsi="Arial" w:cs="Arial"/>
              </w:rPr>
            </w:pPr>
          </w:p>
        </w:tc>
        <w:tc>
          <w:tcPr>
            <w:tcW w:w="1701" w:type="dxa"/>
            <w:tcBorders>
              <w:bottom w:val="single" w:sz="4" w:space="0" w:color="auto"/>
            </w:tcBorders>
            <w:shd w:val="clear" w:color="auto" w:fill="D9D9D9"/>
          </w:tcPr>
          <w:p w14:paraId="2FFD86DC" w14:textId="77777777" w:rsidR="00CF2715" w:rsidRPr="000E6093" w:rsidRDefault="00CF2715" w:rsidP="003869D2">
            <w:pPr>
              <w:spacing w:after="0" w:line="240" w:lineRule="auto"/>
              <w:rPr>
                <w:rFonts w:ascii="Arial" w:hAnsi="Arial" w:cs="Arial"/>
                <w:b/>
              </w:rPr>
            </w:pPr>
            <w:r w:rsidRPr="000E6093">
              <w:rPr>
                <w:rFonts w:ascii="Arial" w:hAnsi="Arial" w:cs="Arial"/>
                <w:b/>
              </w:rPr>
              <w:t>Purpose</w:t>
            </w:r>
          </w:p>
        </w:tc>
        <w:tc>
          <w:tcPr>
            <w:tcW w:w="7654" w:type="dxa"/>
            <w:shd w:val="clear" w:color="auto" w:fill="auto"/>
          </w:tcPr>
          <w:p w14:paraId="4765D381" w14:textId="7EDF1453" w:rsidR="00902011" w:rsidRPr="000E6093" w:rsidRDefault="00902011" w:rsidP="00902011">
            <w:pPr>
              <w:spacing w:after="0" w:line="240" w:lineRule="auto"/>
              <w:rPr>
                <w:rFonts w:ascii="Arial" w:hAnsi="Arial" w:cs="Arial"/>
              </w:rPr>
            </w:pPr>
            <w:r w:rsidRPr="000E6093">
              <w:rPr>
                <w:rFonts w:ascii="Arial" w:hAnsi="Arial" w:cs="Arial"/>
              </w:rPr>
              <w:t xml:space="preserve">To identify the rate of antibiotic prescribing </w:t>
            </w:r>
            <w:r w:rsidR="007124CF" w:rsidRPr="000E6093">
              <w:rPr>
                <w:rFonts w:ascii="Arial" w:hAnsi="Arial" w:cs="Arial"/>
              </w:rPr>
              <w:t xml:space="preserve">associated with urinary tract infections (UTI) </w:t>
            </w:r>
            <w:r w:rsidRPr="000E6093">
              <w:rPr>
                <w:rFonts w:ascii="Arial" w:hAnsi="Arial" w:cs="Arial"/>
              </w:rPr>
              <w:t>for children at a defined population level</w:t>
            </w:r>
          </w:p>
          <w:p w14:paraId="286FD568" w14:textId="77ADC63F" w:rsidR="00902011" w:rsidRPr="000E6093" w:rsidRDefault="00902011" w:rsidP="00902011">
            <w:pPr>
              <w:spacing w:after="0" w:line="240" w:lineRule="auto"/>
              <w:rPr>
                <w:rFonts w:ascii="Arial" w:hAnsi="Arial" w:cs="Arial"/>
              </w:rPr>
            </w:pPr>
            <w:r w:rsidRPr="000E6093">
              <w:rPr>
                <w:rFonts w:ascii="Arial" w:hAnsi="Arial" w:cs="Arial"/>
              </w:rPr>
              <w:t xml:space="preserve">To identify variation in the rate of </w:t>
            </w:r>
            <w:r w:rsidR="005B73B5" w:rsidRPr="000E6093">
              <w:rPr>
                <w:rFonts w:ascii="Arial" w:hAnsi="Arial" w:cs="Arial"/>
              </w:rPr>
              <w:t xml:space="preserve">antibiotic prescribing associated with urinary tract infections (UTI) </w:t>
            </w:r>
            <w:r w:rsidRPr="000E6093">
              <w:rPr>
                <w:rFonts w:ascii="Arial" w:hAnsi="Arial" w:cs="Arial"/>
              </w:rPr>
              <w:t>for children</w:t>
            </w:r>
          </w:p>
          <w:p w14:paraId="655AAC94" w14:textId="64CED240" w:rsidR="00902011" w:rsidRPr="000E6093" w:rsidRDefault="00902011" w:rsidP="00902011">
            <w:pPr>
              <w:spacing w:after="0" w:line="240" w:lineRule="auto"/>
              <w:rPr>
                <w:rFonts w:ascii="Arial" w:hAnsi="Arial" w:cs="Arial"/>
              </w:rPr>
            </w:pPr>
            <w:r w:rsidRPr="000E6093">
              <w:rPr>
                <w:rFonts w:ascii="Arial" w:hAnsi="Arial" w:cs="Arial"/>
              </w:rPr>
              <w:t xml:space="preserve">To identify the trend in </w:t>
            </w:r>
            <w:r w:rsidR="005B73B5" w:rsidRPr="000E6093">
              <w:rPr>
                <w:rFonts w:ascii="Arial" w:hAnsi="Arial" w:cs="Arial"/>
              </w:rPr>
              <w:t xml:space="preserve">antibiotic prescribing associated with urinary tract infections (UTI) </w:t>
            </w:r>
            <w:r w:rsidRPr="000E6093">
              <w:rPr>
                <w:rFonts w:ascii="Arial" w:hAnsi="Arial" w:cs="Arial"/>
              </w:rPr>
              <w:t>for children over time</w:t>
            </w:r>
          </w:p>
          <w:p w14:paraId="2C2B635D" w14:textId="5110B97F" w:rsidR="00CF2715" w:rsidRPr="000E6093" w:rsidRDefault="00902011" w:rsidP="00902011">
            <w:pPr>
              <w:spacing w:after="0" w:line="240" w:lineRule="auto"/>
              <w:rPr>
                <w:rFonts w:ascii="Arial" w:hAnsi="Arial" w:cs="Arial"/>
              </w:rPr>
            </w:pPr>
            <w:r w:rsidRPr="000E6093">
              <w:rPr>
                <w:rFonts w:ascii="Arial" w:hAnsi="Arial" w:cs="Arial"/>
              </w:rPr>
              <w:t xml:space="preserve">To identify variation in </w:t>
            </w:r>
            <w:r w:rsidR="005B73B5" w:rsidRPr="000E6093">
              <w:rPr>
                <w:rFonts w:ascii="Arial" w:hAnsi="Arial" w:cs="Arial"/>
              </w:rPr>
              <w:t xml:space="preserve">antibiotic prescribing associated with urinary tract infections (UTI) </w:t>
            </w:r>
            <w:r w:rsidRPr="000E6093">
              <w:rPr>
                <w:rFonts w:ascii="Arial" w:hAnsi="Arial" w:cs="Arial"/>
              </w:rPr>
              <w:t>for children over time</w:t>
            </w:r>
          </w:p>
        </w:tc>
      </w:tr>
      <w:tr w:rsidR="00CF2715" w:rsidRPr="000E6093" w14:paraId="622F43F7" w14:textId="77777777" w:rsidTr="003869D2">
        <w:tc>
          <w:tcPr>
            <w:tcW w:w="534" w:type="dxa"/>
            <w:shd w:val="clear" w:color="auto" w:fill="auto"/>
          </w:tcPr>
          <w:p w14:paraId="008D0F6C" w14:textId="77777777" w:rsidR="00CF2715" w:rsidRPr="000E6093" w:rsidRDefault="00CF2715" w:rsidP="003869D2">
            <w:pPr>
              <w:spacing w:after="0" w:line="240" w:lineRule="auto"/>
              <w:rPr>
                <w:rFonts w:ascii="Arial" w:hAnsi="Arial" w:cs="Arial"/>
              </w:rPr>
            </w:pPr>
            <w:r w:rsidRPr="000E6093">
              <w:rPr>
                <w:rFonts w:ascii="Arial" w:hAnsi="Arial" w:cs="Arial"/>
              </w:rPr>
              <w:t>2.2</w:t>
            </w:r>
          </w:p>
          <w:p w14:paraId="3E955590" w14:textId="77777777" w:rsidR="00CF2715" w:rsidRPr="000E6093" w:rsidRDefault="00CF2715" w:rsidP="003869D2">
            <w:pPr>
              <w:spacing w:after="0" w:line="240" w:lineRule="auto"/>
              <w:rPr>
                <w:rFonts w:ascii="Arial" w:hAnsi="Arial" w:cs="Arial"/>
              </w:rPr>
            </w:pPr>
          </w:p>
        </w:tc>
        <w:tc>
          <w:tcPr>
            <w:tcW w:w="1701" w:type="dxa"/>
            <w:shd w:val="clear" w:color="auto" w:fill="D9D9D9"/>
          </w:tcPr>
          <w:p w14:paraId="0200390E" w14:textId="77777777" w:rsidR="00CF2715" w:rsidRPr="000E6093" w:rsidRDefault="00CF2715" w:rsidP="003869D2">
            <w:pPr>
              <w:spacing w:after="0" w:line="240" w:lineRule="auto"/>
              <w:rPr>
                <w:rFonts w:ascii="Arial" w:hAnsi="Arial" w:cs="Arial"/>
                <w:b/>
              </w:rPr>
            </w:pPr>
            <w:r w:rsidRPr="000E6093">
              <w:rPr>
                <w:rFonts w:ascii="Arial" w:hAnsi="Arial" w:cs="Arial"/>
                <w:b/>
              </w:rPr>
              <w:t>Evidence and Policy Base</w:t>
            </w:r>
          </w:p>
        </w:tc>
        <w:tc>
          <w:tcPr>
            <w:tcW w:w="7654" w:type="dxa"/>
            <w:shd w:val="clear" w:color="auto" w:fill="auto"/>
          </w:tcPr>
          <w:p w14:paraId="222DC5BA" w14:textId="77777777" w:rsidR="006F684E" w:rsidRPr="000E6093" w:rsidRDefault="006F684E" w:rsidP="006F684E">
            <w:pPr>
              <w:autoSpaceDE w:val="0"/>
              <w:autoSpaceDN w:val="0"/>
              <w:spacing w:after="0" w:line="240" w:lineRule="auto"/>
              <w:jc w:val="both"/>
              <w:rPr>
                <w:rFonts w:ascii="Arial" w:hAnsi="Arial" w:cs="Arial"/>
              </w:rPr>
            </w:pPr>
            <w:r w:rsidRPr="000E6093">
              <w:rPr>
                <w:rFonts w:ascii="Arial" w:hAnsi="Arial" w:cs="Arial"/>
              </w:rPr>
              <w:t xml:space="preserve">The </w:t>
            </w:r>
            <w:hyperlink r:id="rId34" w:history="1">
              <w:r w:rsidRPr="000E6093">
                <w:rPr>
                  <w:rStyle w:val="Hyperlink"/>
                  <w:rFonts w:ascii="Arial" w:hAnsi="Arial" w:cs="Arial"/>
                </w:rPr>
                <w:t>UK 5-year action plan: Tackling antimicrobial resistance 2019 to 2024</w:t>
              </w:r>
            </w:hyperlink>
            <w:r w:rsidRPr="000E6093">
              <w:rPr>
                <w:rFonts w:ascii="Arial" w:hAnsi="Arial" w:cs="Arial"/>
              </w:rPr>
              <w:t xml:space="preserve"> includes an ambition to reduce antibiotic prescribing in humans by 15% by 2024, and a 25% reduction in antibiotic use in the community.</w:t>
            </w:r>
          </w:p>
          <w:p w14:paraId="51073474" w14:textId="77777777" w:rsidR="006F684E" w:rsidRPr="000E6093" w:rsidRDefault="006F684E" w:rsidP="006F684E">
            <w:pPr>
              <w:autoSpaceDE w:val="0"/>
              <w:autoSpaceDN w:val="0"/>
              <w:spacing w:after="0" w:line="240" w:lineRule="auto"/>
              <w:jc w:val="both"/>
              <w:rPr>
                <w:rFonts w:ascii="Arial" w:hAnsi="Arial" w:cs="Arial"/>
              </w:rPr>
            </w:pPr>
            <w:r w:rsidRPr="000E6093">
              <w:rPr>
                <w:rFonts w:ascii="Arial" w:hAnsi="Arial" w:cs="Arial"/>
              </w:rPr>
              <w:t xml:space="preserve">Delivery of these ambitions are supported in the </w:t>
            </w:r>
            <w:hyperlink r:id="rId35" w:history="1">
              <w:r w:rsidRPr="000E6093">
                <w:rPr>
                  <w:rStyle w:val="Hyperlink"/>
                  <w:rFonts w:ascii="Arial" w:hAnsi="Arial" w:cs="Arial"/>
                </w:rPr>
                <w:t>NHS Long Term Plan</w:t>
              </w:r>
            </w:hyperlink>
            <w:r w:rsidRPr="000E6093">
              <w:rPr>
                <w:rFonts w:ascii="Arial" w:hAnsi="Arial" w:cs="Arial"/>
              </w:rPr>
              <w:t xml:space="preserve"> and implementation is led by the NHS England and NHS Improvement Antimicrobial Resistance (AMR) programme and integrated into NHS policies.</w:t>
            </w:r>
          </w:p>
          <w:p w14:paraId="5D996E74" w14:textId="1C7435B6" w:rsidR="00CF2715" w:rsidRPr="000E6093" w:rsidRDefault="00593B60" w:rsidP="006F684E">
            <w:pPr>
              <w:autoSpaceDE w:val="0"/>
              <w:autoSpaceDN w:val="0"/>
              <w:spacing w:after="0" w:line="240" w:lineRule="auto"/>
              <w:jc w:val="both"/>
              <w:rPr>
                <w:rFonts w:ascii="Arial" w:hAnsi="Arial" w:cs="Arial"/>
              </w:rPr>
            </w:pPr>
            <w:hyperlink r:id="rId36" w:history="1">
              <w:r w:rsidR="006F684E" w:rsidRPr="000E6093">
                <w:rPr>
                  <w:rStyle w:val="Hyperlink"/>
                  <w:rFonts w:ascii="Arial" w:hAnsi="Arial" w:cs="Arial"/>
                </w:rPr>
                <w:t>NICE</w:t>
              </w:r>
            </w:hyperlink>
            <w:r w:rsidR="006F684E" w:rsidRPr="000E6093">
              <w:rPr>
                <w:rFonts w:ascii="Arial" w:hAnsi="Arial" w:cs="Arial"/>
              </w:rPr>
              <w:t xml:space="preserve"> publish antimicrobial prescribing guidelines for a variety of common infections and recommend appropriate use of antibiotics.</w:t>
            </w:r>
          </w:p>
        </w:tc>
      </w:tr>
    </w:tbl>
    <w:p w14:paraId="4F1110C2" w14:textId="067A2BDF" w:rsidR="00A843E5" w:rsidRDefault="00A843E5" w:rsidP="008A139B">
      <w:pPr>
        <w:pStyle w:val="Heading1"/>
      </w:pPr>
      <w:bookmarkStart w:id="78" w:name="_Toc473297139"/>
      <w:bookmarkStart w:id="79" w:name="_Toc473635672"/>
      <w:bookmarkStart w:id="80" w:name="_Toc473636494"/>
      <w:bookmarkStart w:id="81" w:name="_Toc474398593"/>
      <w:bookmarkStart w:id="82" w:name="_Toc475027492"/>
      <w:bookmarkEnd w:id="71"/>
      <w:bookmarkEnd w:id="72"/>
      <w:bookmarkEnd w:id="73"/>
    </w:p>
    <w:p w14:paraId="17F1C1FC" w14:textId="30ABAE53" w:rsidR="00A843E5" w:rsidRDefault="00A843E5" w:rsidP="00A843E5"/>
    <w:p w14:paraId="454B6E75" w14:textId="79D96334" w:rsidR="00A843E5" w:rsidRDefault="00A843E5" w:rsidP="00A843E5"/>
    <w:p w14:paraId="23BFC6E4" w14:textId="0F3DDC31" w:rsidR="00A843E5" w:rsidRDefault="00A843E5" w:rsidP="00A843E5"/>
    <w:p w14:paraId="53350297" w14:textId="33B13CF0" w:rsidR="00A843E5" w:rsidRDefault="00A843E5" w:rsidP="00A843E5"/>
    <w:p w14:paraId="317B941C" w14:textId="77777777" w:rsidR="00A843E5" w:rsidRPr="00A843E5" w:rsidRDefault="00A843E5" w:rsidP="00A843E5"/>
    <w:p w14:paraId="51F8656C" w14:textId="77777777" w:rsidR="00A843E5" w:rsidRPr="00A843E5" w:rsidRDefault="00A843E5" w:rsidP="00A843E5"/>
    <w:p w14:paraId="3626306D" w14:textId="3EE76B6D" w:rsidR="003616E7" w:rsidRDefault="000E1505" w:rsidP="008A139B">
      <w:pPr>
        <w:pStyle w:val="Heading1"/>
      </w:pPr>
      <w:bookmarkStart w:id="83" w:name="_Toc82592087"/>
      <w:r w:rsidRPr="008A6C13">
        <w:lastRenderedPageBreak/>
        <w:t>Re</w:t>
      </w:r>
      <w:r w:rsidR="001974D8" w:rsidRPr="008A6C13">
        <w:t>ferences</w:t>
      </w:r>
      <w:bookmarkEnd w:id="78"/>
      <w:bookmarkEnd w:id="79"/>
      <w:bookmarkEnd w:id="80"/>
      <w:bookmarkEnd w:id="81"/>
      <w:bookmarkEnd w:id="82"/>
      <w:bookmarkEnd w:id="83"/>
    </w:p>
    <w:p w14:paraId="5D6FC305" w14:textId="77777777" w:rsidR="003616E7" w:rsidRDefault="003616E7">
      <w:pPr>
        <w:spacing w:after="0" w:line="240" w:lineRule="auto"/>
      </w:pPr>
    </w:p>
    <w:p w14:paraId="5E865114" w14:textId="5CCB833A" w:rsidR="003616E7" w:rsidRDefault="007B785A" w:rsidP="003616E7">
      <w:pPr>
        <w:numPr>
          <w:ilvl w:val="0"/>
          <w:numId w:val="24"/>
        </w:numPr>
        <w:spacing w:after="0"/>
        <w:rPr>
          <w:rFonts w:ascii="Arial" w:hAnsi="Arial" w:cs="Arial"/>
          <w:sz w:val="18"/>
          <w:szCs w:val="18"/>
        </w:rPr>
      </w:pPr>
      <w:r>
        <w:rPr>
          <w:rFonts w:ascii="Arial" w:hAnsi="Arial" w:cs="Arial"/>
          <w:sz w:val="18"/>
          <w:szCs w:val="18"/>
        </w:rPr>
        <w:t>Department of Health and Social Care</w:t>
      </w:r>
    </w:p>
    <w:p w14:paraId="2487B26D" w14:textId="77777777" w:rsidR="007B785A" w:rsidRPr="007B785A" w:rsidRDefault="007B785A" w:rsidP="007B785A">
      <w:pPr>
        <w:spacing w:after="0"/>
        <w:ind w:left="720"/>
        <w:rPr>
          <w:rFonts w:ascii="Arial" w:hAnsi="Arial" w:cs="Arial"/>
          <w:sz w:val="18"/>
          <w:szCs w:val="18"/>
        </w:rPr>
      </w:pPr>
      <w:r w:rsidRPr="007B785A">
        <w:rPr>
          <w:rFonts w:ascii="Arial" w:hAnsi="Arial" w:cs="Arial"/>
          <w:sz w:val="18"/>
          <w:szCs w:val="18"/>
        </w:rPr>
        <w:t>Antimicrobial resistance (AMR)</w:t>
      </w:r>
    </w:p>
    <w:p w14:paraId="06763AF0" w14:textId="72EEA325" w:rsidR="007B785A" w:rsidRDefault="007B785A" w:rsidP="007B785A">
      <w:pPr>
        <w:spacing w:after="0"/>
        <w:ind w:left="720"/>
        <w:rPr>
          <w:rFonts w:ascii="Arial" w:hAnsi="Arial" w:cs="Arial"/>
          <w:sz w:val="18"/>
          <w:szCs w:val="18"/>
        </w:rPr>
      </w:pPr>
      <w:r w:rsidRPr="007B785A">
        <w:rPr>
          <w:rFonts w:ascii="Arial" w:hAnsi="Arial" w:cs="Arial"/>
          <w:sz w:val="18"/>
          <w:szCs w:val="18"/>
        </w:rPr>
        <w:t>Information and resources on the UK’s plans to see antimicrobial resistance contained and controlled by 2040.</w:t>
      </w:r>
    </w:p>
    <w:p w14:paraId="47F5AC8A" w14:textId="5B052E6B" w:rsidR="007B785A" w:rsidRDefault="007B785A" w:rsidP="007B785A">
      <w:pPr>
        <w:spacing w:after="0"/>
        <w:ind w:left="720"/>
        <w:rPr>
          <w:rFonts w:ascii="Arial" w:hAnsi="Arial" w:cs="Arial"/>
          <w:sz w:val="18"/>
          <w:szCs w:val="18"/>
        </w:rPr>
      </w:pPr>
      <w:r>
        <w:rPr>
          <w:rFonts w:ascii="Arial" w:hAnsi="Arial" w:cs="Arial"/>
          <w:sz w:val="18"/>
          <w:szCs w:val="18"/>
        </w:rPr>
        <w:t>First Published 23 July 2014</w:t>
      </w:r>
    </w:p>
    <w:p w14:paraId="70D2B3E8" w14:textId="214F316F" w:rsidR="007B785A" w:rsidRDefault="00593B60" w:rsidP="007B785A">
      <w:pPr>
        <w:spacing w:after="0"/>
        <w:ind w:left="720"/>
        <w:rPr>
          <w:rFonts w:ascii="Arial" w:hAnsi="Arial" w:cs="Arial"/>
          <w:sz w:val="18"/>
          <w:szCs w:val="18"/>
        </w:rPr>
      </w:pPr>
      <w:hyperlink r:id="rId37" w:history="1">
        <w:r w:rsidR="007B785A" w:rsidRPr="00CB2679">
          <w:rPr>
            <w:rStyle w:val="Hyperlink"/>
            <w:rFonts w:ascii="Arial" w:hAnsi="Arial" w:cs="Arial"/>
            <w:sz w:val="18"/>
            <w:szCs w:val="18"/>
          </w:rPr>
          <w:t>https://www.gov.uk/government/collections/antimicrobial-resistance-amr-information-and-resources</w:t>
        </w:r>
      </w:hyperlink>
      <w:r w:rsidR="007B785A">
        <w:rPr>
          <w:rFonts w:ascii="Arial" w:hAnsi="Arial" w:cs="Arial"/>
          <w:sz w:val="18"/>
          <w:szCs w:val="18"/>
        </w:rPr>
        <w:t xml:space="preserve"> </w:t>
      </w:r>
    </w:p>
    <w:p w14:paraId="76282F76" w14:textId="77777777" w:rsidR="007B785A" w:rsidRDefault="007B785A" w:rsidP="007B785A">
      <w:pPr>
        <w:spacing w:after="0"/>
        <w:ind w:left="720"/>
        <w:rPr>
          <w:rFonts w:ascii="Arial" w:hAnsi="Arial" w:cs="Arial"/>
          <w:sz w:val="18"/>
          <w:szCs w:val="18"/>
        </w:rPr>
      </w:pPr>
    </w:p>
    <w:p w14:paraId="5F2255EF" w14:textId="5552A4BA" w:rsidR="003616E7" w:rsidRDefault="003616E7" w:rsidP="003616E7">
      <w:pPr>
        <w:numPr>
          <w:ilvl w:val="0"/>
          <w:numId w:val="24"/>
        </w:numPr>
        <w:spacing w:after="0"/>
        <w:rPr>
          <w:rFonts w:ascii="Arial" w:hAnsi="Arial" w:cs="Arial"/>
          <w:sz w:val="18"/>
          <w:szCs w:val="18"/>
        </w:rPr>
      </w:pPr>
      <w:r>
        <w:rPr>
          <w:rFonts w:ascii="Arial" w:hAnsi="Arial" w:cs="Arial"/>
          <w:sz w:val="18"/>
          <w:szCs w:val="18"/>
        </w:rPr>
        <w:t>Department of Health and Social Care</w:t>
      </w:r>
    </w:p>
    <w:p w14:paraId="4347933B" w14:textId="77777777" w:rsidR="003616E7" w:rsidRDefault="003616E7" w:rsidP="003616E7">
      <w:pPr>
        <w:spacing w:after="0"/>
        <w:ind w:left="720"/>
        <w:rPr>
          <w:rFonts w:ascii="Arial" w:hAnsi="Arial" w:cs="Arial"/>
          <w:sz w:val="18"/>
          <w:szCs w:val="18"/>
        </w:rPr>
      </w:pPr>
      <w:r>
        <w:rPr>
          <w:rFonts w:ascii="Arial" w:hAnsi="Arial" w:cs="Arial"/>
          <w:sz w:val="18"/>
          <w:szCs w:val="18"/>
        </w:rPr>
        <w:t>UK 5-year action plan for antimicrobial resistance 2019 to 2024. Ambitions and actions for the next 5 years, supporting the 20-year vision for antimicrobial resistance (AMR).</w:t>
      </w:r>
    </w:p>
    <w:p w14:paraId="2BE81D5F" w14:textId="77777777" w:rsidR="003616E7" w:rsidRDefault="003616E7" w:rsidP="003616E7">
      <w:pPr>
        <w:spacing w:after="0"/>
        <w:ind w:firstLine="720"/>
        <w:rPr>
          <w:rFonts w:ascii="Arial" w:hAnsi="Arial" w:cs="Arial"/>
          <w:sz w:val="18"/>
          <w:szCs w:val="18"/>
        </w:rPr>
      </w:pPr>
      <w:r>
        <w:rPr>
          <w:rFonts w:ascii="Arial" w:hAnsi="Arial" w:cs="Arial"/>
          <w:sz w:val="18"/>
          <w:szCs w:val="18"/>
        </w:rPr>
        <w:t>Published 24 January 2019</w:t>
      </w:r>
    </w:p>
    <w:p w14:paraId="02BB7E50" w14:textId="7EB1AE49" w:rsidR="003616E7" w:rsidRDefault="00593B60" w:rsidP="003616E7">
      <w:pPr>
        <w:spacing w:after="0"/>
        <w:ind w:firstLine="720"/>
        <w:rPr>
          <w:rFonts w:ascii="Arial" w:hAnsi="Arial" w:cs="Arial"/>
          <w:sz w:val="18"/>
          <w:szCs w:val="18"/>
        </w:rPr>
      </w:pPr>
      <w:hyperlink r:id="rId38" w:history="1">
        <w:r w:rsidR="003616E7">
          <w:rPr>
            <w:rStyle w:val="Hyperlink"/>
            <w:rFonts w:ascii="Arial" w:hAnsi="Arial" w:cs="Arial"/>
            <w:sz w:val="18"/>
            <w:szCs w:val="18"/>
          </w:rPr>
          <w:t>https://www.gov.uk/government/publications/uk-5-year-action-plan-for-antimicrobial-resistance-2019-to-2024</w:t>
        </w:r>
      </w:hyperlink>
    </w:p>
    <w:p w14:paraId="0178206F" w14:textId="7880E3D0" w:rsidR="007B785A" w:rsidRDefault="007B785A" w:rsidP="003616E7">
      <w:pPr>
        <w:spacing w:after="0"/>
        <w:ind w:firstLine="720"/>
        <w:rPr>
          <w:rFonts w:ascii="Arial" w:hAnsi="Arial" w:cs="Arial"/>
          <w:sz w:val="18"/>
          <w:szCs w:val="18"/>
        </w:rPr>
      </w:pPr>
    </w:p>
    <w:p w14:paraId="5BA19578" w14:textId="0F461DC6" w:rsidR="007B785A" w:rsidRDefault="007B785A" w:rsidP="007B785A">
      <w:pPr>
        <w:pStyle w:val="ListParagraph"/>
        <w:numPr>
          <w:ilvl w:val="0"/>
          <w:numId w:val="24"/>
        </w:numPr>
        <w:spacing w:after="0"/>
        <w:rPr>
          <w:rFonts w:ascii="Arial" w:hAnsi="Arial" w:cs="Arial"/>
          <w:sz w:val="18"/>
          <w:szCs w:val="18"/>
        </w:rPr>
      </w:pPr>
      <w:r>
        <w:rPr>
          <w:rFonts w:ascii="Arial" w:hAnsi="Arial" w:cs="Arial"/>
          <w:sz w:val="18"/>
          <w:szCs w:val="18"/>
        </w:rPr>
        <w:t xml:space="preserve">NHS England </w:t>
      </w:r>
    </w:p>
    <w:p w14:paraId="0FF0F9B8" w14:textId="697F7FBD" w:rsidR="007B785A" w:rsidRDefault="007B785A" w:rsidP="007B785A">
      <w:pPr>
        <w:spacing w:after="0"/>
        <w:ind w:left="720"/>
        <w:rPr>
          <w:rFonts w:ascii="Arial" w:hAnsi="Arial" w:cs="Arial"/>
          <w:sz w:val="18"/>
          <w:szCs w:val="18"/>
        </w:rPr>
      </w:pPr>
      <w:r>
        <w:rPr>
          <w:rFonts w:ascii="Arial" w:hAnsi="Arial" w:cs="Arial"/>
          <w:sz w:val="18"/>
          <w:szCs w:val="18"/>
        </w:rPr>
        <w:t>Long Term Plan</w:t>
      </w:r>
    </w:p>
    <w:p w14:paraId="5B546B5F" w14:textId="05F6F440" w:rsidR="007B785A" w:rsidRDefault="007B785A" w:rsidP="007B785A">
      <w:pPr>
        <w:spacing w:after="0"/>
        <w:ind w:left="720"/>
        <w:rPr>
          <w:rFonts w:ascii="Arial" w:hAnsi="Arial" w:cs="Arial"/>
          <w:sz w:val="18"/>
          <w:szCs w:val="18"/>
        </w:rPr>
      </w:pPr>
      <w:r>
        <w:rPr>
          <w:rFonts w:ascii="Arial" w:hAnsi="Arial" w:cs="Arial"/>
          <w:sz w:val="18"/>
          <w:szCs w:val="18"/>
        </w:rPr>
        <w:t>First Published 7 January 2019</w:t>
      </w:r>
    </w:p>
    <w:p w14:paraId="6E04E848" w14:textId="11D18D5B" w:rsidR="007B785A" w:rsidRPr="007B785A" w:rsidRDefault="00593B60" w:rsidP="007B785A">
      <w:pPr>
        <w:spacing w:after="0"/>
        <w:ind w:left="720"/>
        <w:rPr>
          <w:rFonts w:ascii="Arial" w:hAnsi="Arial" w:cs="Arial"/>
          <w:sz w:val="18"/>
          <w:szCs w:val="18"/>
        </w:rPr>
      </w:pPr>
      <w:hyperlink r:id="rId39" w:history="1">
        <w:r w:rsidR="007B785A" w:rsidRPr="00CB2679">
          <w:rPr>
            <w:rStyle w:val="Hyperlink"/>
            <w:rFonts w:ascii="Arial" w:hAnsi="Arial" w:cs="Arial"/>
            <w:sz w:val="18"/>
            <w:szCs w:val="18"/>
          </w:rPr>
          <w:t>https://www.longtermplan.nhs.uk/publication/nhs-long-term-plan/</w:t>
        </w:r>
      </w:hyperlink>
      <w:r w:rsidR="007B785A">
        <w:rPr>
          <w:rFonts w:ascii="Arial" w:hAnsi="Arial" w:cs="Arial"/>
          <w:sz w:val="18"/>
          <w:szCs w:val="18"/>
        </w:rPr>
        <w:t xml:space="preserve"> </w:t>
      </w:r>
    </w:p>
    <w:p w14:paraId="397CF58E" w14:textId="77777777" w:rsidR="007B785A" w:rsidRPr="007B785A" w:rsidRDefault="007B785A" w:rsidP="007B785A">
      <w:pPr>
        <w:spacing w:after="0"/>
        <w:rPr>
          <w:rFonts w:ascii="Arial" w:hAnsi="Arial" w:cs="Arial"/>
          <w:sz w:val="18"/>
          <w:szCs w:val="18"/>
        </w:rPr>
      </w:pPr>
    </w:p>
    <w:p w14:paraId="3A52EE4C" w14:textId="575531F5" w:rsidR="007B785A" w:rsidRDefault="007B785A" w:rsidP="007B785A">
      <w:pPr>
        <w:pStyle w:val="ListParagraph"/>
        <w:numPr>
          <w:ilvl w:val="0"/>
          <w:numId w:val="24"/>
        </w:numPr>
        <w:spacing w:after="0"/>
        <w:rPr>
          <w:rFonts w:ascii="Arial" w:hAnsi="Arial" w:cs="Arial"/>
          <w:sz w:val="18"/>
          <w:szCs w:val="18"/>
        </w:rPr>
      </w:pPr>
      <w:r>
        <w:rPr>
          <w:rFonts w:ascii="Arial" w:hAnsi="Arial" w:cs="Arial"/>
          <w:sz w:val="18"/>
          <w:szCs w:val="18"/>
        </w:rPr>
        <w:t>NHS England</w:t>
      </w:r>
    </w:p>
    <w:p w14:paraId="28217471" w14:textId="2259793F" w:rsidR="007B785A" w:rsidRDefault="007B785A" w:rsidP="007B785A">
      <w:pPr>
        <w:pStyle w:val="ListParagraph"/>
        <w:spacing w:after="0"/>
        <w:rPr>
          <w:rFonts w:ascii="Arial" w:hAnsi="Arial" w:cs="Arial"/>
          <w:sz w:val="18"/>
          <w:szCs w:val="18"/>
        </w:rPr>
      </w:pPr>
      <w:r w:rsidRPr="007B785A">
        <w:rPr>
          <w:rFonts w:ascii="Arial" w:hAnsi="Arial" w:cs="Arial"/>
          <w:sz w:val="18"/>
          <w:szCs w:val="18"/>
        </w:rPr>
        <w:t>The NHS Patient Safety Strategy</w:t>
      </w:r>
      <w:r w:rsidR="00A843E5">
        <w:rPr>
          <w:rFonts w:ascii="Arial" w:hAnsi="Arial" w:cs="Arial"/>
          <w:sz w:val="18"/>
          <w:szCs w:val="18"/>
        </w:rPr>
        <w:t xml:space="preserve">: </w:t>
      </w:r>
      <w:r w:rsidRPr="007B785A">
        <w:rPr>
          <w:rFonts w:ascii="Arial" w:hAnsi="Arial" w:cs="Arial"/>
          <w:sz w:val="18"/>
          <w:szCs w:val="18"/>
        </w:rPr>
        <w:t>This strategy describes how the NHS will continuously improve patient safety, building on the foundations of a safer culture and safer systems.</w:t>
      </w:r>
    </w:p>
    <w:p w14:paraId="5DB8D7FA" w14:textId="7705C286" w:rsidR="007B785A" w:rsidRDefault="00593B60" w:rsidP="007B785A">
      <w:pPr>
        <w:pStyle w:val="ListParagraph"/>
        <w:spacing w:after="0"/>
        <w:rPr>
          <w:rFonts w:ascii="Arial" w:hAnsi="Arial" w:cs="Arial"/>
          <w:sz w:val="18"/>
          <w:szCs w:val="18"/>
        </w:rPr>
      </w:pPr>
      <w:hyperlink r:id="rId40" w:history="1">
        <w:r w:rsidR="007B785A" w:rsidRPr="00CB2679">
          <w:rPr>
            <w:rStyle w:val="Hyperlink"/>
            <w:rFonts w:ascii="Arial" w:hAnsi="Arial" w:cs="Arial"/>
            <w:sz w:val="18"/>
            <w:szCs w:val="18"/>
          </w:rPr>
          <w:t>https://www.england.nhs.uk/patient-safety/the-nhs-patient-safety-strategy/</w:t>
        </w:r>
      </w:hyperlink>
      <w:r w:rsidR="007B785A">
        <w:rPr>
          <w:rFonts w:ascii="Arial" w:hAnsi="Arial" w:cs="Arial"/>
          <w:sz w:val="18"/>
          <w:szCs w:val="18"/>
        </w:rPr>
        <w:t xml:space="preserve"> </w:t>
      </w:r>
    </w:p>
    <w:p w14:paraId="08C6311B" w14:textId="77777777" w:rsidR="007B785A" w:rsidRPr="007B785A" w:rsidRDefault="007B785A" w:rsidP="007B785A">
      <w:pPr>
        <w:spacing w:after="0"/>
        <w:rPr>
          <w:rFonts w:ascii="Arial" w:hAnsi="Arial" w:cs="Arial"/>
          <w:sz w:val="18"/>
          <w:szCs w:val="18"/>
        </w:rPr>
      </w:pPr>
    </w:p>
    <w:p w14:paraId="76A3AA30" w14:textId="06D0646C" w:rsidR="007B785A" w:rsidRDefault="007B785A" w:rsidP="007B785A">
      <w:pPr>
        <w:pStyle w:val="ListParagraph"/>
        <w:numPr>
          <w:ilvl w:val="0"/>
          <w:numId w:val="24"/>
        </w:numPr>
        <w:spacing w:after="0"/>
        <w:rPr>
          <w:rFonts w:ascii="Arial" w:hAnsi="Arial" w:cs="Arial"/>
          <w:sz w:val="18"/>
          <w:szCs w:val="18"/>
        </w:rPr>
      </w:pPr>
      <w:r>
        <w:rPr>
          <w:rFonts w:ascii="Arial" w:hAnsi="Arial" w:cs="Arial"/>
          <w:sz w:val="18"/>
          <w:szCs w:val="18"/>
        </w:rPr>
        <w:t>Public Health England</w:t>
      </w:r>
    </w:p>
    <w:p w14:paraId="03A93F1B" w14:textId="7F86A5A0" w:rsidR="007B785A" w:rsidRDefault="007B785A" w:rsidP="007B785A">
      <w:pPr>
        <w:pStyle w:val="ListParagraph"/>
        <w:spacing w:after="0"/>
        <w:rPr>
          <w:rFonts w:ascii="Arial" w:hAnsi="Arial" w:cs="Arial"/>
          <w:sz w:val="18"/>
          <w:szCs w:val="18"/>
        </w:rPr>
      </w:pPr>
      <w:r w:rsidRPr="007B785A">
        <w:rPr>
          <w:rFonts w:ascii="Arial" w:hAnsi="Arial" w:cs="Arial"/>
          <w:sz w:val="18"/>
          <w:szCs w:val="18"/>
        </w:rPr>
        <w:t>English surveillance programme for antimicrobial utilisation and resistance (ESPAUR) report</w:t>
      </w:r>
      <w:r w:rsidR="00A843E5">
        <w:rPr>
          <w:rFonts w:ascii="Arial" w:hAnsi="Arial" w:cs="Arial"/>
          <w:sz w:val="18"/>
          <w:szCs w:val="18"/>
        </w:rPr>
        <w:t xml:space="preserve">: </w:t>
      </w:r>
      <w:r w:rsidRPr="007B785A">
        <w:rPr>
          <w:rFonts w:ascii="Arial" w:hAnsi="Arial" w:cs="Arial"/>
          <w:sz w:val="18"/>
          <w:szCs w:val="18"/>
        </w:rPr>
        <w:t>The ESPAUR report includes national data on antibiotic prescribing and resistance, antimicrobial stewardship implementation, and awareness activities.</w:t>
      </w:r>
    </w:p>
    <w:p w14:paraId="26364BBD" w14:textId="623ED00E" w:rsidR="007B785A" w:rsidRDefault="007B785A" w:rsidP="007B785A">
      <w:pPr>
        <w:pStyle w:val="ListParagraph"/>
        <w:spacing w:after="0"/>
        <w:rPr>
          <w:rFonts w:ascii="Arial" w:hAnsi="Arial" w:cs="Arial"/>
          <w:sz w:val="18"/>
          <w:szCs w:val="18"/>
        </w:rPr>
      </w:pPr>
      <w:r>
        <w:rPr>
          <w:rFonts w:ascii="Arial" w:hAnsi="Arial" w:cs="Arial"/>
          <w:sz w:val="18"/>
          <w:szCs w:val="18"/>
        </w:rPr>
        <w:t>First Published 10 October 2014</w:t>
      </w:r>
    </w:p>
    <w:p w14:paraId="1EC09968" w14:textId="1DE26198" w:rsidR="007B785A" w:rsidRDefault="00593B60" w:rsidP="007B785A">
      <w:pPr>
        <w:pStyle w:val="ListParagraph"/>
        <w:spacing w:after="0"/>
        <w:rPr>
          <w:rFonts w:ascii="Arial" w:hAnsi="Arial" w:cs="Arial"/>
          <w:sz w:val="18"/>
          <w:szCs w:val="18"/>
        </w:rPr>
      </w:pPr>
      <w:hyperlink r:id="rId41" w:history="1">
        <w:r w:rsidR="007B785A" w:rsidRPr="00CB2679">
          <w:rPr>
            <w:rStyle w:val="Hyperlink"/>
            <w:rFonts w:ascii="Arial" w:hAnsi="Arial" w:cs="Arial"/>
            <w:sz w:val="18"/>
            <w:szCs w:val="18"/>
          </w:rPr>
          <w:t>https://www.gov.uk/government/publications/english-surveillance-programme-antimicrobial-utilisation-and-resistance-espaur-report</w:t>
        </w:r>
      </w:hyperlink>
      <w:r w:rsidR="007B785A">
        <w:rPr>
          <w:rFonts w:ascii="Arial" w:hAnsi="Arial" w:cs="Arial"/>
          <w:sz w:val="18"/>
          <w:szCs w:val="18"/>
        </w:rPr>
        <w:t xml:space="preserve"> </w:t>
      </w:r>
    </w:p>
    <w:p w14:paraId="7A650183" w14:textId="77777777" w:rsidR="007B785A" w:rsidRPr="007B785A" w:rsidRDefault="007B785A" w:rsidP="007B785A">
      <w:pPr>
        <w:spacing w:after="0"/>
        <w:rPr>
          <w:rFonts w:ascii="Arial" w:hAnsi="Arial" w:cs="Arial"/>
          <w:sz w:val="18"/>
          <w:szCs w:val="18"/>
        </w:rPr>
      </w:pPr>
    </w:p>
    <w:p w14:paraId="50D68F46" w14:textId="77777777" w:rsidR="00A0630D" w:rsidRDefault="00A0630D" w:rsidP="00A0630D">
      <w:pPr>
        <w:numPr>
          <w:ilvl w:val="0"/>
          <w:numId w:val="24"/>
        </w:numPr>
        <w:spacing w:after="0"/>
        <w:rPr>
          <w:rFonts w:ascii="Arial" w:hAnsi="Arial" w:cs="Arial"/>
          <w:sz w:val="18"/>
          <w:szCs w:val="18"/>
        </w:rPr>
      </w:pPr>
      <w:r>
        <w:rPr>
          <w:rFonts w:ascii="Arial" w:hAnsi="Arial" w:cs="Arial"/>
          <w:sz w:val="18"/>
          <w:szCs w:val="18"/>
        </w:rPr>
        <w:t>NICE (National Institute for Health and Care Excellence)</w:t>
      </w:r>
    </w:p>
    <w:p w14:paraId="52434313" w14:textId="77777777" w:rsidR="00A0630D" w:rsidRDefault="00A0630D" w:rsidP="00A0630D">
      <w:pPr>
        <w:spacing w:after="0"/>
        <w:ind w:left="720"/>
        <w:rPr>
          <w:rFonts w:ascii="Arial" w:hAnsi="Arial" w:cs="Arial"/>
          <w:sz w:val="18"/>
          <w:szCs w:val="18"/>
        </w:rPr>
      </w:pPr>
      <w:r>
        <w:rPr>
          <w:rFonts w:ascii="Arial" w:hAnsi="Arial" w:cs="Arial"/>
          <w:sz w:val="18"/>
          <w:szCs w:val="18"/>
        </w:rPr>
        <w:t>Antimicrobial prescribing guidelines</w:t>
      </w:r>
    </w:p>
    <w:p w14:paraId="79711726" w14:textId="063F0024" w:rsidR="00A0630D" w:rsidRDefault="00593B60" w:rsidP="00A0630D">
      <w:pPr>
        <w:spacing w:after="0"/>
        <w:ind w:left="720"/>
        <w:rPr>
          <w:rFonts w:ascii="Arial" w:hAnsi="Arial" w:cs="Arial"/>
          <w:sz w:val="18"/>
          <w:szCs w:val="18"/>
        </w:rPr>
      </w:pPr>
      <w:hyperlink r:id="rId42" w:history="1">
        <w:r w:rsidR="00A0630D" w:rsidRPr="00CB2679">
          <w:rPr>
            <w:rStyle w:val="Hyperlink"/>
            <w:rFonts w:ascii="Arial" w:hAnsi="Arial" w:cs="Arial"/>
            <w:sz w:val="18"/>
            <w:szCs w:val="18"/>
          </w:rPr>
          <w:t>https://www.nice.org.uk/guidance/health-protection/communicable-diseases/antimicrobial-stewardship</w:t>
        </w:r>
      </w:hyperlink>
      <w:r w:rsidR="00A0630D">
        <w:rPr>
          <w:rFonts w:ascii="Arial" w:hAnsi="Arial" w:cs="Arial"/>
          <w:sz w:val="18"/>
          <w:szCs w:val="18"/>
        </w:rPr>
        <w:t xml:space="preserve"> </w:t>
      </w:r>
    </w:p>
    <w:p w14:paraId="7114EBBA" w14:textId="77777777" w:rsidR="007B785A" w:rsidRPr="007B785A" w:rsidRDefault="007B785A" w:rsidP="007B785A">
      <w:pPr>
        <w:spacing w:after="0"/>
        <w:rPr>
          <w:rFonts w:ascii="Arial" w:hAnsi="Arial" w:cs="Arial"/>
          <w:sz w:val="18"/>
          <w:szCs w:val="18"/>
        </w:rPr>
      </w:pPr>
    </w:p>
    <w:p w14:paraId="769739D3" w14:textId="4B7824EF" w:rsidR="007B785A" w:rsidRDefault="00A0630D" w:rsidP="007B785A">
      <w:pPr>
        <w:pStyle w:val="ListParagraph"/>
        <w:numPr>
          <w:ilvl w:val="0"/>
          <w:numId w:val="24"/>
        </w:numPr>
        <w:spacing w:after="0"/>
        <w:rPr>
          <w:rFonts w:ascii="Arial" w:hAnsi="Arial" w:cs="Arial"/>
          <w:sz w:val="18"/>
          <w:szCs w:val="18"/>
        </w:rPr>
      </w:pPr>
      <w:r>
        <w:rPr>
          <w:rFonts w:ascii="Arial" w:hAnsi="Arial" w:cs="Arial"/>
          <w:sz w:val="18"/>
          <w:szCs w:val="18"/>
        </w:rPr>
        <w:t>Royal College of General Practitioners</w:t>
      </w:r>
    </w:p>
    <w:p w14:paraId="5B2DB0BA" w14:textId="5D5B7098" w:rsidR="00A0630D" w:rsidRDefault="00A0630D" w:rsidP="00A0630D">
      <w:pPr>
        <w:pStyle w:val="ListParagraph"/>
        <w:spacing w:after="0"/>
        <w:rPr>
          <w:rFonts w:ascii="Arial" w:hAnsi="Arial" w:cs="Arial"/>
          <w:sz w:val="18"/>
          <w:szCs w:val="18"/>
        </w:rPr>
      </w:pPr>
      <w:r w:rsidRPr="00A0630D">
        <w:rPr>
          <w:rFonts w:ascii="Arial" w:hAnsi="Arial" w:cs="Arial"/>
          <w:sz w:val="18"/>
          <w:szCs w:val="18"/>
        </w:rPr>
        <w:t>TARGET Antibiotics Toolkit</w:t>
      </w:r>
    </w:p>
    <w:p w14:paraId="17FB509C" w14:textId="1358ADB0" w:rsidR="00A0630D" w:rsidRDefault="00593B60" w:rsidP="00A0630D">
      <w:pPr>
        <w:pStyle w:val="ListParagraph"/>
        <w:spacing w:after="0"/>
        <w:rPr>
          <w:rFonts w:ascii="Arial" w:hAnsi="Arial" w:cs="Arial"/>
          <w:sz w:val="18"/>
          <w:szCs w:val="18"/>
        </w:rPr>
      </w:pPr>
      <w:hyperlink r:id="rId43" w:history="1">
        <w:r w:rsidR="00A0630D" w:rsidRPr="00CB2679">
          <w:rPr>
            <w:rStyle w:val="Hyperlink"/>
            <w:rFonts w:ascii="Arial" w:hAnsi="Arial" w:cs="Arial"/>
            <w:sz w:val="18"/>
            <w:szCs w:val="18"/>
          </w:rPr>
          <w:t>https://www.rcgp.org.uk/clinical-and-research/resources/toolkits/amr/target-antibiotics-toolkit.aspx</w:t>
        </w:r>
      </w:hyperlink>
      <w:r w:rsidR="00A0630D">
        <w:rPr>
          <w:rFonts w:ascii="Arial" w:hAnsi="Arial" w:cs="Arial"/>
          <w:sz w:val="18"/>
          <w:szCs w:val="18"/>
        </w:rPr>
        <w:t xml:space="preserve"> </w:t>
      </w:r>
    </w:p>
    <w:p w14:paraId="5FF5CC9B" w14:textId="77777777" w:rsidR="007B785A" w:rsidRPr="007B785A" w:rsidRDefault="007B785A" w:rsidP="007B785A">
      <w:pPr>
        <w:spacing w:after="0"/>
        <w:rPr>
          <w:rFonts w:ascii="Arial" w:hAnsi="Arial" w:cs="Arial"/>
          <w:sz w:val="18"/>
          <w:szCs w:val="18"/>
        </w:rPr>
      </w:pPr>
    </w:p>
    <w:p w14:paraId="01F95F44" w14:textId="6C3912C7" w:rsidR="007B785A" w:rsidRDefault="00A0630D" w:rsidP="007B785A">
      <w:pPr>
        <w:pStyle w:val="ListParagraph"/>
        <w:numPr>
          <w:ilvl w:val="0"/>
          <w:numId w:val="24"/>
        </w:numPr>
        <w:spacing w:after="0"/>
        <w:rPr>
          <w:rFonts w:ascii="Arial" w:hAnsi="Arial" w:cs="Arial"/>
          <w:sz w:val="18"/>
          <w:szCs w:val="18"/>
        </w:rPr>
      </w:pPr>
      <w:r w:rsidRPr="00A0630D">
        <w:rPr>
          <w:rFonts w:ascii="Arial" w:hAnsi="Arial" w:cs="Arial"/>
          <w:sz w:val="18"/>
          <w:szCs w:val="18"/>
        </w:rPr>
        <w:t>Department of Primary Care and Public Health, Cardiff University</w:t>
      </w:r>
    </w:p>
    <w:p w14:paraId="335D3897" w14:textId="41F58C83" w:rsidR="00A0630D" w:rsidRDefault="00A0630D" w:rsidP="00A0630D">
      <w:pPr>
        <w:spacing w:after="0"/>
        <w:ind w:left="720"/>
        <w:rPr>
          <w:rFonts w:ascii="Arial" w:hAnsi="Arial" w:cs="Arial"/>
          <w:sz w:val="18"/>
          <w:szCs w:val="18"/>
        </w:rPr>
      </w:pPr>
      <w:r w:rsidRPr="00A0630D">
        <w:rPr>
          <w:rFonts w:ascii="Arial" w:hAnsi="Arial" w:cs="Arial"/>
          <w:sz w:val="18"/>
          <w:szCs w:val="18"/>
        </w:rPr>
        <w:t>When should I worry?</w:t>
      </w:r>
      <w:r>
        <w:rPr>
          <w:rFonts w:ascii="Arial" w:hAnsi="Arial" w:cs="Arial"/>
          <w:sz w:val="18"/>
          <w:szCs w:val="18"/>
        </w:rPr>
        <w:t xml:space="preserve"> </w:t>
      </w:r>
      <w:r w:rsidRPr="00A0630D">
        <w:rPr>
          <w:rFonts w:ascii="Arial" w:hAnsi="Arial" w:cs="Arial"/>
          <w:sz w:val="18"/>
          <w:szCs w:val="18"/>
        </w:rPr>
        <w:t>Your guide to Coughs, Colds, Earache &amp; Sore</w:t>
      </w:r>
      <w:r>
        <w:rPr>
          <w:rFonts w:ascii="Arial" w:hAnsi="Arial" w:cs="Arial"/>
          <w:sz w:val="18"/>
          <w:szCs w:val="18"/>
        </w:rPr>
        <w:t xml:space="preserve"> </w:t>
      </w:r>
      <w:r w:rsidRPr="00A0630D">
        <w:rPr>
          <w:rFonts w:ascii="Arial" w:hAnsi="Arial" w:cs="Arial"/>
          <w:sz w:val="18"/>
          <w:szCs w:val="18"/>
        </w:rPr>
        <w:t>Throats</w:t>
      </w:r>
    </w:p>
    <w:p w14:paraId="5AB48B55" w14:textId="041C6871" w:rsidR="00A0630D" w:rsidRDefault="00A0630D" w:rsidP="00A0630D">
      <w:pPr>
        <w:spacing w:after="0"/>
        <w:ind w:left="720"/>
        <w:rPr>
          <w:rFonts w:ascii="Arial" w:hAnsi="Arial" w:cs="Arial"/>
          <w:sz w:val="18"/>
          <w:szCs w:val="18"/>
        </w:rPr>
      </w:pPr>
      <w:r>
        <w:rPr>
          <w:rFonts w:ascii="Arial" w:hAnsi="Arial" w:cs="Arial"/>
          <w:sz w:val="18"/>
          <w:szCs w:val="18"/>
        </w:rPr>
        <w:t>Revised edition published October 2016</w:t>
      </w:r>
    </w:p>
    <w:p w14:paraId="50DF6B46" w14:textId="0B3BC205" w:rsidR="00A0630D" w:rsidRPr="00A0630D" w:rsidRDefault="00593B60" w:rsidP="00A0630D">
      <w:pPr>
        <w:spacing w:after="0"/>
        <w:ind w:left="720"/>
        <w:rPr>
          <w:rFonts w:ascii="Arial" w:hAnsi="Arial" w:cs="Arial"/>
          <w:sz w:val="18"/>
          <w:szCs w:val="18"/>
        </w:rPr>
      </w:pPr>
      <w:hyperlink r:id="rId44" w:history="1">
        <w:r w:rsidR="00A0630D" w:rsidRPr="00CB2679">
          <w:rPr>
            <w:rStyle w:val="Hyperlink"/>
            <w:rFonts w:ascii="Arial" w:hAnsi="Arial" w:cs="Arial"/>
            <w:sz w:val="18"/>
            <w:szCs w:val="18"/>
          </w:rPr>
          <w:t>http://www.whenshouldiworry.com/</w:t>
        </w:r>
      </w:hyperlink>
      <w:r w:rsidR="00A0630D">
        <w:rPr>
          <w:rFonts w:ascii="Arial" w:hAnsi="Arial" w:cs="Arial"/>
          <w:sz w:val="18"/>
          <w:szCs w:val="18"/>
        </w:rPr>
        <w:t xml:space="preserve"> </w:t>
      </w:r>
    </w:p>
    <w:p w14:paraId="564A7AB9" w14:textId="77777777" w:rsidR="007B785A" w:rsidRPr="007B785A" w:rsidRDefault="007B785A" w:rsidP="007B785A">
      <w:pPr>
        <w:spacing w:after="0"/>
        <w:rPr>
          <w:rFonts w:ascii="Arial" w:hAnsi="Arial" w:cs="Arial"/>
          <w:sz w:val="18"/>
          <w:szCs w:val="18"/>
        </w:rPr>
      </w:pPr>
    </w:p>
    <w:p w14:paraId="46AFE630" w14:textId="22A34CEE" w:rsidR="00A0630D" w:rsidRDefault="00A0630D" w:rsidP="005F764A">
      <w:pPr>
        <w:pStyle w:val="ListParagraph"/>
        <w:numPr>
          <w:ilvl w:val="0"/>
          <w:numId w:val="24"/>
        </w:numPr>
        <w:spacing w:after="0"/>
        <w:rPr>
          <w:rFonts w:ascii="Arial" w:hAnsi="Arial" w:cs="Arial"/>
          <w:sz w:val="18"/>
          <w:szCs w:val="18"/>
        </w:rPr>
      </w:pPr>
      <w:r w:rsidRPr="00A0630D">
        <w:rPr>
          <w:rFonts w:ascii="Arial" w:hAnsi="Arial" w:cs="Arial"/>
          <w:sz w:val="18"/>
          <w:szCs w:val="18"/>
        </w:rPr>
        <w:t xml:space="preserve">Cabral, C. Ingram, J. Redmond, N. Horwood, J. Blair, P. </w:t>
      </w:r>
      <w:proofErr w:type="spellStart"/>
      <w:r w:rsidRPr="00A0630D">
        <w:rPr>
          <w:rFonts w:ascii="Arial" w:hAnsi="Arial" w:cs="Arial"/>
          <w:sz w:val="18"/>
          <w:szCs w:val="18"/>
        </w:rPr>
        <w:t>Hollinghurst</w:t>
      </w:r>
      <w:proofErr w:type="spellEnd"/>
      <w:r w:rsidRPr="00A0630D">
        <w:rPr>
          <w:rFonts w:ascii="Arial" w:hAnsi="Arial" w:cs="Arial"/>
          <w:sz w:val="18"/>
          <w:szCs w:val="18"/>
        </w:rPr>
        <w:t xml:space="preserve">, S. Hay, A. Lucas P. </w:t>
      </w:r>
    </w:p>
    <w:p w14:paraId="6BD7A001" w14:textId="6DCB0878" w:rsidR="00A0630D" w:rsidRDefault="00A0630D" w:rsidP="00A0630D">
      <w:pPr>
        <w:pStyle w:val="ListParagraph"/>
        <w:spacing w:after="0"/>
        <w:rPr>
          <w:rFonts w:ascii="Arial" w:hAnsi="Arial" w:cs="Arial"/>
          <w:sz w:val="18"/>
          <w:szCs w:val="18"/>
        </w:rPr>
      </w:pPr>
      <w:r w:rsidRPr="00A0630D">
        <w:rPr>
          <w:rFonts w:ascii="Arial" w:hAnsi="Arial" w:cs="Arial"/>
          <w:sz w:val="18"/>
          <w:szCs w:val="18"/>
        </w:rPr>
        <w:t xml:space="preserve">‘Caring for children with coughs: Information and advice for </w:t>
      </w:r>
      <w:proofErr w:type="gramStart"/>
      <w:r w:rsidRPr="00A0630D">
        <w:rPr>
          <w:rFonts w:ascii="Arial" w:hAnsi="Arial" w:cs="Arial"/>
          <w:sz w:val="18"/>
          <w:szCs w:val="18"/>
        </w:rPr>
        <w:t>parents’</w:t>
      </w:r>
      <w:proofErr w:type="gramEnd"/>
      <w:r w:rsidRPr="00A0630D">
        <w:rPr>
          <w:rFonts w:ascii="Arial" w:hAnsi="Arial" w:cs="Arial"/>
          <w:sz w:val="18"/>
          <w:szCs w:val="18"/>
        </w:rPr>
        <w:t>. University of Bristol, Bristol</w:t>
      </w:r>
    </w:p>
    <w:p w14:paraId="2110E4C6" w14:textId="46AC42E3" w:rsidR="003642CE" w:rsidRPr="00A0630D" w:rsidRDefault="003642CE" w:rsidP="00A0630D">
      <w:pPr>
        <w:pStyle w:val="ListParagraph"/>
        <w:spacing w:after="0"/>
        <w:rPr>
          <w:rFonts w:ascii="Arial" w:hAnsi="Arial" w:cs="Arial"/>
          <w:sz w:val="18"/>
          <w:szCs w:val="18"/>
        </w:rPr>
      </w:pPr>
      <w:r>
        <w:rPr>
          <w:rFonts w:ascii="Arial" w:hAnsi="Arial" w:cs="Arial"/>
          <w:sz w:val="18"/>
          <w:szCs w:val="18"/>
        </w:rPr>
        <w:t>Published January 2016</w:t>
      </w:r>
    </w:p>
    <w:p w14:paraId="4373C87F" w14:textId="06D2B8DE" w:rsidR="00A0630D" w:rsidRDefault="00593B60" w:rsidP="00A0630D">
      <w:pPr>
        <w:pStyle w:val="ListParagraph"/>
        <w:spacing w:after="0"/>
        <w:rPr>
          <w:rFonts w:ascii="Arial" w:hAnsi="Arial" w:cs="Arial"/>
          <w:sz w:val="18"/>
          <w:szCs w:val="18"/>
        </w:rPr>
      </w:pPr>
      <w:hyperlink r:id="rId45" w:history="1">
        <w:r w:rsidR="00A0630D" w:rsidRPr="00CB2679">
          <w:rPr>
            <w:rStyle w:val="Hyperlink"/>
            <w:rFonts w:ascii="Arial" w:hAnsi="Arial" w:cs="Arial"/>
            <w:sz w:val="18"/>
            <w:szCs w:val="18"/>
          </w:rPr>
          <w:t>https://child-cough.bristol.ac.uk/</w:t>
        </w:r>
      </w:hyperlink>
      <w:r w:rsidR="00A0630D">
        <w:rPr>
          <w:rFonts w:ascii="Arial" w:hAnsi="Arial" w:cs="Arial"/>
          <w:sz w:val="18"/>
          <w:szCs w:val="18"/>
        </w:rPr>
        <w:t xml:space="preserve"> </w:t>
      </w:r>
    </w:p>
    <w:p w14:paraId="5BF1570F" w14:textId="77777777" w:rsidR="007B785A" w:rsidRPr="007B785A" w:rsidRDefault="007B785A" w:rsidP="007B785A">
      <w:pPr>
        <w:spacing w:after="0"/>
        <w:rPr>
          <w:rFonts w:ascii="Arial" w:hAnsi="Arial" w:cs="Arial"/>
          <w:sz w:val="18"/>
          <w:szCs w:val="18"/>
        </w:rPr>
      </w:pPr>
    </w:p>
    <w:p w14:paraId="7FDF509B" w14:textId="2A3F5A99" w:rsidR="007B785A" w:rsidRDefault="003642CE" w:rsidP="007B785A">
      <w:pPr>
        <w:pStyle w:val="ListParagraph"/>
        <w:numPr>
          <w:ilvl w:val="0"/>
          <w:numId w:val="24"/>
        </w:numPr>
        <w:spacing w:after="0"/>
        <w:rPr>
          <w:rFonts w:ascii="Arial" w:hAnsi="Arial" w:cs="Arial"/>
          <w:sz w:val="18"/>
          <w:szCs w:val="18"/>
        </w:rPr>
      </w:pPr>
      <w:r>
        <w:rPr>
          <w:rFonts w:ascii="Arial" w:hAnsi="Arial" w:cs="Arial"/>
          <w:sz w:val="18"/>
          <w:szCs w:val="18"/>
        </w:rPr>
        <w:t>Public Health England</w:t>
      </w:r>
    </w:p>
    <w:p w14:paraId="5B836F14" w14:textId="1B42ACCB" w:rsidR="003642CE" w:rsidRDefault="003642CE" w:rsidP="00A843E5">
      <w:pPr>
        <w:pStyle w:val="ListParagraph"/>
        <w:spacing w:after="0"/>
        <w:rPr>
          <w:rFonts w:ascii="Arial" w:hAnsi="Arial" w:cs="Arial"/>
          <w:sz w:val="18"/>
          <w:szCs w:val="18"/>
        </w:rPr>
      </w:pPr>
      <w:r>
        <w:rPr>
          <w:rFonts w:ascii="Arial" w:hAnsi="Arial" w:cs="Arial"/>
          <w:sz w:val="18"/>
          <w:szCs w:val="18"/>
        </w:rPr>
        <w:t>e-Bug</w:t>
      </w:r>
      <w:r w:rsidR="00A843E5">
        <w:rPr>
          <w:rFonts w:ascii="Arial" w:hAnsi="Arial" w:cs="Arial"/>
          <w:sz w:val="18"/>
          <w:szCs w:val="18"/>
        </w:rPr>
        <w:t>:</w:t>
      </w:r>
      <w:r w:rsidRPr="003642CE">
        <w:rPr>
          <w:rFonts w:ascii="Arial" w:hAnsi="Arial" w:cs="Arial"/>
          <w:sz w:val="18"/>
          <w:szCs w:val="18"/>
        </w:rPr>
        <w:t xml:space="preserve"> a free educational resource, operated by Public Health England, which contributes to the government’s ongoing action plan to tackle antimicrobial resistance.</w:t>
      </w:r>
    </w:p>
    <w:p w14:paraId="629C0257" w14:textId="5A0F3895" w:rsidR="003642CE" w:rsidRDefault="00593B60" w:rsidP="003642CE">
      <w:pPr>
        <w:pStyle w:val="ListParagraph"/>
        <w:spacing w:after="0"/>
        <w:rPr>
          <w:rFonts w:ascii="Arial" w:hAnsi="Arial" w:cs="Arial"/>
          <w:sz w:val="18"/>
          <w:szCs w:val="18"/>
        </w:rPr>
      </w:pPr>
      <w:hyperlink r:id="rId46" w:history="1">
        <w:r w:rsidR="003642CE" w:rsidRPr="00CB2679">
          <w:rPr>
            <w:rStyle w:val="Hyperlink"/>
            <w:rFonts w:ascii="Arial" w:hAnsi="Arial" w:cs="Arial"/>
            <w:sz w:val="18"/>
            <w:szCs w:val="18"/>
          </w:rPr>
          <w:t>https://www.e-bug.eu/index.php?name=UK-global-teacher-homepage</w:t>
        </w:r>
      </w:hyperlink>
      <w:r w:rsidR="003642CE">
        <w:rPr>
          <w:rFonts w:ascii="Arial" w:hAnsi="Arial" w:cs="Arial"/>
          <w:sz w:val="18"/>
          <w:szCs w:val="18"/>
        </w:rPr>
        <w:t xml:space="preserve"> </w:t>
      </w:r>
    </w:p>
    <w:p w14:paraId="024E204A" w14:textId="77777777" w:rsidR="00A843E5" w:rsidRPr="00A843E5" w:rsidRDefault="00A843E5" w:rsidP="00A843E5">
      <w:pPr>
        <w:spacing w:after="0"/>
        <w:rPr>
          <w:rFonts w:ascii="Arial" w:hAnsi="Arial" w:cs="Arial"/>
          <w:sz w:val="18"/>
          <w:szCs w:val="18"/>
        </w:rPr>
      </w:pPr>
    </w:p>
    <w:p w14:paraId="53EAB074" w14:textId="68222E11" w:rsidR="007B785A" w:rsidRDefault="003642CE" w:rsidP="007B785A">
      <w:pPr>
        <w:pStyle w:val="ListParagraph"/>
        <w:numPr>
          <w:ilvl w:val="0"/>
          <w:numId w:val="24"/>
        </w:numPr>
        <w:spacing w:after="0"/>
        <w:rPr>
          <w:rFonts w:ascii="Arial" w:hAnsi="Arial" w:cs="Arial"/>
          <w:sz w:val="18"/>
          <w:szCs w:val="18"/>
        </w:rPr>
      </w:pPr>
      <w:r>
        <w:rPr>
          <w:rFonts w:ascii="Arial" w:hAnsi="Arial" w:cs="Arial"/>
          <w:sz w:val="18"/>
          <w:szCs w:val="18"/>
        </w:rPr>
        <w:t xml:space="preserve">British Society for Antimicrobial </w:t>
      </w:r>
      <w:proofErr w:type="spellStart"/>
      <w:r>
        <w:rPr>
          <w:rFonts w:ascii="Arial" w:hAnsi="Arial" w:cs="Arial"/>
          <w:sz w:val="18"/>
          <w:szCs w:val="18"/>
        </w:rPr>
        <w:t>Chaemotherapy</w:t>
      </w:r>
      <w:proofErr w:type="spellEnd"/>
    </w:p>
    <w:p w14:paraId="1753621D" w14:textId="330BE1D2" w:rsidR="003642CE" w:rsidRDefault="003642CE" w:rsidP="003642CE">
      <w:pPr>
        <w:pStyle w:val="ListParagraph"/>
        <w:spacing w:after="0"/>
        <w:rPr>
          <w:rFonts w:ascii="Arial" w:hAnsi="Arial" w:cs="Arial"/>
          <w:sz w:val="18"/>
          <w:szCs w:val="18"/>
        </w:rPr>
      </w:pPr>
      <w:r w:rsidRPr="003642CE">
        <w:rPr>
          <w:rFonts w:ascii="Arial" w:hAnsi="Arial" w:cs="Arial"/>
          <w:sz w:val="18"/>
          <w:szCs w:val="18"/>
        </w:rPr>
        <w:t>Paediatric antimicrobial stewardship | common paediatric infection management | paediatric ambulation | education | guidelines | training</w:t>
      </w:r>
    </w:p>
    <w:p w14:paraId="39700DA6" w14:textId="4157BA13" w:rsidR="003616E7" w:rsidRPr="00A843E5" w:rsidRDefault="00593B60" w:rsidP="00A843E5">
      <w:pPr>
        <w:pStyle w:val="ListParagraph"/>
        <w:spacing w:after="0"/>
        <w:rPr>
          <w:rFonts w:ascii="Arial" w:hAnsi="Arial" w:cs="Arial"/>
          <w:sz w:val="18"/>
          <w:szCs w:val="18"/>
        </w:rPr>
      </w:pPr>
      <w:hyperlink r:id="rId47" w:history="1">
        <w:r w:rsidR="003642CE" w:rsidRPr="00CB2679">
          <w:rPr>
            <w:rStyle w:val="Hyperlink"/>
            <w:rFonts w:ascii="Arial" w:hAnsi="Arial" w:cs="Arial"/>
            <w:sz w:val="18"/>
            <w:szCs w:val="18"/>
          </w:rPr>
          <w:t>https://bsac.org.uk/paediatrics/</w:t>
        </w:r>
      </w:hyperlink>
      <w:r w:rsidR="003642CE">
        <w:rPr>
          <w:rFonts w:ascii="Arial" w:hAnsi="Arial" w:cs="Arial"/>
          <w:sz w:val="18"/>
          <w:szCs w:val="18"/>
        </w:rPr>
        <w:t xml:space="preserve"> </w:t>
      </w:r>
    </w:p>
    <w:p w14:paraId="721C8E5A" w14:textId="7DA7FC7E" w:rsidR="00D273D4" w:rsidRPr="007B785A" w:rsidRDefault="00D273D4" w:rsidP="007B785A">
      <w:pPr>
        <w:spacing w:after="0" w:line="240" w:lineRule="auto"/>
        <w:rPr>
          <w:rFonts w:ascii="Arial" w:eastAsia="Times New Roman" w:hAnsi="Arial"/>
          <w:b/>
          <w:bCs/>
          <w:sz w:val="24"/>
          <w:szCs w:val="28"/>
        </w:rPr>
      </w:pPr>
    </w:p>
    <w:p w14:paraId="4C8DFAD8" w14:textId="77777777" w:rsidR="00C93395" w:rsidRPr="008A6C13" w:rsidRDefault="00416955" w:rsidP="003D4D90">
      <w:pPr>
        <w:pStyle w:val="Heading1"/>
        <w:spacing w:before="120"/>
      </w:pPr>
      <w:bookmarkStart w:id="84" w:name="Appendix1"/>
      <w:bookmarkStart w:id="85" w:name="_Toc473297140"/>
      <w:bookmarkStart w:id="86" w:name="_Toc473635673"/>
      <w:bookmarkStart w:id="87" w:name="_Toc473636495"/>
      <w:bookmarkStart w:id="88" w:name="_Toc474398594"/>
      <w:bookmarkStart w:id="89" w:name="_Toc82592088"/>
      <w:bookmarkStart w:id="90" w:name="_Toc475027493"/>
      <w:r w:rsidRPr="008A6C13">
        <w:t xml:space="preserve">Appendix 1: </w:t>
      </w:r>
      <w:bookmarkStart w:id="91" w:name="_Toc473636496"/>
      <w:bookmarkStart w:id="92" w:name="_Toc473636927"/>
      <w:bookmarkStart w:id="93" w:name="_Toc474398595"/>
      <w:bookmarkEnd w:id="84"/>
      <w:bookmarkEnd w:id="85"/>
      <w:bookmarkEnd w:id="86"/>
      <w:bookmarkEnd w:id="87"/>
      <w:bookmarkEnd w:id="88"/>
      <w:r w:rsidR="00B33573">
        <w:t>Antimicrobial Stewardship Children’s Dashboard</w:t>
      </w:r>
      <w:bookmarkEnd w:id="89"/>
    </w:p>
    <w:p w14:paraId="7DDD1CE3" w14:textId="77777777" w:rsidR="00865C9F" w:rsidRPr="000E6093" w:rsidRDefault="00416955" w:rsidP="00C93395">
      <w:pPr>
        <w:pStyle w:val="Heading2"/>
        <w:rPr>
          <w:sz w:val="22"/>
          <w:szCs w:val="22"/>
        </w:rPr>
      </w:pPr>
      <w:bookmarkStart w:id="94" w:name="_Toc82592089"/>
      <w:r w:rsidRPr="000E6093">
        <w:rPr>
          <w:rStyle w:val="Heading2Char"/>
          <w:b/>
          <w:sz w:val="22"/>
          <w:szCs w:val="22"/>
        </w:rPr>
        <w:t>W</w:t>
      </w:r>
      <w:r w:rsidR="00B7655B" w:rsidRPr="000E6093">
        <w:rPr>
          <w:rStyle w:val="Heading2Char"/>
          <w:b/>
          <w:sz w:val="22"/>
          <w:szCs w:val="22"/>
        </w:rPr>
        <w:t>orking group</w:t>
      </w:r>
      <w:bookmarkEnd w:id="91"/>
      <w:bookmarkEnd w:id="92"/>
      <w:bookmarkEnd w:id="93"/>
      <w:r w:rsidR="00E300D0" w:rsidRPr="000E6093">
        <w:rPr>
          <w:sz w:val="22"/>
          <w:szCs w:val="22"/>
        </w:rPr>
        <w:t>:</w:t>
      </w:r>
      <w:bookmarkEnd w:id="90"/>
      <w:bookmarkEnd w:id="94"/>
    </w:p>
    <w:tbl>
      <w:tblPr>
        <w:tblW w:w="10773" w:type="dxa"/>
        <w:tblInd w:w="-465" w:type="dxa"/>
        <w:tblCellMar>
          <w:left w:w="0" w:type="dxa"/>
          <w:right w:w="0" w:type="dxa"/>
        </w:tblCellMar>
        <w:tblLook w:val="04A0" w:firstRow="1" w:lastRow="0" w:firstColumn="1" w:lastColumn="0" w:noHBand="0" w:noVBand="1"/>
      </w:tblPr>
      <w:tblGrid>
        <w:gridCol w:w="2552"/>
        <w:gridCol w:w="8221"/>
      </w:tblGrid>
      <w:tr w:rsidR="00865C9F" w:rsidRPr="000E6093" w14:paraId="609C992B" w14:textId="77777777" w:rsidTr="00CE1436">
        <w:trPr>
          <w:trHeight w:val="485"/>
        </w:trPr>
        <w:tc>
          <w:tcPr>
            <w:tcW w:w="2552"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2" w:type="dxa"/>
              <w:bottom w:w="0" w:type="dxa"/>
              <w:right w:w="102" w:type="dxa"/>
            </w:tcMar>
            <w:hideMark/>
          </w:tcPr>
          <w:p w14:paraId="26AA2A4D" w14:textId="77777777" w:rsidR="00865C9F" w:rsidRPr="000E6093" w:rsidRDefault="00865C9F" w:rsidP="00865C9F">
            <w:pPr>
              <w:spacing w:after="0"/>
              <w:rPr>
                <w:rFonts w:ascii="Arial" w:eastAsia="Times New Roman" w:hAnsi="Arial" w:cs="Arial"/>
                <w:color w:val="000000"/>
                <w:lang w:eastAsia="en-GB"/>
              </w:rPr>
            </w:pPr>
            <w:r w:rsidRPr="000E6093">
              <w:rPr>
                <w:rFonts w:ascii="Arial" w:eastAsia="Times New Roman" w:hAnsi="Arial" w:cs="Arial"/>
                <w:b/>
                <w:bCs/>
                <w:color w:val="000000"/>
                <w:kern w:val="24"/>
                <w:lang w:val="en-US" w:eastAsia="en-GB"/>
              </w:rPr>
              <w:t>Name</w:t>
            </w:r>
          </w:p>
        </w:tc>
        <w:tc>
          <w:tcPr>
            <w:tcW w:w="822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2" w:type="dxa"/>
              <w:bottom w:w="0" w:type="dxa"/>
              <w:right w:w="102" w:type="dxa"/>
            </w:tcMar>
            <w:hideMark/>
          </w:tcPr>
          <w:p w14:paraId="69258CEF" w14:textId="77777777" w:rsidR="00865C9F" w:rsidRPr="000E6093" w:rsidRDefault="00865C9F" w:rsidP="00865C9F">
            <w:pPr>
              <w:spacing w:after="0"/>
              <w:rPr>
                <w:rFonts w:ascii="Arial" w:eastAsia="Times New Roman" w:hAnsi="Arial" w:cs="Arial"/>
                <w:color w:val="000000"/>
                <w:lang w:eastAsia="en-GB"/>
              </w:rPr>
            </w:pPr>
            <w:r w:rsidRPr="000E6093">
              <w:rPr>
                <w:rFonts w:ascii="Arial" w:eastAsia="Times New Roman" w:hAnsi="Arial" w:cs="Arial"/>
                <w:b/>
                <w:bCs/>
                <w:color w:val="000000"/>
                <w:kern w:val="24"/>
                <w:lang w:val="en-US" w:eastAsia="en-GB"/>
              </w:rPr>
              <w:t>Role/</w:t>
            </w:r>
            <w:proofErr w:type="spellStart"/>
            <w:r w:rsidRPr="000E6093">
              <w:rPr>
                <w:rFonts w:ascii="Arial" w:eastAsia="Times New Roman" w:hAnsi="Arial" w:cs="Arial"/>
                <w:b/>
                <w:bCs/>
                <w:color w:val="000000"/>
                <w:kern w:val="24"/>
                <w:lang w:val="en-US" w:eastAsia="en-GB"/>
              </w:rPr>
              <w:t>Organisation</w:t>
            </w:r>
            <w:proofErr w:type="spellEnd"/>
          </w:p>
        </w:tc>
      </w:tr>
      <w:tr w:rsidR="00865C9F" w:rsidRPr="000E6093" w14:paraId="27300F01" w14:textId="77777777" w:rsidTr="00CE1436">
        <w:trPr>
          <w:trHeight w:val="445"/>
        </w:trPr>
        <w:tc>
          <w:tcPr>
            <w:tcW w:w="2552"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2" w:type="dxa"/>
              <w:bottom w:w="0" w:type="dxa"/>
              <w:right w:w="102" w:type="dxa"/>
            </w:tcMar>
          </w:tcPr>
          <w:p w14:paraId="72ACF97C" w14:textId="77777777" w:rsidR="00865C9F" w:rsidRPr="000E6093" w:rsidRDefault="00CE1436" w:rsidP="00865C9F">
            <w:pPr>
              <w:spacing w:after="0"/>
              <w:rPr>
                <w:rFonts w:ascii="Arial" w:eastAsia="Times New Roman" w:hAnsi="Arial" w:cs="Arial"/>
                <w:color w:val="000000"/>
                <w:lang w:eastAsia="en-GB"/>
              </w:rPr>
            </w:pPr>
            <w:r w:rsidRPr="000E6093">
              <w:rPr>
                <w:rFonts w:ascii="Arial" w:eastAsia="Times New Roman" w:hAnsi="Arial" w:cs="Arial"/>
                <w:color w:val="000000"/>
                <w:lang w:eastAsia="en-GB"/>
              </w:rPr>
              <w:t>Elizabeth Beech MBE</w:t>
            </w:r>
          </w:p>
        </w:tc>
        <w:tc>
          <w:tcPr>
            <w:tcW w:w="822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2" w:type="dxa"/>
              <w:bottom w:w="0" w:type="dxa"/>
              <w:right w:w="102" w:type="dxa"/>
            </w:tcMar>
          </w:tcPr>
          <w:p w14:paraId="70EBF557" w14:textId="77777777" w:rsidR="00865C9F" w:rsidRPr="000E6093" w:rsidRDefault="00CE1436" w:rsidP="00CE1436">
            <w:pPr>
              <w:spacing w:after="0"/>
              <w:rPr>
                <w:rFonts w:ascii="Arial" w:eastAsia="Times New Roman" w:hAnsi="Arial" w:cs="Arial"/>
                <w:lang w:eastAsia="en-GB"/>
              </w:rPr>
            </w:pPr>
            <w:r w:rsidRPr="000E6093">
              <w:rPr>
                <w:rFonts w:ascii="Arial" w:eastAsia="Times New Roman" w:hAnsi="Arial" w:cs="Arial"/>
                <w:lang w:eastAsia="en-GB"/>
              </w:rPr>
              <w:t xml:space="preserve">Regional Antimicrobial Stewardship Lead </w:t>
            </w:r>
            <w:proofErr w:type="gramStart"/>
            <w:r w:rsidRPr="000E6093">
              <w:rPr>
                <w:rFonts w:ascii="Arial" w:eastAsia="Times New Roman" w:hAnsi="Arial" w:cs="Arial"/>
                <w:lang w:eastAsia="en-GB"/>
              </w:rPr>
              <w:t>South West</w:t>
            </w:r>
            <w:proofErr w:type="gramEnd"/>
            <w:r w:rsidRPr="000E6093">
              <w:rPr>
                <w:rFonts w:ascii="Arial" w:eastAsia="Times New Roman" w:hAnsi="Arial" w:cs="Arial"/>
                <w:lang w:eastAsia="en-GB"/>
              </w:rPr>
              <w:t xml:space="preserve"> Region, NHS England and NHS Improvement</w:t>
            </w:r>
          </w:p>
        </w:tc>
      </w:tr>
      <w:tr w:rsidR="005F6934" w:rsidRPr="000E6093" w14:paraId="66241F09" w14:textId="77777777" w:rsidTr="00CE1436">
        <w:trPr>
          <w:trHeight w:val="445"/>
        </w:trPr>
        <w:tc>
          <w:tcPr>
            <w:tcW w:w="255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2" w:type="dxa"/>
              <w:bottom w:w="0" w:type="dxa"/>
              <w:right w:w="102" w:type="dxa"/>
            </w:tcMar>
          </w:tcPr>
          <w:p w14:paraId="79BC71B3" w14:textId="77777777" w:rsidR="005F6934" w:rsidRPr="000E6093" w:rsidRDefault="005F6934" w:rsidP="005F6934">
            <w:pPr>
              <w:spacing w:after="0"/>
              <w:rPr>
                <w:rFonts w:ascii="Arial" w:eastAsia="Times New Roman" w:hAnsi="Arial" w:cs="Arial"/>
                <w:color w:val="000000"/>
                <w:lang w:eastAsia="en-GB"/>
              </w:rPr>
            </w:pPr>
            <w:r w:rsidRPr="000E6093">
              <w:rPr>
                <w:rFonts w:ascii="Arial" w:eastAsia="Times New Roman" w:hAnsi="Arial" w:cs="Arial"/>
                <w:color w:val="000000"/>
                <w:lang w:eastAsia="en-GB"/>
              </w:rPr>
              <w:t>Margaret Dockey</w:t>
            </w:r>
          </w:p>
        </w:tc>
        <w:tc>
          <w:tcPr>
            <w:tcW w:w="8221" w:type="dxa"/>
            <w:tcBorders>
              <w:top w:val="single" w:sz="8" w:space="0" w:color="FFFFFF"/>
              <w:left w:val="single" w:sz="8" w:space="0" w:color="FFFFFF"/>
              <w:bottom w:val="single" w:sz="8" w:space="0" w:color="FFFFFF"/>
              <w:right w:val="single" w:sz="8" w:space="0" w:color="FFFFFF"/>
            </w:tcBorders>
            <w:shd w:val="clear" w:color="auto" w:fill="DBE5F1"/>
            <w:tcMar>
              <w:top w:w="15" w:type="dxa"/>
              <w:left w:w="102" w:type="dxa"/>
              <w:bottom w:w="0" w:type="dxa"/>
              <w:right w:w="102" w:type="dxa"/>
            </w:tcMar>
          </w:tcPr>
          <w:p w14:paraId="4D62E626" w14:textId="77777777" w:rsidR="005F6934" w:rsidRPr="000E6093" w:rsidRDefault="005F6934" w:rsidP="005F6934">
            <w:pPr>
              <w:spacing w:after="0"/>
              <w:rPr>
                <w:rFonts w:ascii="Arial" w:eastAsia="Times New Roman" w:hAnsi="Arial" w:cs="Arial"/>
                <w:lang w:eastAsia="en-GB"/>
              </w:rPr>
            </w:pPr>
            <w:r w:rsidRPr="000E6093">
              <w:rPr>
                <w:rFonts w:ascii="Arial" w:eastAsia="Times New Roman" w:hAnsi="Arial" w:cs="Arial"/>
                <w:lang w:eastAsia="en-GB"/>
              </w:rPr>
              <w:t xml:space="preserve">Prescription Information Services Manager, </w:t>
            </w:r>
            <w:r w:rsidRPr="000E6093">
              <w:rPr>
                <w:rFonts w:ascii="Arial" w:eastAsia="Times New Roman" w:hAnsi="Arial" w:cs="Arial"/>
                <w:color w:val="000000"/>
                <w:kern w:val="24"/>
                <w:lang w:val="en-US" w:eastAsia="en-GB"/>
              </w:rPr>
              <w:t>NHS Business Service Authority</w:t>
            </w:r>
          </w:p>
        </w:tc>
      </w:tr>
      <w:tr w:rsidR="005F6934" w:rsidRPr="000E6093" w14:paraId="5560326C" w14:textId="77777777" w:rsidTr="00CE1436">
        <w:trPr>
          <w:trHeight w:val="445"/>
        </w:trPr>
        <w:tc>
          <w:tcPr>
            <w:tcW w:w="255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2" w:type="dxa"/>
              <w:bottom w:w="0" w:type="dxa"/>
              <w:right w:w="102" w:type="dxa"/>
            </w:tcMar>
          </w:tcPr>
          <w:p w14:paraId="12C7974E" w14:textId="77777777" w:rsidR="005F6934" w:rsidRPr="000E6093" w:rsidRDefault="005F6934" w:rsidP="005F6934">
            <w:pPr>
              <w:spacing w:after="0"/>
              <w:rPr>
                <w:rFonts w:ascii="Arial" w:eastAsia="Times New Roman" w:hAnsi="Arial" w:cs="Arial"/>
                <w:color w:val="000000"/>
                <w:lang w:eastAsia="en-GB"/>
              </w:rPr>
            </w:pPr>
            <w:r w:rsidRPr="000E6093">
              <w:rPr>
                <w:rFonts w:ascii="Arial" w:eastAsia="Times New Roman" w:hAnsi="Arial" w:cs="Arial"/>
                <w:color w:val="000000"/>
                <w:lang w:eastAsia="en-GB"/>
              </w:rPr>
              <w:t>Simon Hartnett-Welch</w:t>
            </w:r>
          </w:p>
        </w:tc>
        <w:tc>
          <w:tcPr>
            <w:tcW w:w="822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2" w:type="dxa"/>
              <w:bottom w:w="0" w:type="dxa"/>
              <w:right w:w="102" w:type="dxa"/>
            </w:tcMar>
          </w:tcPr>
          <w:p w14:paraId="0E04488E" w14:textId="77777777" w:rsidR="005F6934" w:rsidRPr="000E6093" w:rsidRDefault="005F6934" w:rsidP="005F6934">
            <w:pPr>
              <w:spacing w:after="0"/>
              <w:rPr>
                <w:rFonts w:ascii="Arial" w:eastAsia="Times New Roman" w:hAnsi="Arial" w:cs="Arial"/>
                <w:lang w:eastAsia="en-GB"/>
              </w:rPr>
            </w:pPr>
            <w:r w:rsidRPr="000E6093">
              <w:rPr>
                <w:rFonts w:ascii="Arial" w:eastAsia="Times New Roman" w:hAnsi="Arial" w:cs="Arial"/>
                <w:color w:val="000000"/>
                <w:kern w:val="24"/>
                <w:lang w:val="en-US" w:eastAsia="en-GB"/>
              </w:rPr>
              <w:t>Senior Information Analyst, NHS Business Service Authority</w:t>
            </w:r>
          </w:p>
        </w:tc>
      </w:tr>
      <w:tr w:rsidR="005F6934" w:rsidRPr="000E6093" w14:paraId="66BEA47A" w14:textId="77777777" w:rsidTr="00CE1436">
        <w:trPr>
          <w:trHeight w:val="445"/>
        </w:trPr>
        <w:tc>
          <w:tcPr>
            <w:tcW w:w="255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2" w:type="dxa"/>
              <w:bottom w:w="0" w:type="dxa"/>
              <w:right w:w="102" w:type="dxa"/>
            </w:tcMar>
          </w:tcPr>
          <w:p w14:paraId="667B33F8" w14:textId="77777777" w:rsidR="005F6934" w:rsidRPr="000E6093" w:rsidRDefault="005F6934" w:rsidP="005F6934">
            <w:pPr>
              <w:spacing w:after="0"/>
              <w:rPr>
                <w:rFonts w:ascii="Arial" w:eastAsia="Times New Roman" w:hAnsi="Arial" w:cs="Arial"/>
                <w:color w:val="000000"/>
                <w:lang w:eastAsia="en-GB"/>
              </w:rPr>
            </w:pPr>
            <w:r w:rsidRPr="000E6093">
              <w:rPr>
                <w:rFonts w:ascii="Arial" w:eastAsia="Times New Roman" w:hAnsi="Arial" w:cs="Arial"/>
                <w:color w:val="000000"/>
                <w:lang w:eastAsia="en-GB"/>
              </w:rPr>
              <w:t>Nicholas O’Mahoney</w:t>
            </w:r>
          </w:p>
        </w:tc>
        <w:tc>
          <w:tcPr>
            <w:tcW w:w="8221" w:type="dxa"/>
            <w:tcBorders>
              <w:top w:val="single" w:sz="8" w:space="0" w:color="FFFFFF"/>
              <w:left w:val="single" w:sz="8" w:space="0" w:color="FFFFFF"/>
              <w:bottom w:val="single" w:sz="8" w:space="0" w:color="FFFFFF"/>
              <w:right w:val="single" w:sz="8" w:space="0" w:color="FFFFFF"/>
            </w:tcBorders>
            <w:shd w:val="clear" w:color="auto" w:fill="DBE5F1"/>
            <w:tcMar>
              <w:top w:w="15" w:type="dxa"/>
              <w:left w:w="102" w:type="dxa"/>
              <w:bottom w:w="0" w:type="dxa"/>
              <w:right w:w="102" w:type="dxa"/>
            </w:tcMar>
          </w:tcPr>
          <w:p w14:paraId="1F85B006" w14:textId="77777777" w:rsidR="005F6934" w:rsidRPr="000E6093" w:rsidRDefault="005F6934" w:rsidP="005F6934">
            <w:pPr>
              <w:spacing w:after="0"/>
              <w:rPr>
                <w:rFonts w:ascii="Arial" w:eastAsia="Times New Roman" w:hAnsi="Arial" w:cs="Arial"/>
                <w:lang w:eastAsia="en-GB"/>
              </w:rPr>
            </w:pPr>
            <w:r w:rsidRPr="000E6093">
              <w:rPr>
                <w:rFonts w:ascii="Arial" w:eastAsia="Times New Roman" w:hAnsi="Arial" w:cs="Arial"/>
                <w:lang w:eastAsia="en-GB"/>
              </w:rPr>
              <w:t>BI Developer, NHS Business Services Authority</w:t>
            </w:r>
          </w:p>
        </w:tc>
      </w:tr>
      <w:tr w:rsidR="00036C70" w:rsidRPr="000E6093" w14:paraId="755C974A" w14:textId="77777777" w:rsidTr="00CE1436">
        <w:trPr>
          <w:trHeight w:val="445"/>
        </w:trPr>
        <w:tc>
          <w:tcPr>
            <w:tcW w:w="2552"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2" w:type="dxa"/>
              <w:bottom w:w="0" w:type="dxa"/>
              <w:right w:w="102" w:type="dxa"/>
            </w:tcMar>
          </w:tcPr>
          <w:p w14:paraId="5CA8E072" w14:textId="02FB8F82" w:rsidR="00036C70" w:rsidRPr="000E6093" w:rsidRDefault="00A843E5" w:rsidP="005F6934">
            <w:pPr>
              <w:spacing w:after="0"/>
              <w:rPr>
                <w:rFonts w:ascii="Arial" w:eastAsia="Times New Roman" w:hAnsi="Arial" w:cs="Arial"/>
                <w:color w:val="000000"/>
                <w:lang w:eastAsia="en-GB"/>
              </w:rPr>
            </w:pPr>
            <w:r>
              <w:rPr>
                <w:rFonts w:ascii="Arial" w:eastAsia="Times New Roman" w:hAnsi="Arial" w:cs="Arial"/>
                <w:color w:val="000000"/>
                <w:lang w:eastAsia="en-GB"/>
              </w:rPr>
              <w:t>Testing Group</w:t>
            </w:r>
          </w:p>
        </w:tc>
        <w:tc>
          <w:tcPr>
            <w:tcW w:w="8221" w:type="dxa"/>
            <w:tcBorders>
              <w:top w:val="single" w:sz="8" w:space="0" w:color="FFFFFF"/>
              <w:left w:val="single" w:sz="8" w:space="0" w:color="FFFFFF"/>
              <w:bottom w:val="single" w:sz="8" w:space="0" w:color="FFFFFF"/>
              <w:right w:val="single" w:sz="8" w:space="0" w:color="FFFFFF"/>
            </w:tcBorders>
            <w:shd w:val="clear" w:color="auto" w:fill="DBE5F1"/>
            <w:tcMar>
              <w:top w:w="15" w:type="dxa"/>
              <w:left w:w="102" w:type="dxa"/>
              <w:bottom w:w="0" w:type="dxa"/>
              <w:right w:w="102" w:type="dxa"/>
            </w:tcMar>
          </w:tcPr>
          <w:p w14:paraId="55B7559F" w14:textId="769C3184" w:rsidR="00036C70" w:rsidRPr="000E6093" w:rsidRDefault="00A843E5" w:rsidP="005F6934">
            <w:pPr>
              <w:spacing w:after="0"/>
              <w:rPr>
                <w:rFonts w:ascii="Arial" w:eastAsia="Times New Roman" w:hAnsi="Arial" w:cs="Arial"/>
                <w:lang w:eastAsia="en-GB"/>
              </w:rPr>
            </w:pPr>
            <w:r>
              <w:rPr>
                <w:rFonts w:ascii="Arial" w:eastAsia="Times New Roman" w:hAnsi="Arial" w:cs="Arial"/>
                <w:lang w:eastAsia="en-GB"/>
              </w:rPr>
              <w:t>Tested by multiple users from national NHS organisations and across the seven NHS regions</w:t>
            </w:r>
          </w:p>
        </w:tc>
      </w:tr>
    </w:tbl>
    <w:p w14:paraId="7C24EC9D" w14:textId="77777777" w:rsidR="00036C70" w:rsidRPr="00036C70" w:rsidRDefault="00036C70">
      <w:pPr>
        <w:pStyle w:val="Heading1"/>
        <w:rPr>
          <w:b w:val="0"/>
          <w:noProof/>
          <w:sz w:val="20"/>
          <w:szCs w:val="20"/>
          <w:lang w:eastAsia="en-GB"/>
        </w:rPr>
      </w:pPr>
    </w:p>
    <w:sectPr w:rsidR="00036C70" w:rsidRPr="00036C70" w:rsidSect="002059A2">
      <w:footerReference w:type="default" r:id="rId48"/>
      <w:headerReference w:type="first" r:id="rId49"/>
      <w:footerReference w:type="first" r:id="rId50"/>
      <w:pgSz w:w="11906" w:h="16838"/>
      <w:pgMar w:top="1077"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1B0C5" w14:textId="77777777" w:rsidR="00593B60" w:rsidRDefault="00593B60" w:rsidP="00672984">
      <w:pPr>
        <w:spacing w:after="0" w:line="240" w:lineRule="auto"/>
      </w:pPr>
      <w:r>
        <w:separator/>
      </w:r>
    </w:p>
  </w:endnote>
  <w:endnote w:type="continuationSeparator" w:id="0">
    <w:p w14:paraId="3C9F6A3B" w14:textId="77777777" w:rsidR="00593B60" w:rsidRDefault="00593B60" w:rsidP="006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B0F2" w14:textId="418BFC30" w:rsidR="00EB75DD" w:rsidRPr="00EB75DD" w:rsidRDefault="002059A2" w:rsidP="00EB75DD">
    <w:pPr>
      <w:rPr>
        <w:rFonts w:ascii="Arial" w:hAnsi="Arial" w:cs="Arial"/>
        <w:sz w:val="20"/>
        <w:szCs w:val="20"/>
      </w:rPr>
    </w:pPr>
    <w:r>
      <w:t xml:space="preserve">V1.0 </w:t>
    </w:r>
    <w:r w:rsidR="00DD6354">
      <w:t>15/09</w:t>
    </w:r>
    <w:r>
      <w:t>/21</w:t>
    </w:r>
    <w:r w:rsidR="00EB75DD">
      <w:tab/>
    </w:r>
    <w:r w:rsidR="00EB75DD">
      <w:tab/>
    </w:r>
    <w:r w:rsidR="00EB75DD">
      <w:tab/>
    </w:r>
    <w:r w:rsidR="00EB75DD">
      <w:tab/>
      <w:t xml:space="preserve">Page </w:t>
    </w:r>
    <w:r w:rsidR="00EB75DD">
      <w:rPr>
        <w:b/>
        <w:bCs/>
        <w:sz w:val="24"/>
        <w:szCs w:val="24"/>
      </w:rPr>
      <w:fldChar w:fldCharType="begin"/>
    </w:r>
    <w:r w:rsidR="00EB75DD">
      <w:rPr>
        <w:b/>
        <w:bCs/>
      </w:rPr>
      <w:instrText xml:space="preserve"> PAGE </w:instrText>
    </w:r>
    <w:r w:rsidR="00EB75DD">
      <w:rPr>
        <w:b/>
        <w:bCs/>
        <w:sz w:val="24"/>
        <w:szCs w:val="24"/>
      </w:rPr>
      <w:fldChar w:fldCharType="separate"/>
    </w:r>
    <w:r w:rsidR="00E46139">
      <w:rPr>
        <w:b/>
        <w:bCs/>
        <w:noProof/>
      </w:rPr>
      <w:t>17</w:t>
    </w:r>
    <w:r w:rsidR="00EB75DD">
      <w:rPr>
        <w:b/>
        <w:bCs/>
        <w:sz w:val="24"/>
        <w:szCs w:val="24"/>
      </w:rPr>
      <w:fldChar w:fldCharType="end"/>
    </w:r>
    <w:r w:rsidR="00EB75DD">
      <w:t xml:space="preserve"> of </w:t>
    </w:r>
    <w:r w:rsidR="00EB75DD">
      <w:rPr>
        <w:b/>
        <w:bCs/>
        <w:sz w:val="24"/>
        <w:szCs w:val="24"/>
      </w:rPr>
      <w:fldChar w:fldCharType="begin"/>
    </w:r>
    <w:r w:rsidR="00EB75DD">
      <w:rPr>
        <w:b/>
        <w:bCs/>
      </w:rPr>
      <w:instrText xml:space="preserve"> NUMPAGES  </w:instrText>
    </w:r>
    <w:r w:rsidR="00EB75DD">
      <w:rPr>
        <w:b/>
        <w:bCs/>
        <w:sz w:val="24"/>
        <w:szCs w:val="24"/>
      </w:rPr>
      <w:fldChar w:fldCharType="separate"/>
    </w:r>
    <w:r w:rsidR="00E46139">
      <w:rPr>
        <w:b/>
        <w:bCs/>
        <w:noProof/>
      </w:rPr>
      <w:t>20</w:t>
    </w:r>
    <w:r w:rsidR="00EB75DD">
      <w:rPr>
        <w:b/>
        <w:bCs/>
        <w:sz w:val="24"/>
        <w:szCs w:val="24"/>
      </w:rPr>
      <w:fldChar w:fldCharType="end"/>
    </w:r>
    <w:r w:rsidR="00EB75DD" w:rsidRPr="00382508">
      <w:rPr>
        <w:rFonts w:ascii="Arial" w:hAnsi="Arial" w:cs="Arial"/>
        <w:sz w:val="20"/>
        <w:szCs w:val="20"/>
      </w:rPr>
      <w:t xml:space="preserve"> </w:t>
    </w:r>
    <w:r w:rsidR="00EB75DD">
      <w:rPr>
        <w:rFonts w:ascii="Arial" w:hAnsi="Arial" w:cs="Arial"/>
        <w:sz w:val="20"/>
        <w:szCs w:val="20"/>
      </w:rPr>
      <w:tab/>
    </w:r>
    <w:r w:rsidR="00EB75DD">
      <w:rPr>
        <w:rFonts w:ascii="Arial" w:hAnsi="Arial" w:cs="Arial"/>
        <w:sz w:val="20"/>
        <w:szCs w:val="20"/>
      </w:rPr>
      <w:tab/>
    </w:r>
    <w:r w:rsidR="00EB75DD">
      <w:rPr>
        <w:rFonts w:ascii="Arial" w:hAnsi="Arial" w:cs="Arial"/>
        <w:sz w:val="20"/>
        <w:szCs w:val="20"/>
      </w:rPr>
      <w:tab/>
    </w:r>
    <w:r w:rsidR="00EB75DD">
      <w:rPr>
        <w:rFonts w:ascii="Arial" w:hAnsi="Arial" w:cs="Arial"/>
        <w:sz w:val="20"/>
        <w:szCs w:val="20"/>
      </w:rPr>
      <w:tab/>
      <w:t>NHSBSA Copyright 20</w:t>
    </w:r>
    <w:r w:rsidR="00EB75DD" w:rsidRPr="00E46139">
      <w:rPr>
        <w:rFonts w:ascii="Arial" w:hAnsi="Arial" w:cs="Arial"/>
        <w:sz w:val="20"/>
        <w:szCs w:val="20"/>
      </w:rPr>
      <w:t>2</w:t>
    </w:r>
    <w:r w:rsidR="00E46139" w:rsidRPr="00E46139">
      <w:rPr>
        <w:bCs/>
        <w:sz w:val="24"/>
        <w:szCs w:val="24"/>
      </w:rPr>
      <w:t>1</w:t>
    </w:r>
    <w:r w:rsidR="00EB75DD">
      <w:rPr>
        <w:b/>
        <w:bCs/>
        <w:sz w:val="24"/>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EB0D4" w14:textId="77777777" w:rsidR="00EB75DD" w:rsidRPr="002059A2" w:rsidRDefault="00E46139" w:rsidP="00EB75DD">
    <w:r>
      <w:t>V1.</w:t>
    </w:r>
    <w:r w:rsidR="002059A2">
      <w:t>0</w:t>
    </w:r>
    <w:r>
      <w:t xml:space="preserve"> </w:t>
    </w:r>
    <w:r w:rsidR="002059A2">
      <w:t xml:space="preserve">27/08/21 </w:t>
    </w:r>
    <w:r w:rsidR="00EB75DD">
      <w:tab/>
    </w:r>
    <w:r w:rsidR="00EB75DD">
      <w:tab/>
    </w:r>
    <w:r w:rsidR="00EB75DD">
      <w:tab/>
    </w:r>
    <w:r w:rsidR="00EB75DD">
      <w:tab/>
      <w:t xml:space="preserve">Page </w:t>
    </w:r>
    <w:r w:rsidR="00EB75DD">
      <w:rPr>
        <w:b/>
        <w:bCs/>
        <w:sz w:val="24"/>
        <w:szCs w:val="24"/>
      </w:rPr>
      <w:fldChar w:fldCharType="begin"/>
    </w:r>
    <w:r w:rsidR="00EB75DD">
      <w:rPr>
        <w:b/>
        <w:bCs/>
      </w:rPr>
      <w:instrText xml:space="preserve"> PAGE </w:instrText>
    </w:r>
    <w:r w:rsidR="00EB75DD">
      <w:rPr>
        <w:b/>
        <w:bCs/>
        <w:sz w:val="24"/>
        <w:szCs w:val="24"/>
      </w:rPr>
      <w:fldChar w:fldCharType="separate"/>
    </w:r>
    <w:r>
      <w:rPr>
        <w:b/>
        <w:bCs/>
        <w:noProof/>
      </w:rPr>
      <w:t>1</w:t>
    </w:r>
    <w:r w:rsidR="00EB75DD">
      <w:rPr>
        <w:b/>
        <w:bCs/>
        <w:sz w:val="24"/>
        <w:szCs w:val="24"/>
      </w:rPr>
      <w:fldChar w:fldCharType="end"/>
    </w:r>
    <w:r w:rsidR="00EB75DD">
      <w:t xml:space="preserve"> of </w:t>
    </w:r>
    <w:r w:rsidR="00EB75DD">
      <w:rPr>
        <w:b/>
        <w:bCs/>
        <w:sz w:val="24"/>
        <w:szCs w:val="24"/>
      </w:rPr>
      <w:fldChar w:fldCharType="begin"/>
    </w:r>
    <w:r w:rsidR="00EB75DD">
      <w:rPr>
        <w:b/>
        <w:bCs/>
      </w:rPr>
      <w:instrText xml:space="preserve"> NUMPAGES  </w:instrText>
    </w:r>
    <w:r w:rsidR="00EB75DD">
      <w:rPr>
        <w:b/>
        <w:bCs/>
        <w:sz w:val="24"/>
        <w:szCs w:val="24"/>
      </w:rPr>
      <w:fldChar w:fldCharType="separate"/>
    </w:r>
    <w:r>
      <w:rPr>
        <w:b/>
        <w:bCs/>
        <w:noProof/>
      </w:rPr>
      <w:t>20</w:t>
    </w:r>
    <w:r w:rsidR="00EB75DD">
      <w:rPr>
        <w:b/>
        <w:bCs/>
        <w:sz w:val="24"/>
        <w:szCs w:val="24"/>
      </w:rPr>
      <w:fldChar w:fldCharType="end"/>
    </w:r>
    <w:r w:rsidR="00EB75DD">
      <w:rPr>
        <w:b/>
        <w:bCs/>
        <w:sz w:val="24"/>
        <w:szCs w:val="24"/>
      </w:rPr>
      <w:t xml:space="preserve"> </w:t>
    </w:r>
    <w:r w:rsidR="00EB75DD">
      <w:rPr>
        <w:b/>
        <w:bCs/>
        <w:sz w:val="24"/>
        <w:szCs w:val="24"/>
      </w:rPr>
      <w:tab/>
    </w:r>
    <w:r w:rsidR="00EB75DD">
      <w:rPr>
        <w:b/>
        <w:bCs/>
        <w:sz w:val="24"/>
        <w:szCs w:val="24"/>
      </w:rPr>
      <w:tab/>
    </w:r>
    <w:r w:rsidR="00EB75DD">
      <w:rPr>
        <w:b/>
        <w:bCs/>
        <w:sz w:val="24"/>
        <w:szCs w:val="24"/>
      </w:rPr>
      <w:tab/>
    </w:r>
    <w:r w:rsidR="00EB75DD">
      <w:rPr>
        <w:b/>
        <w:bCs/>
        <w:sz w:val="24"/>
        <w:szCs w:val="24"/>
      </w:rPr>
      <w:tab/>
    </w:r>
    <w:r w:rsidR="00EB75DD">
      <w:rPr>
        <w:rFonts w:ascii="Arial" w:hAnsi="Arial" w:cs="Arial"/>
        <w:sz w:val="20"/>
        <w:szCs w:val="20"/>
      </w:rPr>
      <w:t>NHSBSA Copyright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5FF0" w14:textId="77777777" w:rsidR="00593B60" w:rsidRDefault="00593B60" w:rsidP="00672984">
      <w:pPr>
        <w:spacing w:after="0" w:line="240" w:lineRule="auto"/>
      </w:pPr>
      <w:r>
        <w:separator/>
      </w:r>
    </w:p>
  </w:footnote>
  <w:footnote w:type="continuationSeparator" w:id="0">
    <w:p w14:paraId="49A44F7B" w14:textId="77777777" w:rsidR="00593B60" w:rsidRDefault="00593B60" w:rsidP="00672984">
      <w:pPr>
        <w:spacing w:after="0" w:line="240" w:lineRule="auto"/>
      </w:pPr>
      <w:r>
        <w:continuationSeparator/>
      </w:r>
    </w:p>
  </w:footnote>
  <w:footnote w:id="1">
    <w:p w14:paraId="3D06F983" w14:textId="77777777" w:rsidR="00600E20" w:rsidRDefault="00600E20">
      <w:pPr>
        <w:pStyle w:val="FootnoteText"/>
      </w:pPr>
      <w:r>
        <w:rPr>
          <w:rStyle w:val="FootnoteReference"/>
        </w:rPr>
        <w:footnoteRef/>
      </w:r>
      <w:r>
        <w:t xml:space="preserve"> </w:t>
      </w:r>
      <w:r w:rsidRPr="00600E20">
        <w:rPr>
          <w:sz w:val="18"/>
          <w:szCs w:val="18"/>
        </w:rPr>
        <w:t>https://www.nhsbsa.nhs.uk/sites/default/files/2021-05/Accuracy%20Measures%20for%20Publication%20January%202021.pdf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B5794" w14:textId="2B344B45" w:rsidR="00EB75DD" w:rsidRDefault="00F46A2A">
    <w:pPr>
      <w:pStyle w:val="Header"/>
    </w:pPr>
    <w:r>
      <w:rPr>
        <w:noProof/>
      </w:rPr>
      <w:drawing>
        <wp:anchor distT="0" distB="0" distL="114300" distR="114300" simplePos="0" relativeHeight="251657728" behindDoc="1" locked="0" layoutInCell="1" allowOverlap="1" wp14:anchorId="4CCBAF0A" wp14:editId="413F0F21">
          <wp:simplePos x="0" y="0"/>
          <wp:positionH relativeFrom="column">
            <wp:posOffset>-720090</wp:posOffset>
          </wp:positionH>
          <wp:positionV relativeFrom="paragraph">
            <wp:posOffset>0</wp:posOffset>
          </wp:positionV>
          <wp:extent cx="7559675" cy="1543050"/>
          <wp:effectExtent l="0" t="0" r="0" b="0"/>
          <wp:wrapTight wrapText="bothSides">
            <wp:wrapPolygon edited="0">
              <wp:start x="0" y="0"/>
              <wp:lineTo x="0" y="21333"/>
              <wp:lineTo x="21555" y="21333"/>
              <wp:lineTo x="21555" y="0"/>
              <wp:lineTo x="0"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543050"/>
                  </a:xfrm>
                  <a:prstGeom prst="rect">
                    <a:avLst/>
                  </a:prstGeom>
                  <a:noFill/>
                </pic:spPr>
              </pic:pic>
            </a:graphicData>
          </a:graphic>
          <wp14:sizeRelH relativeFrom="page">
            <wp14:pctWidth>0</wp14:pctWidth>
          </wp14:sizeRelH>
          <wp14:sizeRelV relativeFrom="page">
            <wp14:pctHeight>0</wp14:pctHeight>
          </wp14:sizeRelV>
        </wp:anchor>
      </w:drawing>
    </w:r>
  </w:p>
  <w:p w14:paraId="531BB230" w14:textId="77777777" w:rsidR="00EB75DD" w:rsidRDefault="00EB75DD" w:rsidP="00E908E2">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12EF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581EEB"/>
    <w:multiLevelType w:val="hybridMultilevel"/>
    <w:tmpl w:val="356855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02297D"/>
    <w:multiLevelType w:val="hybridMultilevel"/>
    <w:tmpl w:val="203AD1A6"/>
    <w:lvl w:ilvl="0" w:tplc="7A1882FA">
      <w:start w:val="1"/>
      <w:numFmt w:val="bullet"/>
      <w:lvlText w:val="•"/>
      <w:lvlJc w:val="left"/>
      <w:pPr>
        <w:tabs>
          <w:tab w:val="num" w:pos="720"/>
        </w:tabs>
        <w:ind w:left="720" w:hanging="360"/>
      </w:pPr>
      <w:rPr>
        <w:rFonts w:ascii="Arial" w:hAnsi="Arial" w:hint="default"/>
      </w:rPr>
    </w:lvl>
    <w:lvl w:ilvl="1" w:tplc="307C658E">
      <w:numFmt w:val="none"/>
      <w:lvlText w:val=""/>
      <w:lvlJc w:val="left"/>
      <w:pPr>
        <w:tabs>
          <w:tab w:val="num" w:pos="360"/>
        </w:tabs>
      </w:pPr>
    </w:lvl>
    <w:lvl w:ilvl="2" w:tplc="93549EBA" w:tentative="1">
      <w:start w:val="1"/>
      <w:numFmt w:val="bullet"/>
      <w:lvlText w:val="•"/>
      <w:lvlJc w:val="left"/>
      <w:pPr>
        <w:tabs>
          <w:tab w:val="num" w:pos="2160"/>
        </w:tabs>
        <w:ind w:left="2160" w:hanging="360"/>
      </w:pPr>
      <w:rPr>
        <w:rFonts w:ascii="Arial" w:hAnsi="Arial" w:hint="default"/>
      </w:rPr>
    </w:lvl>
    <w:lvl w:ilvl="3" w:tplc="DFE86D8E" w:tentative="1">
      <w:start w:val="1"/>
      <w:numFmt w:val="bullet"/>
      <w:lvlText w:val="•"/>
      <w:lvlJc w:val="left"/>
      <w:pPr>
        <w:tabs>
          <w:tab w:val="num" w:pos="2880"/>
        </w:tabs>
        <w:ind w:left="2880" w:hanging="360"/>
      </w:pPr>
      <w:rPr>
        <w:rFonts w:ascii="Arial" w:hAnsi="Arial" w:hint="default"/>
      </w:rPr>
    </w:lvl>
    <w:lvl w:ilvl="4" w:tplc="4BF8DE62" w:tentative="1">
      <w:start w:val="1"/>
      <w:numFmt w:val="bullet"/>
      <w:lvlText w:val="•"/>
      <w:lvlJc w:val="left"/>
      <w:pPr>
        <w:tabs>
          <w:tab w:val="num" w:pos="3600"/>
        </w:tabs>
        <w:ind w:left="3600" w:hanging="360"/>
      </w:pPr>
      <w:rPr>
        <w:rFonts w:ascii="Arial" w:hAnsi="Arial" w:hint="default"/>
      </w:rPr>
    </w:lvl>
    <w:lvl w:ilvl="5" w:tplc="0A8A9C0E" w:tentative="1">
      <w:start w:val="1"/>
      <w:numFmt w:val="bullet"/>
      <w:lvlText w:val="•"/>
      <w:lvlJc w:val="left"/>
      <w:pPr>
        <w:tabs>
          <w:tab w:val="num" w:pos="4320"/>
        </w:tabs>
        <w:ind w:left="4320" w:hanging="360"/>
      </w:pPr>
      <w:rPr>
        <w:rFonts w:ascii="Arial" w:hAnsi="Arial" w:hint="default"/>
      </w:rPr>
    </w:lvl>
    <w:lvl w:ilvl="6" w:tplc="4EACA196" w:tentative="1">
      <w:start w:val="1"/>
      <w:numFmt w:val="bullet"/>
      <w:lvlText w:val="•"/>
      <w:lvlJc w:val="left"/>
      <w:pPr>
        <w:tabs>
          <w:tab w:val="num" w:pos="5040"/>
        </w:tabs>
        <w:ind w:left="5040" w:hanging="360"/>
      </w:pPr>
      <w:rPr>
        <w:rFonts w:ascii="Arial" w:hAnsi="Arial" w:hint="default"/>
      </w:rPr>
    </w:lvl>
    <w:lvl w:ilvl="7" w:tplc="9EB8A61C" w:tentative="1">
      <w:start w:val="1"/>
      <w:numFmt w:val="bullet"/>
      <w:lvlText w:val="•"/>
      <w:lvlJc w:val="left"/>
      <w:pPr>
        <w:tabs>
          <w:tab w:val="num" w:pos="5760"/>
        </w:tabs>
        <w:ind w:left="5760" w:hanging="360"/>
      </w:pPr>
      <w:rPr>
        <w:rFonts w:ascii="Arial" w:hAnsi="Arial" w:hint="default"/>
      </w:rPr>
    </w:lvl>
    <w:lvl w:ilvl="8" w:tplc="FAECFC5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D520D9"/>
    <w:multiLevelType w:val="hybridMultilevel"/>
    <w:tmpl w:val="8AEC0D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560AF1"/>
    <w:multiLevelType w:val="hybridMultilevel"/>
    <w:tmpl w:val="805E3CE0"/>
    <w:lvl w:ilvl="0" w:tplc="DF12562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1681C"/>
    <w:multiLevelType w:val="hybridMultilevel"/>
    <w:tmpl w:val="861EA2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635717"/>
    <w:multiLevelType w:val="hybridMultilevel"/>
    <w:tmpl w:val="BB308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4F368A"/>
    <w:multiLevelType w:val="hybridMultilevel"/>
    <w:tmpl w:val="19788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E20C2E"/>
    <w:multiLevelType w:val="hybridMultilevel"/>
    <w:tmpl w:val="DA36D03E"/>
    <w:lvl w:ilvl="0" w:tplc="DF125620">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DD4005"/>
    <w:multiLevelType w:val="hybridMultilevel"/>
    <w:tmpl w:val="9EE4FEB4"/>
    <w:lvl w:ilvl="0" w:tplc="6EB6D2E2">
      <w:start w:val="8"/>
      <w:numFmt w:val="bullet"/>
      <w:lvlText w:val=""/>
      <w:lvlJc w:val="left"/>
      <w:pPr>
        <w:ind w:left="1080" w:hanging="360"/>
      </w:pPr>
      <w:rPr>
        <w:rFonts w:ascii="Symbol" w:eastAsia="Calibr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C8B2E5D"/>
    <w:multiLevelType w:val="hybridMultilevel"/>
    <w:tmpl w:val="586EEC4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8F4E65"/>
    <w:multiLevelType w:val="hybridMultilevel"/>
    <w:tmpl w:val="9C3E7BE0"/>
    <w:lvl w:ilvl="0" w:tplc="6EB6D2E2">
      <w:start w:val="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DF4AB4"/>
    <w:multiLevelType w:val="hybridMultilevel"/>
    <w:tmpl w:val="E93678A4"/>
    <w:lvl w:ilvl="0" w:tplc="6EB6D2E2">
      <w:start w:val="8"/>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D4E76"/>
    <w:multiLevelType w:val="hybridMultilevel"/>
    <w:tmpl w:val="8CE2281C"/>
    <w:lvl w:ilvl="0" w:tplc="48E839B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8F5030"/>
    <w:multiLevelType w:val="hybridMultilevel"/>
    <w:tmpl w:val="EA4E6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B85762"/>
    <w:multiLevelType w:val="hybridMultilevel"/>
    <w:tmpl w:val="2E864022"/>
    <w:lvl w:ilvl="0" w:tplc="76B8EF6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DE94E7B"/>
    <w:multiLevelType w:val="hybridMultilevel"/>
    <w:tmpl w:val="2574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3B54BF"/>
    <w:multiLevelType w:val="hybridMultilevel"/>
    <w:tmpl w:val="5168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3F6F78"/>
    <w:multiLevelType w:val="hybridMultilevel"/>
    <w:tmpl w:val="36329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BE0341"/>
    <w:multiLevelType w:val="hybridMultilevel"/>
    <w:tmpl w:val="163A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4F5433"/>
    <w:multiLevelType w:val="hybridMultilevel"/>
    <w:tmpl w:val="04742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5E1E3F"/>
    <w:multiLevelType w:val="hybridMultilevel"/>
    <w:tmpl w:val="32CC3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663208"/>
    <w:multiLevelType w:val="hybridMultilevel"/>
    <w:tmpl w:val="7CE6E0EC"/>
    <w:lvl w:ilvl="0" w:tplc="76B8EF6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C34E4F"/>
    <w:multiLevelType w:val="hybridMultilevel"/>
    <w:tmpl w:val="D56E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EC67C3"/>
    <w:multiLevelType w:val="hybridMultilevel"/>
    <w:tmpl w:val="C3808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8C74101"/>
    <w:multiLevelType w:val="hybridMultilevel"/>
    <w:tmpl w:val="CDD4E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D43F1"/>
    <w:multiLevelType w:val="hybridMultilevel"/>
    <w:tmpl w:val="3496DEA6"/>
    <w:lvl w:ilvl="0" w:tplc="1EDA030C">
      <w:start w:val="1"/>
      <w:numFmt w:val="decimal"/>
      <w:lvlText w:val="%1."/>
      <w:lvlJc w:val="left"/>
      <w:pPr>
        <w:ind w:left="720" w:hanging="360"/>
      </w:pPr>
      <w:rPr>
        <w:rFonts w:ascii="Calibri" w:eastAsia="Calibri" w:hAnsi="Calibri"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0"/>
  </w:num>
  <w:num w:numId="3">
    <w:abstractNumId w:val="3"/>
  </w:num>
  <w:num w:numId="4">
    <w:abstractNumId w:val="15"/>
  </w:num>
  <w:num w:numId="5">
    <w:abstractNumId w:val="1"/>
  </w:num>
  <w:num w:numId="6">
    <w:abstractNumId w:val="22"/>
  </w:num>
  <w:num w:numId="7">
    <w:abstractNumId w:val="24"/>
  </w:num>
  <w:num w:numId="8">
    <w:abstractNumId w:val="26"/>
  </w:num>
  <w:num w:numId="9">
    <w:abstractNumId w:val="20"/>
  </w:num>
  <w:num w:numId="10">
    <w:abstractNumId w:val="8"/>
  </w:num>
  <w:num w:numId="11">
    <w:abstractNumId w:val="25"/>
  </w:num>
  <w:num w:numId="12">
    <w:abstractNumId w:val="7"/>
  </w:num>
  <w:num w:numId="13">
    <w:abstractNumId w:val="19"/>
  </w:num>
  <w:num w:numId="14">
    <w:abstractNumId w:val="21"/>
  </w:num>
  <w:num w:numId="15">
    <w:abstractNumId w:val="4"/>
  </w:num>
  <w:num w:numId="16">
    <w:abstractNumId w:val="6"/>
  </w:num>
  <w:num w:numId="17">
    <w:abstractNumId w:val="17"/>
  </w:num>
  <w:num w:numId="18">
    <w:abstractNumId w:val="5"/>
  </w:num>
  <w:num w:numId="19">
    <w:abstractNumId w:val="9"/>
  </w:num>
  <w:num w:numId="20">
    <w:abstractNumId w:val="26"/>
  </w:num>
  <w:num w:numId="21">
    <w:abstractNumId w:val="2"/>
  </w:num>
  <w:num w:numId="22">
    <w:abstractNumId w:val="11"/>
  </w:num>
  <w:num w:numId="23">
    <w:abstractNumId w:val="27"/>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3"/>
  </w:num>
  <w:num w:numId="27">
    <w:abstractNumId w:val="12"/>
  </w:num>
  <w:num w:numId="28">
    <w:abstractNumId w:val="23"/>
  </w:num>
  <w:num w:numId="29">
    <w:abstractNumId w:val="16"/>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84"/>
    <w:rsid w:val="00000491"/>
    <w:rsid w:val="00003630"/>
    <w:rsid w:val="000054F5"/>
    <w:rsid w:val="00015B6D"/>
    <w:rsid w:val="0001604D"/>
    <w:rsid w:val="00017956"/>
    <w:rsid w:val="00017C08"/>
    <w:rsid w:val="00020033"/>
    <w:rsid w:val="000225AA"/>
    <w:rsid w:val="000351A4"/>
    <w:rsid w:val="00036AB8"/>
    <w:rsid w:val="00036C70"/>
    <w:rsid w:val="00040A19"/>
    <w:rsid w:val="000414BE"/>
    <w:rsid w:val="000431C9"/>
    <w:rsid w:val="00046E1C"/>
    <w:rsid w:val="0005350C"/>
    <w:rsid w:val="00057649"/>
    <w:rsid w:val="00057C6E"/>
    <w:rsid w:val="000630F0"/>
    <w:rsid w:val="00071D61"/>
    <w:rsid w:val="00072A76"/>
    <w:rsid w:val="0007597E"/>
    <w:rsid w:val="000826DF"/>
    <w:rsid w:val="0008321A"/>
    <w:rsid w:val="00086F59"/>
    <w:rsid w:val="0009073D"/>
    <w:rsid w:val="00095790"/>
    <w:rsid w:val="00095EDB"/>
    <w:rsid w:val="00096405"/>
    <w:rsid w:val="000A1161"/>
    <w:rsid w:val="000A2590"/>
    <w:rsid w:val="000A4074"/>
    <w:rsid w:val="000A4229"/>
    <w:rsid w:val="000B0919"/>
    <w:rsid w:val="000B1022"/>
    <w:rsid w:val="000B1E27"/>
    <w:rsid w:val="000B29F4"/>
    <w:rsid w:val="000B4297"/>
    <w:rsid w:val="000B5F62"/>
    <w:rsid w:val="000B7C62"/>
    <w:rsid w:val="000C0AFC"/>
    <w:rsid w:val="000C78A8"/>
    <w:rsid w:val="000D1053"/>
    <w:rsid w:val="000D422A"/>
    <w:rsid w:val="000D4DB5"/>
    <w:rsid w:val="000E03F7"/>
    <w:rsid w:val="000E0FEF"/>
    <w:rsid w:val="000E1505"/>
    <w:rsid w:val="000E4EF3"/>
    <w:rsid w:val="000E6093"/>
    <w:rsid w:val="000F00BF"/>
    <w:rsid w:val="000F14F4"/>
    <w:rsid w:val="000F2410"/>
    <w:rsid w:val="000F28A8"/>
    <w:rsid w:val="000F6BF8"/>
    <w:rsid w:val="00100DAF"/>
    <w:rsid w:val="0010322A"/>
    <w:rsid w:val="00104DC9"/>
    <w:rsid w:val="001067C4"/>
    <w:rsid w:val="001067D3"/>
    <w:rsid w:val="00107415"/>
    <w:rsid w:val="0011061F"/>
    <w:rsid w:val="001138D7"/>
    <w:rsid w:val="00113CFB"/>
    <w:rsid w:val="00114984"/>
    <w:rsid w:val="00120B9B"/>
    <w:rsid w:val="0012208A"/>
    <w:rsid w:val="001232CF"/>
    <w:rsid w:val="00124700"/>
    <w:rsid w:val="001250D4"/>
    <w:rsid w:val="001319AF"/>
    <w:rsid w:val="00136690"/>
    <w:rsid w:val="00137421"/>
    <w:rsid w:val="00140367"/>
    <w:rsid w:val="0014638F"/>
    <w:rsid w:val="00146773"/>
    <w:rsid w:val="00151A6F"/>
    <w:rsid w:val="00157749"/>
    <w:rsid w:val="0016157E"/>
    <w:rsid w:val="00162FB9"/>
    <w:rsid w:val="001644A6"/>
    <w:rsid w:val="0016469C"/>
    <w:rsid w:val="00164703"/>
    <w:rsid w:val="00165382"/>
    <w:rsid w:val="00166180"/>
    <w:rsid w:val="00171452"/>
    <w:rsid w:val="00172BA1"/>
    <w:rsid w:val="001776D6"/>
    <w:rsid w:val="00180ED9"/>
    <w:rsid w:val="0018316F"/>
    <w:rsid w:val="00184AE3"/>
    <w:rsid w:val="00184EB6"/>
    <w:rsid w:val="00186A92"/>
    <w:rsid w:val="001874D9"/>
    <w:rsid w:val="00191CC3"/>
    <w:rsid w:val="00193A73"/>
    <w:rsid w:val="001974D8"/>
    <w:rsid w:val="0019786B"/>
    <w:rsid w:val="001A187D"/>
    <w:rsid w:val="001A2A10"/>
    <w:rsid w:val="001A3BB3"/>
    <w:rsid w:val="001B176A"/>
    <w:rsid w:val="001B5276"/>
    <w:rsid w:val="001B6EC3"/>
    <w:rsid w:val="001B74BA"/>
    <w:rsid w:val="001C2393"/>
    <w:rsid w:val="001C377F"/>
    <w:rsid w:val="001C3B4D"/>
    <w:rsid w:val="001C451D"/>
    <w:rsid w:val="001C494E"/>
    <w:rsid w:val="001C53C3"/>
    <w:rsid w:val="001C6E17"/>
    <w:rsid w:val="001D666F"/>
    <w:rsid w:val="001E1B77"/>
    <w:rsid w:val="001E23B9"/>
    <w:rsid w:val="001E2696"/>
    <w:rsid w:val="001E58DE"/>
    <w:rsid w:val="001E58FE"/>
    <w:rsid w:val="001E6E31"/>
    <w:rsid w:val="001F0AC2"/>
    <w:rsid w:val="001F1095"/>
    <w:rsid w:val="001F1A7F"/>
    <w:rsid w:val="001F2A14"/>
    <w:rsid w:val="001F4367"/>
    <w:rsid w:val="001F43A3"/>
    <w:rsid w:val="001F4693"/>
    <w:rsid w:val="001F66DD"/>
    <w:rsid w:val="001F795A"/>
    <w:rsid w:val="001F7F3C"/>
    <w:rsid w:val="002022A8"/>
    <w:rsid w:val="0020242C"/>
    <w:rsid w:val="002059A2"/>
    <w:rsid w:val="00206095"/>
    <w:rsid w:val="0020700E"/>
    <w:rsid w:val="00207C49"/>
    <w:rsid w:val="00211D9F"/>
    <w:rsid w:val="00215AAB"/>
    <w:rsid w:val="002177BD"/>
    <w:rsid w:val="002223E1"/>
    <w:rsid w:val="00227694"/>
    <w:rsid w:val="0023101E"/>
    <w:rsid w:val="002322FE"/>
    <w:rsid w:val="002401C8"/>
    <w:rsid w:val="00241D45"/>
    <w:rsid w:val="0024488B"/>
    <w:rsid w:val="0024611F"/>
    <w:rsid w:val="00252C14"/>
    <w:rsid w:val="002547CC"/>
    <w:rsid w:val="002549F0"/>
    <w:rsid w:val="00256839"/>
    <w:rsid w:val="00264345"/>
    <w:rsid w:val="002665A3"/>
    <w:rsid w:val="002673B3"/>
    <w:rsid w:val="00270E76"/>
    <w:rsid w:val="00272242"/>
    <w:rsid w:val="00272817"/>
    <w:rsid w:val="00272C68"/>
    <w:rsid w:val="00273288"/>
    <w:rsid w:val="002739E1"/>
    <w:rsid w:val="00276F1E"/>
    <w:rsid w:val="00277912"/>
    <w:rsid w:val="00290A64"/>
    <w:rsid w:val="002928C3"/>
    <w:rsid w:val="002959BF"/>
    <w:rsid w:val="00297A2B"/>
    <w:rsid w:val="002B1CA6"/>
    <w:rsid w:val="002B500E"/>
    <w:rsid w:val="002B5D2E"/>
    <w:rsid w:val="002B7232"/>
    <w:rsid w:val="002C1694"/>
    <w:rsid w:val="002C1C45"/>
    <w:rsid w:val="002C26F6"/>
    <w:rsid w:val="002D2B88"/>
    <w:rsid w:val="002D2D31"/>
    <w:rsid w:val="002D35EB"/>
    <w:rsid w:val="002D3C9A"/>
    <w:rsid w:val="002E0814"/>
    <w:rsid w:val="002E177B"/>
    <w:rsid w:val="002E5B97"/>
    <w:rsid w:val="002F195E"/>
    <w:rsid w:val="002F1C18"/>
    <w:rsid w:val="002F28C0"/>
    <w:rsid w:val="002F2C08"/>
    <w:rsid w:val="002F5148"/>
    <w:rsid w:val="002F63D1"/>
    <w:rsid w:val="00302FC6"/>
    <w:rsid w:val="00304D7F"/>
    <w:rsid w:val="003070FA"/>
    <w:rsid w:val="00310887"/>
    <w:rsid w:val="00313D6A"/>
    <w:rsid w:val="00313DB8"/>
    <w:rsid w:val="0031776D"/>
    <w:rsid w:val="00321633"/>
    <w:rsid w:val="00322749"/>
    <w:rsid w:val="0032749E"/>
    <w:rsid w:val="00331E01"/>
    <w:rsid w:val="0033210F"/>
    <w:rsid w:val="003329B9"/>
    <w:rsid w:val="00333C50"/>
    <w:rsid w:val="003340C0"/>
    <w:rsid w:val="00334A3E"/>
    <w:rsid w:val="003371F3"/>
    <w:rsid w:val="00343C8D"/>
    <w:rsid w:val="0035066E"/>
    <w:rsid w:val="00350D7A"/>
    <w:rsid w:val="003540EC"/>
    <w:rsid w:val="00355EF8"/>
    <w:rsid w:val="00357C53"/>
    <w:rsid w:val="0036118A"/>
    <w:rsid w:val="003616E7"/>
    <w:rsid w:val="00363B6A"/>
    <w:rsid w:val="003642CE"/>
    <w:rsid w:val="00366D23"/>
    <w:rsid w:val="00370B1A"/>
    <w:rsid w:val="003743CB"/>
    <w:rsid w:val="003772C7"/>
    <w:rsid w:val="00377D17"/>
    <w:rsid w:val="003814DF"/>
    <w:rsid w:val="00382508"/>
    <w:rsid w:val="00382625"/>
    <w:rsid w:val="00382DA4"/>
    <w:rsid w:val="00383F7A"/>
    <w:rsid w:val="003841D2"/>
    <w:rsid w:val="00384691"/>
    <w:rsid w:val="0038699B"/>
    <w:rsid w:val="003869D2"/>
    <w:rsid w:val="00386D7B"/>
    <w:rsid w:val="003942DF"/>
    <w:rsid w:val="00395A0B"/>
    <w:rsid w:val="00397AA3"/>
    <w:rsid w:val="003A2097"/>
    <w:rsid w:val="003A5E47"/>
    <w:rsid w:val="003B175D"/>
    <w:rsid w:val="003B36E1"/>
    <w:rsid w:val="003B3A82"/>
    <w:rsid w:val="003C10F0"/>
    <w:rsid w:val="003C2323"/>
    <w:rsid w:val="003C51C8"/>
    <w:rsid w:val="003C73FC"/>
    <w:rsid w:val="003D0B58"/>
    <w:rsid w:val="003D4D90"/>
    <w:rsid w:val="003D798D"/>
    <w:rsid w:val="003E1459"/>
    <w:rsid w:val="003E3995"/>
    <w:rsid w:val="003E6EFA"/>
    <w:rsid w:val="003F1245"/>
    <w:rsid w:val="003F47E5"/>
    <w:rsid w:val="003F4E97"/>
    <w:rsid w:val="003F712B"/>
    <w:rsid w:val="00401B96"/>
    <w:rsid w:val="00406CDF"/>
    <w:rsid w:val="00407E4D"/>
    <w:rsid w:val="004117CD"/>
    <w:rsid w:val="00411D33"/>
    <w:rsid w:val="00412859"/>
    <w:rsid w:val="00416955"/>
    <w:rsid w:val="00424EE7"/>
    <w:rsid w:val="00426E2B"/>
    <w:rsid w:val="0043144F"/>
    <w:rsid w:val="00432211"/>
    <w:rsid w:val="00432683"/>
    <w:rsid w:val="0043280E"/>
    <w:rsid w:val="00433FC0"/>
    <w:rsid w:val="00434AB6"/>
    <w:rsid w:val="004427FC"/>
    <w:rsid w:val="00444A1D"/>
    <w:rsid w:val="00450245"/>
    <w:rsid w:val="00453B92"/>
    <w:rsid w:val="00455DAC"/>
    <w:rsid w:val="004570EC"/>
    <w:rsid w:val="0046049B"/>
    <w:rsid w:val="004608B9"/>
    <w:rsid w:val="00466601"/>
    <w:rsid w:val="00471133"/>
    <w:rsid w:val="004729E8"/>
    <w:rsid w:val="00473A76"/>
    <w:rsid w:val="0048046F"/>
    <w:rsid w:val="004804DE"/>
    <w:rsid w:val="00481FE3"/>
    <w:rsid w:val="00483E2A"/>
    <w:rsid w:val="00484A2F"/>
    <w:rsid w:val="00487424"/>
    <w:rsid w:val="00491522"/>
    <w:rsid w:val="00493E34"/>
    <w:rsid w:val="004A3506"/>
    <w:rsid w:val="004A360E"/>
    <w:rsid w:val="004B0F17"/>
    <w:rsid w:val="004B27C6"/>
    <w:rsid w:val="004C002F"/>
    <w:rsid w:val="004C11F0"/>
    <w:rsid w:val="004C39D8"/>
    <w:rsid w:val="004C4DC0"/>
    <w:rsid w:val="004C6820"/>
    <w:rsid w:val="004C6A53"/>
    <w:rsid w:val="004D1397"/>
    <w:rsid w:val="004D2040"/>
    <w:rsid w:val="004D3BED"/>
    <w:rsid w:val="004D3BF1"/>
    <w:rsid w:val="004E3D29"/>
    <w:rsid w:val="004E7C1F"/>
    <w:rsid w:val="004F047A"/>
    <w:rsid w:val="004F1CF6"/>
    <w:rsid w:val="004F2BCD"/>
    <w:rsid w:val="004F3DF4"/>
    <w:rsid w:val="004F5ABB"/>
    <w:rsid w:val="004F63C9"/>
    <w:rsid w:val="00501248"/>
    <w:rsid w:val="00502BD2"/>
    <w:rsid w:val="005036E7"/>
    <w:rsid w:val="005062AE"/>
    <w:rsid w:val="00506AF8"/>
    <w:rsid w:val="00506EBE"/>
    <w:rsid w:val="00507008"/>
    <w:rsid w:val="005108BD"/>
    <w:rsid w:val="00510F2E"/>
    <w:rsid w:val="00514C5E"/>
    <w:rsid w:val="00516850"/>
    <w:rsid w:val="00516A7B"/>
    <w:rsid w:val="00524CE3"/>
    <w:rsid w:val="0052604E"/>
    <w:rsid w:val="005265C9"/>
    <w:rsid w:val="005304D2"/>
    <w:rsid w:val="00532BBC"/>
    <w:rsid w:val="00535DC1"/>
    <w:rsid w:val="00536092"/>
    <w:rsid w:val="0053695A"/>
    <w:rsid w:val="00536B53"/>
    <w:rsid w:val="005370E6"/>
    <w:rsid w:val="0054126E"/>
    <w:rsid w:val="005436DC"/>
    <w:rsid w:val="00544A6D"/>
    <w:rsid w:val="00550656"/>
    <w:rsid w:val="00551267"/>
    <w:rsid w:val="00552FB0"/>
    <w:rsid w:val="005530CE"/>
    <w:rsid w:val="0055333F"/>
    <w:rsid w:val="00556877"/>
    <w:rsid w:val="005569D9"/>
    <w:rsid w:val="0055794A"/>
    <w:rsid w:val="00560761"/>
    <w:rsid w:val="0056586D"/>
    <w:rsid w:val="00567141"/>
    <w:rsid w:val="00573E8B"/>
    <w:rsid w:val="00575437"/>
    <w:rsid w:val="005762FF"/>
    <w:rsid w:val="005800FA"/>
    <w:rsid w:val="0058437A"/>
    <w:rsid w:val="00587A7B"/>
    <w:rsid w:val="00590745"/>
    <w:rsid w:val="00593571"/>
    <w:rsid w:val="00593B60"/>
    <w:rsid w:val="00597875"/>
    <w:rsid w:val="005A3159"/>
    <w:rsid w:val="005A76FA"/>
    <w:rsid w:val="005A7980"/>
    <w:rsid w:val="005B26FF"/>
    <w:rsid w:val="005B2882"/>
    <w:rsid w:val="005B73B5"/>
    <w:rsid w:val="005C0A38"/>
    <w:rsid w:val="005C1DCA"/>
    <w:rsid w:val="005C2F0E"/>
    <w:rsid w:val="005C7751"/>
    <w:rsid w:val="005D0650"/>
    <w:rsid w:val="005D1F18"/>
    <w:rsid w:val="005D3F11"/>
    <w:rsid w:val="005D65FB"/>
    <w:rsid w:val="005D7BBB"/>
    <w:rsid w:val="005E03BF"/>
    <w:rsid w:val="005E736D"/>
    <w:rsid w:val="005F2908"/>
    <w:rsid w:val="005F2A21"/>
    <w:rsid w:val="005F379B"/>
    <w:rsid w:val="005F3FD0"/>
    <w:rsid w:val="005F4017"/>
    <w:rsid w:val="005F67EF"/>
    <w:rsid w:val="005F6934"/>
    <w:rsid w:val="00600909"/>
    <w:rsid w:val="00600E20"/>
    <w:rsid w:val="00601E07"/>
    <w:rsid w:val="00603D18"/>
    <w:rsid w:val="00607646"/>
    <w:rsid w:val="006172C8"/>
    <w:rsid w:val="00621B1B"/>
    <w:rsid w:val="006302E2"/>
    <w:rsid w:val="00630A37"/>
    <w:rsid w:val="00630F92"/>
    <w:rsid w:val="00631538"/>
    <w:rsid w:val="00634234"/>
    <w:rsid w:val="00635DA0"/>
    <w:rsid w:val="00636854"/>
    <w:rsid w:val="0063706D"/>
    <w:rsid w:val="006445ED"/>
    <w:rsid w:val="00645FCE"/>
    <w:rsid w:val="00646393"/>
    <w:rsid w:val="00646B43"/>
    <w:rsid w:val="00646B88"/>
    <w:rsid w:val="00647257"/>
    <w:rsid w:val="00647520"/>
    <w:rsid w:val="00653332"/>
    <w:rsid w:val="00663E9F"/>
    <w:rsid w:val="00667E5F"/>
    <w:rsid w:val="0067285F"/>
    <w:rsid w:val="00672984"/>
    <w:rsid w:val="00676914"/>
    <w:rsid w:val="00683D87"/>
    <w:rsid w:val="00685270"/>
    <w:rsid w:val="0069106B"/>
    <w:rsid w:val="0069555D"/>
    <w:rsid w:val="006A1474"/>
    <w:rsid w:val="006B326F"/>
    <w:rsid w:val="006B37DD"/>
    <w:rsid w:val="006B46FD"/>
    <w:rsid w:val="006B5A87"/>
    <w:rsid w:val="006C000F"/>
    <w:rsid w:val="006C2B29"/>
    <w:rsid w:val="006D008C"/>
    <w:rsid w:val="006D1FD0"/>
    <w:rsid w:val="006D3E1A"/>
    <w:rsid w:val="006D43C0"/>
    <w:rsid w:val="006D4B84"/>
    <w:rsid w:val="006E0F18"/>
    <w:rsid w:val="006E18C3"/>
    <w:rsid w:val="006E37A8"/>
    <w:rsid w:val="006E5A02"/>
    <w:rsid w:val="006E6A24"/>
    <w:rsid w:val="006F07CB"/>
    <w:rsid w:val="006F2460"/>
    <w:rsid w:val="006F684E"/>
    <w:rsid w:val="006F756D"/>
    <w:rsid w:val="007008B7"/>
    <w:rsid w:val="0070674E"/>
    <w:rsid w:val="007067CE"/>
    <w:rsid w:val="00707E3E"/>
    <w:rsid w:val="00707E65"/>
    <w:rsid w:val="007124CF"/>
    <w:rsid w:val="0071650B"/>
    <w:rsid w:val="00722D51"/>
    <w:rsid w:val="00723515"/>
    <w:rsid w:val="00723CCB"/>
    <w:rsid w:val="00723DAB"/>
    <w:rsid w:val="0072579F"/>
    <w:rsid w:val="00727E57"/>
    <w:rsid w:val="0073205B"/>
    <w:rsid w:val="007345A0"/>
    <w:rsid w:val="00740047"/>
    <w:rsid w:val="00743027"/>
    <w:rsid w:val="007433F2"/>
    <w:rsid w:val="00746089"/>
    <w:rsid w:val="00746EEE"/>
    <w:rsid w:val="00756C17"/>
    <w:rsid w:val="0076332B"/>
    <w:rsid w:val="0077164D"/>
    <w:rsid w:val="007762C6"/>
    <w:rsid w:val="0078296C"/>
    <w:rsid w:val="007847D7"/>
    <w:rsid w:val="00786690"/>
    <w:rsid w:val="00795D84"/>
    <w:rsid w:val="00796DA5"/>
    <w:rsid w:val="007A6B58"/>
    <w:rsid w:val="007A770B"/>
    <w:rsid w:val="007B186F"/>
    <w:rsid w:val="007B30C7"/>
    <w:rsid w:val="007B5438"/>
    <w:rsid w:val="007B785A"/>
    <w:rsid w:val="007C0CAD"/>
    <w:rsid w:val="007C24E0"/>
    <w:rsid w:val="007C2F4D"/>
    <w:rsid w:val="007C49C3"/>
    <w:rsid w:val="007D0AF5"/>
    <w:rsid w:val="007D1FCA"/>
    <w:rsid w:val="007D6AE9"/>
    <w:rsid w:val="007E084B"/>
    <w:rsid w:val="007F55EC"/>
    <w:rsid w:val="0080346F"/>
    <w:rsid w:val="00803EFD"/>
    <w:rsid w:val="00807818"/>
    <w:rsid w:val="00810E6A"/>
    <w:rsid w:val="00814310"/>
    <w:rsid w:val="00815B0F"/>
    <w:rsid w:val="008172BF"/>
    <w:rsid w:val="00817ADB"/>
    <w:rsid w:val="008244F9"/>
    <w:rsid w:val="008260FF"/>
    <w:rsid w:val="0082757A"/>
    <w:rsid w:val="00827E0B"/>
    <w:rsid w:val="00836EFB"/>
    <w:rsid w:val="00837B1F"/>
    <w:rsid w:val="008401A9"/>
    <w:rsid w:val="00841115"/>
    <w:rsid w:val="00844506"/>
    <w:rsid w:val="008475D1"/>
    <w:rsid w:val="00847CAA"/>
    <w:rsid w:val="008564D6"/>
    <w:rsid w:val="00861196"/>
    <w:rsid w:val="00862118"/>
    <w:rsid w:val="00865C9F"/>
    <w:rsid w:val="00866B74"/>
    <w:rsid w:val="00867707"/>
    <w:rsid w:val="00870A32"/>
    <w:rsid w:val="008716BC"/>
    <w:rsid w:val="0087352E"/>
    <w:rsid w:val="00874B4E"/>
    <w:rsid w:val="008774E4"/>
    <w:rsid w:val="00881330"/>
    <w:rsid w:val="008834B1"/>
    <w:rsid w:val="008844D5"/>
    <w:rsid w:val="0089183F"/>
    <w:rsid w:val="00894028"/>
    <w:rsid w:val="008A139B"/>
    <w:rsid w:val="008A5694"/>
    <w:rsid w:val="008A6C13"/>
    <w:rsid w:val="008B02FE"/>
    <w:rsid w:val="008B4FC5"/>
    <w:rsid w:val="008B6DCF"/>
    <w:rsid w:val="008B79E3"/>
    <w:rsid w:val="008C0AA6"/>
    <w:rsid w:val="008C0D1F"/>
    <w:rsid w:val="008C4489"/>
    <w:rsid w:val="008C6947"/>
    <w:rsid w:val="008D0B63"/>
    <w:rsid w:val="008D1CAE"/>
    <w:rsid w:val="008D2E7D"/>
    <w:rsid w:val="008D2E94"/>
    <w:rsid w:val="008D3F1E"/>
    <w:rsid w:val="008D5BC2"/>
    <w:rsid w:val="008D5FA1"/>
    <w:rsid w:val="008E0282"/>
    <w:rsid w:val="008E1037"/>
    <w:rsid w:val="008E14C3"/>
    <w:rsid w:val="008E2926"/>
    <w:rsid w:val="008E510C"/>
    <w:rsid w:val="008E71E7"/>
    <w:rsid w:val="008E7841"/>
    <w:rsid w:val="008E7A71"/>
    <w:rsid w:val="008F1CCB"/>
    <w:rsid w:val="008F26BB"/>
    <w:rsid w:val="008F5F7F"/>
    <w:rsid w:val="00901981"/>
    <w:rsid w:val="00902011"/>
    <w:rsid w:val="009053D8"/>
    <w:rsid w:val="0091025D"/>
    <w:rsid w:val="00911497"/>
    <w:rsid w:val="00913724"/>
    <w:rsid w:val="00914393"/>
    <w:rsid w:val="00914D56"/>
    <w:rsid w:val="00915417"/>
    <w:rsid w:val="009200E6"/>
    <w:rsid w:val="00921C6E"/>
    <w:rsid w:val="009222C4"/>
    <w:rsid w:val="00933C0D"/>
    <w:rsid w:val="0093455F"/>
    <w:rsid w:val="0093580C"/>
    <w:rsid w:val="00935F5A"/>
    <w:rsid w:val="00942BBD"/>
    <w:rsid w:val="0094371D"/>
    <w:rsid w:val="00952A80"/>
    <w:rsid w:val="00952A82"/>
    <w:rsid w:val="00953688"/>
    <w:rsid w:val="00953732"/>
    <w:rsid w:val="00953DB4"/>
    <w:rsid w:val="00953DEF"/>
    <w:rsid w:val="00954921"/>
    <w:rsid w:val="00955BDB"/>
    <w:rsid w:val="00955CC1"/>
    <w:rsid w:val="00960075"/>
    <w:rsid w:val="009614C1"/>
    <w:rsid w:val="009633C7"/>
    <w:rsid w:val="00972088"/>
    <w:rsid w:val="00973414"/>
    <w:rsid w:val="00973D8C"/>
    <w:rsid w:val="009768A5"/>
    <w:rsid w:val="009779F7"/>
    <w:rsid w:val="00983B0C"/>
    <w:rsid w:val="00983C72"/>
    <w:rsid w:val="00984AE0"/>
    <w:rsid w:val="009854D2"/>
    <w:rsid w:val="00986A75"/>
    <w:rsid w:val="00990F03"/>
    <w:rsid w:val="00993535"/>
    <w:rsid w:val="00995439"/>
    <w:rsid w:val="009960A0"/>
    <w:rsid w:val="00997DDA"/>
    <w:rsid w:val="009A0116"/>
    <w:rsid w:val="009A01E8"/>
    <w:rsid w:val="009A0E80"/>
    <w:rsid w:val="009A0EA7"/>
    <w:rsid w:val="009A154B"/>
    <w:rsid w:val="009A2E49"/>
    <w:rsid w:val="009A4301"/>
    <w:rsid w:val="009A5347"/>
    <w:rsid w:val="009B30EC"/>
    <w:rsid w:val="009B56C7"/>
    <w:rsid w:val="009C16E1"/>
    <w:rsid w:val="009D025F"/>
    <w:rsid w:val="009D2440"/>
    <w:rsid w:val="009D322E"/>
    <w:rsid w:val="009D3B3B"/>
    <w:rsid w:val="009D40DA"/>
    <w:rsid w:val="009D5A95"/>
    <w:rsid w:val="009D665B"/>
    <w:rsid w:val="009E03DA"/>
    <w:rsid w:val="009E3C83"/>
    <w:rsid w:val="009E6156"/>
    <w:rsid w:val="009E632C"/>
    <w:rsid w:val="009E7037"/>
    <w:rsid w:val="009F10BC"/>
    <w:rsid w:val="009F2923"/>
    <w:rsid w:val="009F7F5A"/>
    <w:rsid w:val="00A03102"/>
    <w:rsid w:val="00A0354D"/>
    <w:rsid w:val="00A04BE8"/>
    <w:rsid w:val="00A0630D"/>
    <w:rsid w:val="00A10E12"/>
    <w:rsid w:val="00A143A4"/>
    <w:rsid w:val="00A209A4"/>
    <w:rsid w:val="00A23C30"/>
    <w:rsid w:val="00A24D93"/>
    <w:rsid w:val="00A25267"/>
    <w:rsid w:val="00A269AE"/>
    <w:rsid w:val="00A26E7E"/>
    <w:rsid w:val="00A30ACD"/>
    <w:rsid w:val="00A40A5A"/>
    <w:rsid w:val="00A427BB"/>
    <w:rsid w:val="00A447AB"/>
    <w:rsid w:val="00A50121"/>
    <w:rsid w:val="00A54DA2"/>
    <w:rsid w:val="00A5627A"/>
    <w:rsid w:val="00A608EC"/>
    <w:rsid w:val="00A61837"/>
    <w:rsid w:val="00A61BC4"/>
    <w:rsid w:val="00A63581"/>
    <w:rsid w:val="00A66D1B"/>
    <w:rsid w:val="00A67D30"/>
    <w:rsid w:val="00A700FD"/>
    <w:rsid w:val="00A732DA"/>
    <w:rsid w:val="00A755A7"/>
    <w:rsid w:val="00A77232"/>
    <w:rsid w:val="00A82587"/>
    <w:rsid w:val="00A83834"/>
    <w:rsid w:val="00A843E5"/>
    <w:rsid w:val="00A855E4"/>
    <w:rsid w:val="00A85C22"/>
    <w:rsid w:val="00A90B6D"/>
    <w:rsid w:val="00A92E34"/>
    <w:rsid w:val="00A93884"/>
    <w:rsid w:val="00A96BA6"/>
    <w:rsid w:val="00A974F8"/>
    <w:rsid w:val="00AA08BE"/>
    <w:rsid w:val="00AA12BF"/>
    <w:rsid w:val="00AA278D"/>
    <w:rsid w:val="00AA714C"/>
    <w:rsid w:val="00AA754C"/>
    <w:rsid w:val="00AA7D07"/>
    <w:rsid w:val="00AB16BB"/>
    <w:rsid w:val="00AB21C5"/>
    <w:rsid w:val="00AB3EC3"/>
    <w:rsid w:val="00AB6042"/>
    <w:rsid w:val="00AB7849"/>
    <w:rsid w:val="00AC2275"/>
    <w:rsid w:val="00AC48CC"/>
    <w:rsid w:val="00AC562E"/>
    <w:rsid w:val="00AC6ACB"/>
    <w:rsid w:val="00AC6BBF"/>
    <w:rsid w:val="00AD05A5"/>
    <w:rsid w:val="00AE2E15"/>
    <w:rsid w:val="00AE647C"/>
    <w:rsid w:val="00AF10A4"/>
    <w:rsid w:val="00AF4973"/>
    <w:rsid w:val="00AF5810"/>
    <w:rsid w:val="00B004ED"/>
    <w:rsid w:val="00B15F7A"/>
    <w:rsid w:val="00B20B29"/>
    <w:rsid w:val="00B2165E"/>
    <w:rsid w:val="00B218CE"/>
    <w:rsid w:val="00B227A9"/>
    <w:rsid w:val="00B33573"/>
    <w:rsid w:val="00B345DB"/>
    <w:rsid w:val="00B359CD"/>
    <w:rsid w:val="00B43EBB"/>
    <w:rsid w:val="00B44D17"/>
    <w:rsid w:val="00B47755"/>
    <w:rsid w:val="00B533BF"/>
    <w:rsid w:val="00B54658"/>
    <w:rsid w:val="00B562B6"/>
    <w:rsid w:val="00B56A35"/>
    <w:rsid w:val="00B61D58"/>
    <w:rsid w:val="00B62E12"/>
    <w:rsid w:val="00B6452B"/>
    <w:rsid w:val="00B6566C"/>
    <w:rsid w:val="00B709C3"/>
    <w:rsid w:val="00B746D1"/>
    <w:rsid w:val="00B75241"/>
    <w:rsid w:val="00B7655B"/>
    <w:rsid w:val="00B76A55"/>
    <w:rsid w:val="00B80197"/>
    <w:rsid w:val="00B80606"/>
    <w:rsid w:val="00B82121"/>
    <w:rsid w:val="00B8290C"/>
    <w:rsid w:val="00B861F9"/>
    <w:rsid w:val="00B9255F"/>
    <w:rsid w:val="00B95594"/>
    <w:rsid w:val="00B977BB"/>
    <w:rsid w:val="00BA0B63"/>
    <w:rsid w:val="00BA148C"/>
    <w:rsid w:val="00BA1DB9"/>
    <w:rsid w:val="00BA3D5A"/>
    <w:rsid w:val="00BA5155"/>
    <w:rsid w:val="00BA5ABB"/>
    <w:rsid w:val="00BA7E2A"/>
    <w:rsid w:val="00BB3744"/>
    <w:rsid w:val="00BB5178"/>
    <w:rsid w:val="00BC67D2"/>
    <w:rsid w:val="00BC760F"/>
    <w:rsid w:val="00BD222D"/>
    <w:rsid w:val="00BD532A"/>
    <w:rsid w:val="00BD7404"/>
    <w:rsid w:val="00BE2E6E"/>
    <w:rsid w:val="00BE3ACD"/>
    <w:rsid w:val="00BE6A75"/>
    <w:rsid w:val="00BF3014"/>
    <w:rsid w:val="00C028CA"/>
    <w:rsid w:val="00C02A13"/>
    <w:rsid w:val="00C0390D"/>
    <w:rsid w:val="00C102AE"/>
    <w:rsid w:val="00C126D9"/>
    <w:rsid w:val="00C13411"/>
    <w:rsid w:val="00C16CC3"/>
    <w:rsid w:val="00C172C1"/>
    <w:rsid w:val="00C225E9"/>
    <w:rsid w:val="00C25AFD"/>
    <w:rsid w:val="00C265D5"/>
    <w:rsid w:val="00C322A1"/>
    <w:rsid w:val="00C32472"/>
    <w:rsid w:val="00C32CDF"/>
    <w:rsid w:val="00C33864"/>
    <w:rsid w:val="00C379C0"/>
    <w:rsid w:val="00C41F65"/>
    <w:rsid w:val="00C50C24"/>
    <w:rsid w:val="00C52D2B"/>
    <w:rsid w:val="00C54451"/>
    <w:rsid w:val="00C5471C"/>
    <w:rsid w:val="00C552E7"/>
    <w:rsid w:val="00C61192"/>
    <w:rsid w:val="00C6437B"/>
    <w:rsid w:val="00C64F15"/>
    <w:rsid w:val="00C656CC"/>
    <w:rsid w:val="00C66708"/>
    <w:rsid w:val="00C703E6"/>
    <w:rsid w:val="00C726A3"/>
    <w:rsid w:val="00C726DB"/>
    <w:rsid w:val="00C750FC"/>
    <w:rsid w:val="00C77787"/>
    <w:rsid w:val="00C7778C"/>
    <w:rsid w:val="00C8148C"/>
    <w:rsid w:val="00C823E6"/>
    <w:rsid w:val="00C837DB"/>
    <w:rsid w:val="00C84BA3"/>
    <w:rsid w:val="00C8636D"/>
    <w:rsid w:val="00C87894"/>
    <w:rsid w:val="00C87D9C"/>
    <w:rsid w:val="00C91672"/>
    <w:rsid w:val="00C9175E"/>
    <w:rsid w:val="00C93395"/>
    <w:rsid w:val="00C93D3D"/>
    <w:rsid w:val="00CA00FE"/>
    <w:rsid w:val="00CA2B6E"/>
    <w:rsid w:val="00CA56AD"/>
    <w:rsid w:val="00CA6520"/>
    <w:rsid w:val="00CB5DC4"/>
    <w:rsid w:val="00CB609B"/>
    <w:rsid w:val="00CC00C9"/>
    <w:rsid w:val="00CC1677"/>
    <w:rsid w:val="00CC1EA9"/>
    <w:rsid w:val="00CC478E"/>
    <w:rsid w:val="00CC5F20"/>
    <w:rsid w:val="00CD0113"/>
    <w:rsid w:val="00CD29BA"/>
    <w:rsid w:val="00CD399C"/>
    <w:rsid w:val="00CD4274"/>
    <w:rsid w:val="00CD53EF"/>
    <w:rsid w:val="00CD58DC"/>
    <w:rsid w:val="00CE1436"/>
    <w:rsid w:val="00CE472A"/>
    <w:rsid w:val="00CF1768"/>
    <w:rsid w:val="00CF2715"/>
    <w:rsid w:val="00CF3551"/>
    <w:rsid w:val="00CF3977"/>
    <w:rsid w:val="00CF4DB1"/>
    <w:rsid w:val="00CF6173"/>
    <w:rsid w:val="00CF65EB"/>
    <w:rsid w:val="00CF7E8E"/>
    <w:rsid w:val="00D002D5"/>
    <w:rsid w:val="00D03A86"/>
    <w:rsid w:val="00D0434E"/>
    <w:rsid w:val="00D047A7"/>
    <w:rsid w:val="00D05C50"/>
    <w:rsid w:val="00D07E75"/>
    <w:rsid w:val="00D1496D"/>
    <w:rsid w:val="00D1565B"/>
    <w:rsid w:val="00D15B97"/>
    <w:rsid w:val="00D21A1C"/>
    <w:rsid w:val="00D2252D"/>
    <w:rsid w:val="00D2457D"/>
    <w:rsid w:val="00D25686"/>
    <w:rsid w:val="00D262E4"/>
    <w:rsid w:val="00D264BC"/>
    <w:rsid w:val="00D26B6D"/>
    <w:rsid w:val="00D271A1"/>
    <w:rsid w:val="00D273D4"/>
    <w:rsid w:val="00D31979"/>
    <w:rsid w:val="00D31A2E"/>
    <w:rsid w:val="00D31EC0"/>
    <w:rsid w:val="00D34CC0"/>
    <w:rsid w:val="00D3522D"/>
    <w:rsid w:val="00D35B88"/>
    <w:rsid w:val="00D400A3"/>
    <w:rsid w:val="00D404FE"/>
    <w:rsid w:val="00D40DB0"/>
    <w:rsid w:val="00D45138"/>
    <w:rsid w:val="00D46876"/>
    <w:rsid w:val="00D471AA"/>
    <w:rsid w:val="00D5128E"/>
    <w:rsid w:val="00D54087"/>
    <w:rsid w:val="00D57B2F"/>
    <w:rsid w:val="00D600D6"/>
    <w:rsid w:val="00D61B22"/>
    <w:rsid w:val="00D62895"/>
    <w:rsid w:val="00D63C91"/>
    <w:rsid w:val="00D6553E"/>
    <w:rsid w:val="00D668B7"/>
    <w:rsid w:val="00D678F4"/>
    <w:rsid w:val="00D721D9"/>
    <w:rsid w:val="00D72371"/>
    <w:rsid w:val="00D74BCD"/>
    <w:rsid w:val="00D80D62"/>
    <w:rsid w:val="00D83CE4"/>
    <w:rsid w:val="00D83E7B"/>
    <w:rsid w:val="00D841BD"/>
    <w:rsid w:val="00D87113"/>
    <w:rsid w:val="00D963F6"/>
    <w:rsid w:val="00D97941"/>
    <w:rsid w:val="00DA090D"/>
    <w:rsid w:val="00DA1F5A"/>
    <w:rsid w:val="00DA23D4"/>
    <w:rsid w:val="00DA322C"/>
    <w:rsid w:val="00DA5BFD"/>
    <w:rsid w:val="00DA6552"/>
    <w:rsid w:val="00DA679C"/>
    <w:rsid w:val="00DB0B7F"/>
    <w:rsid w:val="00DB64BC"/>
    <w:rsid w:val="00DC0CA2"/>
    <w:rsid w:val="00DC173C"/>
    <w:rsid w:val="00DC3047"/>
    <w:rsid w:val="00DC5954"/>
    <w:rsid w:val="00DD2B34"/>
    <w:rsid w:val="00DD6354"/>
    <w:rsid w:val="00E037CC"/>
    <w:rsid w:val="00E051ED"/>
    <w:rsid w:val="00E077A7"/>
    <w:rsid w:val="00E10ABE"/>
    <w:rsid w:val="00E14B23"/>
    <w:rsid w:val="00E16303"/>
    <w:rsid w:val="00E1718A"/>
    <w:rsid w:val="00E201A2"/>
    <w:rsid w:val="00E20769"/>
    <w:rsid w:val="00E21305"/>
    <w:rsid w:val="00E21B23"/>
    <w:rsid w:val="00E300D0"/>
    <w:rsid w:val="00E320F5"/>
    <w:rsid w:val="00E4070B"/>
    <w:rsid w:val="00E4097A"/>
    <w:rsid w:val="00E443F5"/>
    <w:rsid w:val="00E46139"/>
    <w:rsid w:val="00E47130"/>
    <w:rsid w:val="00E47352"/>
    <w:rsid w:val="00E477E2"/>
    <w:rsid w:val="00E5045A"/>
    <w:rsid w:val="00E51992"/>
    <w:rsid w:val="00E53119"/>
    <w:rsid w:val="00E53975"/>
    <w:rsid w:val="00E55757"/>
    <w:rsid w:val="00E60744"/>
    <w:rsid w:val="00E6079C"/>
    <w:rsid w:val="00E647BD"/>
    <w:rsid w:val="00E66E06"/>
    <w:rsid w:val="00E67DD3"/>
    <w:rsid w:val="00E7353C"/>
    <w:rsid w:val="00E7361D"/>
    <w:rsid w:val="00E74A66"/>
    <w:rsid w:val="00E76F9B"/>
    <w:rsid w:val="00E865BF"/>
    <w:rsid w:val="00E908E2"/>
    <w:rsid w:val="00E91A20"/>
    <w:rsid w:val="00E937BA"/>
    <w:rsid w:val="00E94D5C"/>
    <w:rsid w:val="00E959BF"/>
    <w:rsid w:val="00EA1229"/>
    <w:rsid w:val="00EA3BBC"/>
    <w:rsid w:val="00EA3E9B"/>
    <w:rsid w:val="00EA6B83"/>
    <w:rsid w:val="00EA6F21"/>
    <w:rsid w:val="00EB185D"/>
    <w:rsid w:val="00EB4BD7"/>
    <w:rsid w:val="00EB75DD"/>
    <w:rsid w:val="00EC02F0"/>
    <w:rsid w:val="00EC0FCE"/>
    <w:rsid w:val="00ED197B"/>
    <w:rsid w:val="00ED47E7"/>
    <w:rsid w:val="00ED4971"/>
    <w:rsid w:val="00ED5CB5"/>
    <w:rsid w:val="00ED6EF6"/>
    <w:rsid w:val="00ED6FE6"/>
    <w:rsid w:val="00EE6059"/>
    <w:rsid w:val="00EE6524"/>
    <w:rsid w:val="00EE75CC"/>
    <w:rsid w:val="00EE7AD8"/>
    <w:rsid w:val="00EF02F1"/>
    <w:rsid w:val="00EF0F82"/>
    <w:rsid w:val="00EF2136"/>
    <w:rsid w:val="00EF3D55"/>
    <w:rsid w:val="00EF7453"/>
    <w:rsid w:val="00F0333B"/>
    <w:rsid w:val="00F041DF"/>
    <w:rsid w:val="00F07696"/>
    <w:rsid w:val="00F07B0E"/>
    <w:rsid w:val="00F10C87"/>
    <w:rsid w:val="00F127E2"/>
    <w:rsid w:val="00F137FC"/>
    <w:rsid w:val="00F14685"/>
    <w:rsid w:val="00F26409"/>
    <w:rsid w:val="00F26571"/>
    <w:rsid w:val="00F27734"/>
    <w:rsid w:val="00F3055C"/>
    <w:rsid w:val="00F32215"/>
    <w:rsid w:val="00F35AB5"/>
    <w:rsid w:val="00F37DE3"/>
    <w:rsid w:val="00F435C8"/>
    <w:rsid w:val="00F447C9"/>
    <w:rsid w:val="00F45B7B"/>
    <w:rsid w:val="00F46A2A"/>
    <w:rsid w:val="00F479E1"/>
    <w:rsid w:val="00F5081F"/>
    <w:rsid w:val="00F515D4"/>
    <w:rsid w:val="00F53CBE"/>
    <w:rsid w:val="00F54B4D"/>
    <w:rsid w:val="00F55BE7"/>
    <w:rsid w:val="00F569A7"/>
    <w:rsid w:val="00F62420"/>
    <w:rsid w:val="00F63787"/>
    <w:rsid w:val="00F64611"/>
    <w:rsid w:val="00F658AF"/>
    <w:rsid w:val="00F65ADF"/>
    <w:rsid w:val="00F72C5B"/>
    <w:rsid w:val="00F756F6"/>
    <w:rsid w:val="00F7695B"/>
    <w:rsid w:val="00F76BB9"/>
    <w:rsid w:val="00F81409"/>
    <w:rsid w:val="00F81476"/>
    <w:rsid w:val="00F838DB"/>
    <w:rsid w:val="00F83E9C"/>
    <w:rsid w:val="00FA03F7"/>
    <w:rsid w:val="00FA0BBD"/>
    <w:rsid w:val="00FA0C0C"/>
    <w:rsid w:val="00FA4E37"/>
    <w:rsid w:val="00FA50AA"/>
    <w:rsid w:val="00FA5D25"/>
    <w:rsid w:val="00FA670F"/>
    <w:rsid w:val="00FA6C92"/>
    <w:rsid w:val="00FA6F12"/>
    <w:rsid w:val="00FA7133"/>
    <w:rsid w:val="00FA72BD"/>
    <w:rsid w:val="00FA7455"/>
    <w:rsid w:val="00FB0839"/>
    <w:rsid w:val="00FB4161"/>
    <w:rsid w:val="00FC4B54"/>
    <w:rsid w:val="00FC7947"/>
    <w:rsid w:val="00FD1B15"/>
    <w:rsid w:val="00FD61F8"/>
    <w:rsid w:val="00FD71B9"/>
    <w:rsid w:val="00FE1541"/>
    <w:rsid w:val="00FE49C2"/>
    <w:rsid w:val="00FE4FB8"/>
    <w:rsid w:val="00FE5BEF"/>
    <w:rsid w:val="00FF014C"/>
    <w:rsid w:val="00FF3B59"/>
    <w:rsid w:val="00FF5A5E"/>
    <w:rsid w:val="00FF5A98"/>
    <w:rsid w:val="00FF66E7"/>
    <w:rsid w:val="00FF6E84"/>
    <w:rsid w:val="00FF6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7E53F"/>
  <w15:chartTrackingRefBased/>
  <w15:docId w15:val="{CBD6055A-21F9-4E21-8C8E-CE055162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011"/>
    <w:pPr>
      <w:spacing w:after="200" w:line="276" w:lineRule="auto"/>
    </w:pPr>
    <w:rPr>
      <w:sz w:val="22"/>
      <w:szCs w:val="22"/>
      <w:lang w:eastAsia="en-US"/>
    </w:rPr>
  </w:style>
  <w:style w:type="paragraph" w:styleId="Heading1">
    <w:name w:val="heading 1"/>
    <w:basedOn w:val="Normal"/>
    <w:next w:val="Normal"/>
    <w:link w:val="Heading1Char"/>
    <w:uiPriority w:val="9"/>
    <w:qFormat/>
    <w:rsid w:val="00723515"/>
    <w:pPr>
      <w:keepNext/>
      <w:keepLines/>
      <w:spacing w:before="480" w:after="0"/>
      <w:outlineLvl w:val="0"/>
    </w:pPr>
    <w:rPr>
      <w:rFonts w:ascii="Arial" w:eastAsia="Times New Roman" w:hAnsi="Arial"/>
      <w:b/>
      <w:bCs/>
      <w:sz w:val="24"/>
      <w:szCs w:val="28"/>
    </w:rPr>
  </w:style>
  <w:style w:type="paragraph" w:styleId="Heading2">
    <w:name w:val="heading 2"/>
    <w:basedOn w:val="Normal"/>
    <w:next w:val="Normal"/>
    <w:link w:val="Heading2Char"/>
    <w:uiPriority w:val="9"/>
    <w:qFormat/>
    <w:rsid w:val="00DC3047"/>
    <w:pPr>
      <w:keepNext/>
      <w:keepLines/>
      <w:spacing w:before="200" w:after="0"/>
      <w:outlineLvl w:val="1"/>
    </w:pPr>
    <w:rPr>
      <w:rFonts w:ascii="Arial" w:eastAsia="Times New Roman" w:hAnsi="Arial"/>
      <w:b/>
      <w:bCs/>
      <w:sz w:val="20"/>
      <w:szCs w:val="26"/>
    </w:rPr>
  </w:style>
  <w:style w:type="paragraph" w:styleId="Heading3">
    <w:name w:val="heading 3"/>
    <w:basedOn w:val="Normal"/>
    <w:next w:val="Normal"/>
    <w:link w:val="Heading3Char"/>
    <w:uiPriority w:val="9"/>
    <w:qFormat/>
    <w:rsid w:val="00120B9B"/>
    <w:pPr>
      <w:keepNext/>
      <w:spacing w:before="240" w:after="60"/>
      <w:outlineLvl w:val="2"/>
    </w:pPr>
    <w:rPr>
      <w:rFonts w:ascii="Arial" w:eastAsia="Times New Roman" w:hAnsi="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SFormatting">
    <w:name w:val="NHS Formatting"/>
    <w:basedOn w:val="Normal"/>
    <w:autoRedefine/>
    <w:qFormat/>
    <w:rsid w:val="00C33864"/>
    <w:pPr>
      <w:autoSpaceDE w:val="0"/>
      <w:autoSpaceDN w:val="0"/>
      <w:spacing w:after="0" w:line="240" w:lineRule="auto"/>
    </w:pPr>
    <w:rPr>
      <w:rFonts w:ascii="Arial" w:eastAsia="Times New Roman" w:hAnsi="Arial" w:cs="Arial"/>
      <w:sz w:val="20"/>
      <w:szCs w:val="20"/>
      <w:lang w:eastAsia="en-GB"/>
    </w:rPr>
  </w:style>
  <w:style w:type="paragraph" w:customStyle="1" w:styleId="NHSPBodycopy">
    <w:name w:val="NHSP Body copy"/>
    <w:next w:val="BodyText"/>
    <w:qFormat/>
    <w:rsid w:val="00AB3EC3"/>
    <w:pPr>
      <w:spacing w:line="360" w:lineRule="auto"/>
    </w:pPr>
    <w:rPr>
      <w:rFonts w:ascii="Arial" w:eastAsia="Times New Roman" w:hAnsi="Arial"/>
      <w:sz w:val="22"/>
      <w:szCs w:val="24"/>
      <w:lang w:eastAsia="en-US"/>
    </w:rPr>
  </w:style>
  <w:style w:type="paragraph" w:styleId="BodyText">
    <w:name w:val="Body Text"/>
    <w:basedOn w:val="Normal"/>
    <w:link w:val="BodyTextChar"/>
    <w:uiPriority w:val="99"/>
    <w:semiHidden/>
    <w:unhideWhenUsed/>
    <w:rsid w:val="00AB3EC3"/>
    <w:pPr>
      <w:spacing w:after="120"/>
    </w:pPr>
  </w:style>
  <w:style w:type="character" w:customStyle="1" w:styleId="BodyTextChar">
    <w:name w:val="Body Text Char"/>
    <w:basedOn w:val="DefaultParagraphFont"/>
    <w:link w:val="BodyText"/>
    <w:uiPriority w:val="99"/>
    <w:semiHidden/>
    <w:rsid w:val="00AB3EC3"/>
  </w:style>
  <w:style w:type="paragraph" w:customStyle="1" w:styleId="Style1">
    <w:name w:val="Style1"/>
    <w:basedOn w:val="Heading1"/>
    <w:next w:val="Heading1"/>
    <w:qFormat/>
    <w:rsid w:val="008B4FC5"/>
    <w:pPr>
      <w:keepLines w:val="0"/>
      <w:spacing w:before="240"/>
    </w:pPr>
    <w:rPr>
      <w:rFonts w:cs="Arial"/>
      <w:kern w:val="32"/>
      <w:szCs w:val="32"/>
    </w:rPr>
  </w:style>
  <w:style w:type="character" w:customStyle="1" w:styleId="Heading1Char">
    <w:name w:val="Heading 1 Char"/>
    <w:link w:val="Heading1"/>
    <w:uiPriority w:val="9"/>
    <w:rsid w:val="00723515"/>
    <w:rPr>
      <w:rFonts w:ascii="Arial" w:eastAsia="Times New Roman" w:hAnsi="Arial"/>
      <w:b/>
      <w:bCs/>
      <w:sz w:val="24"/>
      <w:szCs w:val="28"/>
      <w:lang w:eastAsia="en-US"/>
    </w:rPr>
  </w:style>
  <w:style w:type="paragraph" w:customStyle="1" w:styleId="NHSBSAPTHeading">
    <w:name w:val="NHSBSA P&amp;T Heading"/>
    <w:basedOn w:val="Heading1"/>
    <w:qFormat/>
    <w:rsid w:val="001C451D"/>
    <w:pPr>
      <w:keepLines w:val="0"/>
      <w:pBdr>
        <w:bottom w:val="single" w:sz="4" w:space="1" w:color="003893"/>
      </w:pBdr>
      <w:spacing w:before="0"/>
    </w:pPr>
    <w:rPr>
      <w:rFonts w:cs="Arial"/>
      <w:color w:val="003893"/>
      <w:kern w:val="32"/>
      <w:sz w:val="32"/>
      <w:szCs w:val="32"/>
      <w:lang w:eastAsia="en-GB"/>
    </w:rPr>
  </w:style>
  <w:style w:type="paragraph" w:customStyle="1" w:styleId="NHSBSAPT">
    <w:name w:val="NHSBSA P&amp;T"/>
    <w:basedOn w:val="Heading2"/>
    <w:qFormat/>
    <w:rsid w:val="001C451D"/>
    <w:pPr>
      <w:keepLines w:val="0"/>
      <w:spacing w:before="0"/>
    </w:pPr>
    <w:rPr>
      <w:rFonts w:cs="Arial"/>
      <w:iCs/>
      <w:color w:val="003893"/>
      <w:sz w:val="28"/>
      <w:szCs w:val="28"/>
      <w:lang w:eastAsia="en-GB"/>
    </w:rPr>
  </w:style>
  <w:style w:type="character" w:customStyle="1" w:styleId="Heading2Char">
    <w:name w:val="Heading 2 Char"/>
    <w:link w:val="Heading2"/>
    <w:uiPriority w:val="9"/>
    <w:rsid w:val="00DC3047"/>
    <w:rPr>
      <w:rFonts w:ascii="Arial" w:eastAsia="Times New Roman" w:hAnsi="Arial"/>
      <w:b/>
      <w:bCs/>
      <w:szCs w:val="26"/>
      <w:lang w:eastAsia="en-US"/>
    </w:rPr>
  </w:style>
  <w:style w:type="paragraph" w:customStyle="1" w:styleId="Chapter">
    <w:name w:val="Chapter"/>
    <w:basedOn w:val="Normal"/>
    <w:qFormat/>
    <w:rsid w:val="00A855E4"/>
    <w:pPr>
      <w:spacing w:after="0" w:line="240" w:lineRule="auto"/>
    </w:pPr>
    <w:rPr>
      <w:rFonts w:ascii="Arial" w:eastAsia="Times New Roman" w:hAnsi="Arial" w:cs="Arial"/>
      <w:b/>
      <w:color w:val="003893"/>
      <w:sz w:val="36"/>
      <w:szCs w:val="36"/>
    </w:rPr>
  </w:style>
  <w:style w:type="paragraph" w:styleId="BalloonText">
    <w:name w:val="Balloon Text"/>
    <w:basedOn w:val="Normal"/>
    <w:link w:val="BalloonTextChar"/>
    <w:uiPriority w:val="99"/>
    <w:semiHidden/>
    <w:unhideWhenUsed/>
    <w:rsid w:val="006729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72984"/>
    <w:rPr>
      <w:rFonts w:ascii="Tahoma" w:hAnsi="Tahoma" w:cs="Tahoma"/>
      <w:sz w:val="16"/>
      <w:szCs w:val="16"/>
    </w:rPr>
  </w:style>
  <w:style w:type="paragraph" w:styleId="Header">
    <w:name w:val="header"/>
    <w:basedOn w:val="Normal"/>
    <w:link w:val="HeaderChar"/>
    <w:uiPriority w:val="99"/>
    <w:unhideWhenUsed/>
    <w:rsid w:val="00672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984"/>
  </w:style>
  <w:style w:type="paragraph" w:styleId="Footer">
    <w:name w:val="footer"/>
    <w:basedOn w:val="Normal"/>
    <w:link w:val="FooterChar"/>
    <w:uiPriority w:val="99"/>
    <w:unhideWhenUsed/>
    <w:rsid w:val="00672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984"/>
  </w:style>
  <w:style w:type="table" w:styleId="TableGrid">
    <w:name w:val="Table Grid"/>
    <w:basedOn w:val="TableNormal"/>
    <w:uiPriority w:val="59"/>
    <w:rsid w:val="0089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823E6"/>
    <w:rPr>
      <w:color w:val="0000FF"/>
      <w:u w:val="single"/>
    </w:rPr>
  </w:style>
  <w:style w:type="character" w:styleId="FollowedHyperlink">
    <w:name w:val="FollowedHyperlink"/>
    <w:uiPriority w:val="99"/>
    <w:semiHidden/>
    <w:unhideWhenUsed/>
    <w:rsid w:val="00C823E6"/>
    <w:rPr>
      <w:color w:val="800080"/>
      <w:u w:val="single"/>
    </w:rPr>
  </w:style>
  <w:style w:type="paragraph" w:styleId="NormalWeb">
    <w:name w:val="Normal (Web)"/>
    <w:basedOn w:val="Normal"/>
    <w:uiPriority w:val="99"/>
    <w:unhideWhenUsed/>
    <w:rsid w:val="00A54DA2"/>
    <w:pPr>
      <w:spacing w:before="100" w:beforeAutospacing="1" w:after="100" w:afterAutospacing="1" w:line="240" w:lineRule="auto"/>
    </w:pPr>
    <w:rPr>
      <w:rFonts w:ascii="Times" w:hAnsi="Times"/>
      <w:sz w:val="20"/>
      <w:szCs w:val="20"/>
    </w:rPr>
  </w:style>
  <w:style w:type="paragraph" w:customStyle="1" w:styleId="ColorfulShading-Accent31">
    <w:name w:val="Colorful Shading - Accent 31"/>
    <w:basedOn w:val="Normal"/>
    <w:uiPriority w:val="34"/>
    <w:qFormat/>
    <w:rsid w:val="004C11F0"/>
    <w:pPr>
      <w:spacing w:after="0" w:line="240" w:lineRule="auto"/>
      <w:ind w:left="720"/>
      <w:contextualSpacing/>
    </w:pPr>
    <w:rPr>
      <w:rFonts w:ascii="Times" w:hAnsi="Times"/>
      <w:sz w:val="20"/>
      <w:szCs w:val="20"/>
    </w:rPr>
  </w:style>
  <w:style w:type="paragraph" w:customStyle="1" w:styleId="LightList-Accent31">
    <w:name w:val="Light List - Accent 31"/>
    <w:hidden/>
    <w:uiPriority w:val="71"/>
    <w:rsid w:val="00510F2E"/>
    <w:rPr>
      <w:sz w:val="22"/>
      <w:szCs w:val="22"/>
      <w:lang w:eastAsia="en-US"/>
    </w:rPr>
  </w:style>
  <w:style w:type="paragraph" w:customStyle="1" w:styleId="LightGrid-Accent31">
    <w:name w:val="Light Grid - Accent 31"/>
    <w:basedOn w:val="Normal"/>
    <w:uiPriority w:val="34"/>
    <w:qFormat/>
    <w:rsid w:val="00426E2B"/>
    <w:pPr>
      <w:ind w:left="720"/>
      <w:contextualSpacing/>
    </w:pPr>
  </w:style>
  <w:style w:type="paragraph" w:customStyle="1" w:styleId="MediumGrid1-Accent21">
    <w:name w:val="Medium Grid 1 - Accent 21"/>
    <w:basedOn w:val="Normal"/>
    <w:uiPriority w:val="34"/>
    <w:qFormat/>
    <w:rsid w:val="003B175D"/>
    <w:pPr>
      <w:ind w:left="720"/>
      <w:contextualSpacing/>
    </w:pPr>
  </w:style>
  <w:style w:type="table" w:customStyle="1" w:styleId="TableGrid1">
    <w:name w:val="Table Grid1"/>
    <w:basedOn w:val="TableNormal"/>
    <w:next w:val="TableGrid"/>
    <w:uiPriority w:val="59"/>
    <w:rsid w:val="00CD58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D58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58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2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022A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E75CC"/>
    <w:rPr>
      <w:sz w:val="16"/>
      <w:szCs w:val="16"/>
    </w:rPr>
  </w:style>
  <w:style w:type="paragraph" w:styleId="CommentText">
    <w:name w:val="annotation text"/>
    <w:basedOn w:val="Normal"/>
    <w:link w:val="CommentTextChar"/>
    <w:uiPriority w:val="99"/>
    <w:unhideWhenUsed/>
    <w:rsid w:val="00EE75CC"/>
    <w:rPr>
      <w:sz w:val="20"/>
      <w:szCs w:val="20"/>
    </w:rPr>
  </w:style>
  <w:style w:type="character" w:customStyle="1" w:styleId="CommentTextChar">
    <w:name w:val="Comment Text Char"/>
    <w:link w:val="CommentText"/>
    <w:uiPriority w:val="99"/>
    <w:rsid w:val="00EE75CC"/>
    <w:rPr>
      <w:lang w:eastAsia="en-US"/>
    </w:rPr>
  </w:style>
  <w:style w:type="paragraph" w:styleId="CommentSubject">
    <w:name w:val="annotation subject"/>
    <w:basedOn w:val="CommentText"/>
    <w:next w:val="CommentText"/>
    <w:link w:val="CommentSubjectChar"/>
    <w:uiPriority w:val="99"/>
    <w:semiHidden/>
    <w:unhideWhenUsed/>
    <w:rsid w:val="00EE75CC"/>
    <w:rPr>
      <w:b/>
      <w:bCs/>
    </w:rPr>
  </w:style>
  <w:style w:type="character" w:customStyle="1" w:styleId="CommentSubjectChar">
    <w:name w:val="Comment Subject Char"/>
    <w:link w:val="CommentSubject"/>
    <w:uiPriority w:val="99"/>
    <w:semiHidden/>
    <w:rsid w:val="00EE75CC"/>
    <w:rPr>
      <w:b/>
      <w:bCs/>
      <w:lang w:eastAsia="en-US"/>
    </w:rPr>
  </w:style>
  <w:style w:type="character" w:customStyle="1" w:styleId="apple-converted-space">
    <w:name w:val="apple-converted-space"/>
    <w:rsid w:val="00D273D4"/>
  </w:style>
  <w:style w:type="table" w:customStyle="1" w:styleId="TableGrid6">
    <w:name w:val="Table Grid6"/>
    <w:basedOn w:val="TableNormal"/>
    <w:next w:val="TableGrid"/>
    <w:uiPriority w:val="59"/>
    <w:rsid w:val="00727E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27E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27E5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3070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C17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C17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120B9B"/>
    <w:rPr>
      <w:rFonts w:ascii="Arial" w:eastAsia="Times New Roman" w:hAnsi="Arial" w:cs="Times New Roman"/>
      <w:b/>
      <w:bCs/>
      <w:sz w:val="24"/>
      <w:szCs w:val="26"/>
      <w:lang w:eastAsia="en-US"/>
    </w:rPr>
  </w:style>
  <w:style w:type="paragraph" w:styleId="TOCHeading">
    <w:name w:val="TOC Heading"/>
    <w:basedOn w:val="Heading1"/>
    <w:next w:val="Normal"/>
    <w:uiPriority w:val="39"/>
    <w:unhideWhenUsed/>
    <w:qFormat/>
    <w:rsid w:val="00120B9B"/>
    <w:pPr>
      <w:outlineLvl w:val="9"/>
    </w:pPr>
    <w:rPr>
      <w:rFonts w:ascii="Cambria" w:eastAsia="MS Gothic" w:hAnsi="Cambria"/>
      <w:color w:val="365F91"/>
      <w:lang w:val="en-US" w:eastAsia="ja-JP"/>
    </w:rPr>
  </w:style>
  <w:style w:type="paragraph" w:styleId="TOC1">
    <w:name w:val="toc 1"/>
    <w:basedOn w:val="Normal"/>
    <w:next w:val="Normal"/>
    <w:autoRedefine/>
    <w:uiPriority w:val="39"/>
    <w:unhideWhenUsed/>
    <w:rsid w:val="00120B9B"/>
  </w:style>
  <w:style w:type="paragraph" w:styleId="TOC2">
    <w:name w:val="toc 2"/>
    <w:basedOn w:val="Normal"/>
    <w:next w:val="Normal"/>
    <w:autoRedefine/>
    <w:uiPriority w:val="39"/>
    <w:unhideWhenUsed/>
    <w:rsid w:val="00EB75DD"/>
    <w:pPr>
      <w:tabs>
        <w:tab w:val="right" w:leader="dot" w:pos="9628"/>
      </w:tabs>
    </w:pPr>
    <w:rPr>
      <w:rFonts w:ascii="Arial" w:hAnsi="Arial" w:cs="Arial"/>
      <w:b/>
      <w:sz w:val="24"/>
      <w:szCs w:val="24"/>
    </w:rPr>
  </w:style>
  <w:style w:type="character" w:styleId="Strong">
    <w:name w:val="Strong"/>
    <w:uiPriority w:val="22"/>
    <w:qFormat/>
    <w:rsid w:val="00BA0B63"/>
    <w:rPr>
      <w:b/>
      <w:bCs/>
    </w:rPr>
  </w:style>
  <w:style w:type="paragraph" w:customStyle="1" w:styleId="BasicParagraph">
    <w:name w:val="[Basic Paragraph]"/>
    <w:basedOn w:val="Normal"/>
    <w:uiPriority w:val="99"/>
    <w:rsid w:val="00D03A86"/>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US"/>
    </w:rPr>
  </w:style>
  <w:style w:type="paragraph" w:customStyle="1" w:styleId="MediumGrid21">
    <w:name w:val="Medium Grid 21"/>
    <w:uiPriority w:val="99"/>
    <w:qFormat/>
    <w:rsid w:val="00A90B6D"/>
    <w:rPr>
      <w:sz w:val="22"/>
      <w:szCs w:val="22"/>
      <w:lang w:eastAsia="en-US"/>
    </w:rPr>
  </w:style>
  <w:style w:type="character" w:styleId="UnresolvedMention">
    <w:name w:val="Unresolved Mention"/>
    <w:uiPriority w:val="99"/>
    <w:semiHidden/>
    <w:unhideWhenUsed/>
    <w:rsid w:val="00B6566C"/>
    <w:rPr>
      <w:color w:val="605E5C"/>
      <w:shd w:val="clear" w:color="auto" w:fill="E1DFDD"/>
    </w:rPr>
  </w:style>
  <w:style w:type="paragraph" w:styleId="FootnoteText">
    <w:name w:val="footnote text"/>
    <w:basedOn w:val="Normal"/>
    <w:link w:val="FootnoteTextChar"/>
    <w:uiPriority w:val="99"/>
    <w:semiHidden/>
    <w:unhideWhenUsed/>
    <w:rsid w:val="00600E20"/>
    <w:rPr>
      <w:sz w:val="20"/>
      <w:szCs w:val="20"/>
    </w:rPr>
  </w:style>
  <w:style w:type="character" w:customStyle="1" w:styleId="FootnoteTextChar">
    <w:name w:val="Footnote Text Char"/>
    <w:link w:val="FootnoteText"/>
    <w:uiPriority w:val="99"/>
    <w:semiHidden/>
    <w:rsid w:val="00600E20"/>
    <w:rPr>
      <w:lang w:eastAsia="en-US"/>
    </w:rPr>
  </w:style>
  <w:style w:type="character" w:styleId="FootnoteReference">
    <w:name w:val="footnote reference"/>
    <w:uiPriority w:val="99"/>
    <w:semiHidden/>
    <w:unhideWhenUsed/>
    <w:rsid w:val="00600E20"/>
    <w:rPr>
      <w:vertAlign w:val="superscript"/>
    </w:rPr>
  </w:style>
  <w:style w:type="paragraph" w:styleId="ListParagraph">
    <w:name w:val="List Paragraph"/>
    <w:basedOn w:val="Normal"/>
    <w:uiPriority w:val="63"/>
    <w:qFormat/>
    <w:rsid w:val="00361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7876">
      <w:bodyDiv w:val="1"/>
      <w:marLeft w:val="0"/>
      <w:marRight w:val="0"/>
      <w:marTop w:val="0"/>
      <w:marBottom w:val="0"/>
      <w:divBdr>
        <w:top w:val="none" w:sz="0" w:space="0" w:color="auto"/>
        <w:left w:val="none" w:sz="0" w:space="0" w:color="auto"/>
        <w:bottom w:val="none" w:sz="0" w:space="0" w:color="auto"/>
        <w:right w:val="none" w:sz="0" w:space="0" w:color="auto"/>
      </w:divBdr>
    </w:div>
    <w:div w:id="28922868">
      <w:bodyDiv w:val="1"/>
      <w:marLeft w:val="0"/>
      <w:marRight w:val="0"/>
      <w:marTop w:val="0"/>
      <w:marBottom w:val="0"/>
      <w:divBdr>
        <w:top w:val="none" w:sz="0" w:space="0" w:color="auto"/>
        <w:left w:val="none" w:sz="0" w:space="0" w:color="auto"/>
        <w:bottom w:val="none" w:sz="0" w:space="0" w:color="auto"/>
        <w:right w:val="none" w:sz="0" w:space="0" w:color="auto"/>
      </w:divBdr>
    </w:div>
    <w:div w:id="41826681">
      <w:bodyDiv w:val="1"/>
      <w:marLeft w:val="0"/>
      <w:marRight w:val="0"/>
      <w:marTop w:val="0"/>
      <w:marBottom w:val="0"/>
      <w:divBdr>
        <w:top w:val="none" w:sz="0" w:space="0" w:color="auto"/>
        <w:left w:val="none" w:sz="0" w:space="0" w:color="auto"/>
        <w:bottom w:val="none" w:sz="0" w:space="0" w:color="auto"/>
        <w:right w:val="none" w:sz="0" w:space="0" w:color="auto"/>
      </w:divBdr>
    </w:div>
    <w:div w:id="64573597">
      <w:bodyDiv w:val="1"/>
      <w:marLeft w:val="0"/>
      <w:marRight w:val="0"/>
      <w:marTop w:val="0"/>
      <w:marBottom w:val="0"/>
      <w:divBdr>
        <w:top w:val="none" w:sz="0" w:space="0" w:color="auto"/>
        <w:left w:val="none" w:sz="0" w:space="0" w:color="auto"/>
        <w:bottom w:val="none" w:sz="0" w:space="0" w:color="auto"/>
        <w:right w:val="none" w:sz="0" w:space="0" w:color="auto"/>
      </w:divBdr>
    </w:div>
    <w:div w:id="74597984">
      <w:bodyDiv w:val="1"/>
      <w:marLeft w:val="0"/>
      <w:marRight w:val="0"/>
      <w:marTop w:val="0"/>
      <w:marBottom w:val="0"/>
      <w:divBdr>
        <w:top w:val="none" w:sz="0" w:space="0" w:color="auto"/>
        <w:left w:val="none" w:sz="0" w:space="0" w:color="auto"/>
        <w:bottom w:val="none" w:sz="0" w:space="0" w:color="auto"/>
        <w:right w:val="none" w:sz="0" w:space="0" w:color="auto"/>
      </w:divBdr>
      <w:divsChild>
        <w:div w:id="933704819">
          <w:marLeft w:val="0"/>
          <w:marRight w:val="0"/>
          <w:marTop w:val="0"/>
          <w:marBottom w:val="0"/>
          <w:divBdr>
            <w:top w:val="none" w:sz="0" w:space="0" w:color="auto"/>
            <w:left w:val="none" w:sz="0" w:space="0" w:color="auto"/>
            <w:bottom w:val="none" w:sz="0" w:space="0" w:color="auto"/>
            <w:right w:val="none" w:sz="0" w:space="0" w:color="auto"/>
          </w:divBdr>
          <w:divsChild>
            <w:div w:id="956104905">
              <w:marLeft w:val="0"/>
              <w:marRight w:val="0"/>
              <w:marTop w:val="0"/>
              <w:marBottom w:val="0"/>
              <w:divBdr>
                <w:top w:val="none" w:sz="0" w:space="0" w:color="auto"/>
                <w:left w:val="none" w:sz="0" w:space="0" w:color="auto"/>
                <w:bottom w:val="none" w:sz="0" w:space="0" w:color="auto"/>
                <w:right w:val="none" w:sz="0" w:space="0" w:color="auto"/>
              </w:divBdr>
            </w:div>
          </w:divsChild>
        </w:div>
        <w:div w:id="704674191">
          <w:marLeft w:val="0"/>
          <w:marRight w:val="0"/>
          <w:marTop w:val="0"/>
          <w:marBottom w:val="0"/>
          <w:divBdr>
            <w:top w:val="none" w:sz="0" w:space="0" w:color="auto"/>
            <w:left w:val="none" w:sz="0" w:space="0" w:color="auto"/>
            <w:bottom w:val="none" w:sz="0" w:space="0" w:color="auto"/>
            <w:right w:val="none" w:sz="0" w:space="0" w:color="auto"/>
          </w:divBdr>
        </w:div>
      </w:divsChild>
    </w:div>
    <w:div w:id="98062394">
      <w:bodyDiv w:val="1"/>
      <w:marLeft w:val="0"/>
      <w:marRight w:val="0"/>
      <w:marTop w:val="0"/>
      <w:marBottom w:val="0"/>
      <w:divBdr>
        <w:top w:val="none" w:sz="0" w:space="0" w:color="auto"/>
        <w:left w:val="none" w:sz="0" w:space="0" w:color="auto"/>
        <w:bottom w:val="none" w:sz="0" w:space="0" w:color="auto"/>
        <w:right w:val="none" w:sz="0" w:space="0" w:color="auto"/>
      </w:divBdr>
    </w:div>
    <w:div w:id="120072696">
      <w:bodyDiv w:val="1"/>
      <w:marLeft w:val="0"/>
      <w:marRight w:val="0"/>
      <w:marTop w:val="0"/>
      <w:marBottom w:val="0"/>
      <w:divBdr>
        <w:top w:val="none" w:sz="0" w:space="0" w:color="auto"/>
        <w:left w:val="none" w:sz="0" w:space="0" w:color="auto"/>
        <w:bottom w:val="none" w:sz="0" w:space="0" w:color="auto"/>
        <w:right w:val="none" w:sz="0" w:space="0" w:color="auto"/>
      </w:divBdr>
    </w:div>
    <w:div w:id="138041074">
      <w:bodyDiv w:val="1"/>
      <w:marLeft w:val="0"/>
      <w:marRight w:val="0"/>
      <w:marTop w:val="0"/>
      <w:marBottom w:val="0"/>
      <w:divBdr>
        <w:top w:val="none" w:sz="0" w:space="0" w:color="auto"/>
        <w:left w:val="none" w:sz="0" w:space="0" w:color="auto"/>
        <w:bottom w:val="none" w:sz="0" w:space="0" w:color="auto"/>
        <w:right w:val="none" w:sz="0" w:space="0" w:color="auto"/>
      </w:divBdr>
      <w:divsChild>
        <w:div w:id="1577930984">
          <w:marLeft w:val="0"/>
          <w:marRight w:val="0"/>
          <w:marTop w:val="0"/>
          <w:marBottom w:val="0"/>
          <w:divBdr>
            <w:top w:val="none" w:sz="0" w:space="0" w:color="auto"/>
            <w:left w:val="none" w:sz="0" w:space="0" w:color="auto"/>
            <w:bottom w:val="none" w:sz="0" w:space="0" w:color="auto"/>
            <w:right w:val="none" w:sz="0" w:space="0" w:color="auto"/>
          </w:divBdr>
          <w:divsChild>
            <w:div w:id="1523392790">
              <w:marLeft w:val="0"/>
              <w:marRight w:val="0"/>
              <w:marTop w:val="0"/>
              <w:marBottom w:val="0"/>
              <w:divBdr>
                <w:top w:val="none" w:sz="0" w:space="0" w:color="auto"/>
                <w:left w:val="none" w:sz="0" w:space="0" w:color="auto"/>
                <w:bottom w:val="none" w:sz="0" w:space="0" w:color="auto"/>
                <w:right w:val="none" w:sz="0" w:space="0" w:color="auto"/>
              </w:divBdr>
            </w:div>
          </w:divsChild>
        </w:div>
        <w:div w:id="1934701545">
          <w:marLeft w:val="0"/>
          <w:marRight w:val="0"/>
          <w:marTop w:val="0"/>
          <w:marBottom w:val="0"/>
          <w:divBdr>
            <w:top w:val="none" w:sz="0" w:space="0" w:color="auto"/>
            <w:left w:val="none" w:sz="0" w:space="0" w:color="auto"/>
            <w:bottom w:val="none" w:sz="0" w:space="0" w:color="auto"/>
            <w:right w:val="none" w:sz="0" w:space="0" w:color="auto"/>
          </w:divBdr>
        </w:div>
      </w:divsChild>
    </w:div>
    <w:div w:id="144319771">
      <w:bodyDiv w:val="1"/>
      <w:marLeft w:val="0"/>
      <w:marRight w:val="0"/>
      <w:marTop w:val="0"/>
      <w:marBottom w:val="0"/>
      <w:divBdr>
        <w:top w:val="none" w:sz="0" w:space="0" w:color="auto"/>
        <w:left w:val="none" w:sz="0" w:space="0" w:color="auto"/>
        <w:bottom w:val="none" w:sz="0" w:space="0" w:color="auto"/>
        <w:right w:val="none" w:sz="0" w:space="0" w:color="auto"/>
      </w:divBdr>
    </w:div>
    <w:div w:id="146091220">
      <w:bodyDiv w:val="1"/>
      <w:marLeft w:val="0"/>
      <w:marRight w:val="0"/>
      <w:marTop w:val="0"/>
      <w:marBottom w:val="0"/>
      <w:divBdr>
        <w:top w:val="none" w:sz="0" w:space="0" w:color="auto"/>
        <w:left w:val="none" w:sz="0" w:space="0" w:color="auto"/>
        <w:bottom w:val="none" w:sz="0" w:space="0" w:color="auto"/>
        <w:right w:val="none" w:sz="0" w:space="0" w:color="auto"/>
      </w:divBdr>
    </w:div>
    <w:div w:id="146094208">
      <w:bodyDiv w:val="1"/>
      <w:marLeft w:val="0"/>
      <w:marRight w:val="0"/>
      <w:marTop w:val="0"/>
      <w:marBottom w:val="0"/>
      <w:divBdr>
        <w:top w:val="none" w:sz="0" w:space="0" w:color="auto"/>
        <w:left w:val="none" w:sz="0" w:space="0" w:color="auto"/>
        <w:bottom w:val="none" w:sz="0" w:space="0" w:color="auto"/>
        <w:right w:val="none" w:sz="0" w:space="0" w:color="auto"/>
      </w:divBdr>
      <w:divsChild>
        <w:div w:id="396513647">
          <w:marLeft w:val="0"/>
          <w:marRight w:val="0"/>
          <w:marTop w:val="0"/>
          <w:marBottom w:val="0"/>
          <w:divBdr>
            <w:top w:val="none" w:sz="0" w:space="0" w:color="auto"/>
            <w:left w:val="none" w:sz="0" w:space="0" w:color="auto"/>
            <w:bottom w:val="none" w:sz="0" w:space="0" w:color="auto"/>
            <w:right w:val="none" w:sz="0" w:space="0" w:color="auto"/>
          </w:divBdr>
          <w:divsChild>
            <w:div w:id="748575387">
              <w:marLeft w:val="0"/>
              <w:marRight w:val="0"/>
              <w:marTop w:val="0"/>
              <w:marBottom w:val="0"/>
              <w:divBdr>
                <w:top w:val="none" w:sz="0" w:space="0" w:color="auto"/>
                <w:left w:val="none" w:sz="0" w:space="0" w:color="auto"/>
                <w:bottom w:val="none" w:sz="0" w:space="0" w:color="auto"/>
                <w:right w:val="none" w:sz="0" w:space="0" w:color="auto"/>
              </w:divBdr>
            </w:div>
          </w:divsChild>
        </w:div>
        <w:div w:id="915356042">
          <w:marLeft w:val="0"/>
          <w:marRight w:val="0"/>
          <w:marTop w:val="0"/>
          <w:marBottom w:val="0"/>
          <w:divBdr>
            <w:top w:val="none" w:sz="0" w:space="0" w:color="auto"/>
            <w:left w:val="none" w:sz="0" w:space="0" w:color="auto"/>
            <w:bottom w:val="none" w:sz="0" w:space="0" w:color="auto"/>
            <w:right w:val="none" w:sz="0" w:space="0" w:color="auto"/>
          </w:divBdr>
        </w:div>
      </w:divsChild>
    </w:div>
    <w:div w:id="151335992">
      <w:bodyDiv w:val="1"/>
      <w:marLeft w:val="0"/>
      <w:marRight w:val="0"/>
      <w:marTop w:val="0"/>
      <w:marBottom w:val="0"/>
      <w:divBdr>
        <w:top w:val="none" w:sz="0" w:space="0" w:color="auto"/>
        <w:left w:val="none" w:sz="0" w:space="0" w:color="auto"/>
        <w:bottom w:val="none" w:sz="0" w:space="0" w:color="auto"/>
        <w:right w:val="none" w:sz="0" w:space="0" w:color="auto"/>
      </w:divBdr>
    </w:div>
    <w:div w:id="178356129">
      <w:bodyDiv w:val="1"/>
      <w:marLeft w:val="0"/>
      <w:marRight w:val="0"/>
      <w:marTop w:val="0"/>
      <w:marBottom w:val="0"/>
      <w:divBdr>
        <w:top w:val="none" w:sz="0" w:space="0" w:color="auto"/>
        <w:left w:val="none" w:sz="0" w:space="0" w:color="auto"/>
        <w:bottom w:val="none" w:sz="0" w:space="0" w:color="auto"/>
        <w:right w:val="none" w:sz="0" w:space="0" w:color="auto"/>
      </w:divBdr>
    </w:div>
    <w:div w:id="230821440">
      <w:bodyDiv w:val="1"/>
      <w:marLeft w:val="0"/>
      <w:marRight w:val="0"/>
      <w:marTop w:val="0"/>
      <w:marBottom w:val="0"/>
      <w:divBdr>
        <w:top w:val="none" w:sz="0" w:space="0" w:color="auto"/>
        <w:left w:val="none" w:sz="0" w:space="0" w:color="auto"/>
        <w:bottom w:val="none" w:sz="0" w:space="0" w:color="auto"/>
        <w:right w:val="none" w:sz="0" w:space="0" w:color="auto"/>
      </w:divBdr>
    </w:div>
    <w:div w:id="263345150">
      <w:bodyDiv w:val="1"/>
      <w:marLeft w:val="0"/>
      <w:marRight w:val="0"/>
      <w:marTop w:val="0"/>
      <w:marBottom w:val="0"/>
      <w:divBdr>
        <w:top w:val="none" w:sz="0" w:space="0" w:color="auto"/>
        <w:left w:val="none" w:sz="0" w:space="0" w:color="auto"/>
        <w:bottom w:val="none" w:sz="0" w:space="0" w:color="auto"/>
        <w:right w:val="none" w:sz="0" w:space="0" w:color="auto"/>
      </w:divBdr>
    </w:div>
    <w:div w:id="315765098">
      <w:bodyDiv w:val="1"/>
      <w:marLeft w:val="0"/>
      <w:marRight w:val="0"/>
      <w:marTop w:val="0"/>
      <w:marBottom w:val="0"/>
      <w:divBdr>
        <w:top w:val="none" w:sz="0" w:space="0" w:color="auto"/>
        <w:left w:val="none" w:sz="0" w:space="0" w:color="auto"/>
        <w:bottom w:val="none" w:sz="0" w:space="0" w:color="auto"/>
        <w:right w:val="none" w:sz="0" w:space="0" w:color="auto"/>
      </w:divBdr>
    </w:div>
    <w:div w:id="318850587">
      <w:bodyDiv w:val="1"/>
      <w:marLeft w:val="0"/>
      <w:marRight w:val="0"/>
      <w:marTop w:val="0"/>
      <w:marBottom w:val="0"/>
      <w:divBdr>
        <w:top w:val="none" w:sz="0" w:space="0" w:color="auto"/>
        <w:left w:val="none" w:sz="0" w:space="0" w:color="auto"/>
        <w:bottom w:val="none" w:sz="0" w:space="0" w:color="auto"/>
        <w:right w:val="none" w:sz="0" w:space="0" w:color="auto"/>
      </w:divBdr>
    </w:div>
    <w:div w:id="330449351">
      <w:bodyDiv w:val="1"/>
      <w:marLeft w:val="0"/>
      <w:marRight w:val="0"/>
      <w:marTop w:val="0"/>
      <w:marBottom w:val="0"/>
      <w:divBdr>
        <w:top w:val="none" w:sz="0" w:space="0" w:color="auto"/>
        <w:left w:val="none" w:sz="0" w:space="0" w:color="auto"/>
        <w:bottom w:val="none" w:sz="0" w:space="0" w:color="auto"/>
        <w:right w:val="none" w:sz="0" w:space="0" w:color="auto"/>
      </w:divBdr>
    </w:div>
    <w:div w:id="339551991">
      <w:bodyDiv w:val="1"/>
      <w:marLeft w:val="0"/>
      <w:marRight w:val="0"/>
      <w:marTop w:val="0"/>
      <w:marBottom w:val="0"/>
      <w:divBdr>
        <w:top w:val="none" w:sz="0" w:space="0" w:color="auto"/>
        <w:left w:val="none" w:sz="0" w:space="0" w:color="auto"/>
        <w:bottom w:val="none" w:sz="0" w:space="0" w:color="auto"/>
        <w:right w:val="none" w:sz="0" w:space="0" w:color="auto"/>
      </w:divBdr>
    </w:div>
    <w:div w:id="357463531">
      <w:bodyDiv w:val="1"/>
      <w:marLeft w:val="0"/>
      <w:marRight w:val="0"/>
      <w:marTop w:val="0"/>
      <w:marBottom w:val="0"/>
      <w:divBdr>
        <w:top w:val="none" w:sz="0" w:space="0" w:color="auto"/>
        <w:left w:val="none" w:sz="0" w:space="0" w:color="auto"/>
        <w:bottom w:val="none" w:sz="0" w:space="0" w:color="auto"/>
        <w:right w:val="none" w:sz="0" w:space="0" w:color="auto"/>
      </w:divBdr>
    </w:div>
    <w:div w:id="377777656">
      <w:bodyDiv w:val="1"/>
      <w:marLeft w:val="0"/>
      <w:marRight w:val="0"/>
      <w:marTop w:val="0"/>
      <w:marBottom w:val="0"/>
      <w:divBdr>
        <w:top w:val="none" w:sz="0" w:space="0" w:color="auto"/>
        <w:left w:val="none" w:sz="0" w:space="0" w:color="auto"/>
        <w:bottom w:val="none" w:sz="0" w:space="0" w:color="auto"/>
        <w:right w:val="none" w:sz="0" w:space="0" w:color="auto"/>
      </w:divBdr>
    </w:div>
    <w:div w:id="413860283">
      <w:bodyDiv w:val="1"/>
      <w:marLeft w:val="0"/>
      <w:marRight w:val="0"/>
      <w:marTop w:val="0"/>
      <w:marBottom w:val="0"/>
      <w:divBdr>
        <w:top w:val="none" w:sz="0" w:space="0" w:color="auto"/>
        <w:left w:val="none" w:sz="0" w:space="0" w:color="auto"/>
        <w:bottom w:val="none" w:sz="0" w:space="0" w:color="auto"/>
        <w:right w:val="none" w:sz="0" w:space="0" w:color="auto"/>
      </w:divBdr>
    </w:div>
    <w:div w:id="477115941">
      <w:bodyDiv w:val="1"/>
      <w:marLeft w:val="0"/>
      <w:marRight w:val="0"/>
      <w:marTop w:val="0"/>
      <w:marBottom w:val="0"/>
      <w:divBdr>
        <w:top w:val="none" w:sz="0" w:space="0" w:color="auto"/>
        <w:left w:val="none" w:sz="0" w:space="0" w:color="auto"/>
        <w:bottom w:val="none" w:sz="0" w:space="0" w:color="auto"/>
        <w:right w:val="none" w:sz="0" w:space="0" w:color="auto"/>
      </w:divBdr>
    </w:div>
    <w:div w:id="478111559">
      <w:bodyDiv w:val="1"/>
      <w:marLeft w:val="0"/>
      <w:marRight w:val="0"/>
      <w:marTop w:val="0"/>
      <w:marBottom w:val="0"/>
      <w:divBdr>
        <w:top w:val="none" w:sz="0" w:space="0" w:color="auto"/>
        <w:left w:val="none" w:sz="0" w:space="0" w:color="auto"/>
        <w:bottom w:val="none" w:sz="0" w:space="0" w:color="auto"/>
        <w:right w:val="none" w:sz="0" w:space="0" w:color="auto"/>
      </w:divBdr>
    </w:div>
    <w:div w:id="480074028">
      <w:bodyDiv w:val="1"/>
      <w:marLeft w:val="0"/>
      <w:marRight w:val="0"/>
      <w:marTop w:val="0"/>
      <w:marBottom w:val="0"/>
      <w:divBdr>
        <w:top w:val="none" w:sz="0" w:space="0" w:color="auto"/>
        <w:left w:val="none" w:sz="0" w:space="0" w:color="auto"/>
        <w:bottom w:val="none" w:sz="0" w:space="0" w:color="auto"/>
        <w:right w:val="none" w:sz="0" w:space="0" w:color="auto"/>
      </w:divBdr>
    </w:div>
    <w:div w:id="502163546">
      <w:bodyDiv w:val="1"/>
      <w:marLeft w:val="0"/>
      <w:marRight w:val="0"/>
      <w:marTop w:val="0"/>
      <w:marBottom w:val="0"/>
      <w:divBdr>
        <w:top w:val="none" w:sz="0" w:space="0" w:color="auto"/>
        <w:left w:val="none" w:sz="0" w:space="0" w:color="auto"/>
        <w:bottom w:val="none" w:sz="0" w:space="0" w:color="auto"/>
        <w:right w:val="none" w:sz="0" w:space="0" w:color="auto"/>
      </w:divBdr>
    </w:div>
    <w:div w:id="513110992">
      <w:bodyDiv w:val="1"/>
      <w:marLeft w:val="0"/>
      <w:marRight w:val="0"/>
      <w:marTop w:val="0"/>
      <w:marBottom w:val="0"/>
      <w:divBdr>
        <w:top w:val="none" w:sz="0" w:space="0" w:color="auto"/>
        <w:left w:val="none" w:sz="0" w:space="0" w:color="auto"/>
        <w:bottom w:val="none" w:sz="0" w:space="0" w:color="auto"/>
        <w:right w:val="none" w:sz="0" w:space="0" w:color="auto"/>
      </w:divBdr>
    </w:div>
    <w:div w:id="531190220">
      <w:bodyDiv w:val="1"/>
      <w:marLeft w:val="0"/>
      <w:marRight w:val="0"/>
      <w:marTop w:val="0"/>
      <w:marBottom w:val="0"/>
      <w:divBdr>
        <w:top w:val="none" w:sz="0" w:space="0" w:color="auto"/>
        <w:left w:val="none" w:sz="0" w:space="0" w:color="auto"/>
        <w:bottom w:val="none" w:sz="0" w:space="0" w:color="auto"/>
        <w:right w:val="none" w:sz="0" w:space="0" w:color="auto"/>
      </w:divBdr>
    </w:div>
    <w:div w:id="569072432">
      <w:bodyDiv w:val="1"/>
      <w:marLeft w:val="0"/>
      <w:marRight w:val="0"/>
      <w:marTop w:val="0"/>
      <w:marBottom w:val="0"/>
      <w:divBdr>
        <w:top w:val="none" w:sz="0" w:space="0" w:color="auto"/>
        <w:left w:val="none" w:sz="0" w:space="0" w:color="auto"/>
        <w:bottom w:val="none" w:sz="0" w:space="0" w:color="auto"/>
        <w:right w:val="none" w:sz="0" w:space="0" w:color="auto"/>
      </w:divBdr>
    </w:div>
    <w:div w:id="570965722">
      <w:bodyDiv w:val="1"/>
      <w:marLeft w:val="0"/>
      <w:marRight w:val="0"/>
      <w:marTop w:val="0"/>
      <w:marBottom w:val="0"/>
      <w:divBdr>
        <w:top w:val="none" w:sz="0" w:space="0" w:color="auto"/>
        <w:left w:val="none" w:sz="0" w:space="0" w:color="auto"/>
        <w:bottom w:val="none" w:sz="0" w:space="0" w:color="auto"/>
        <w:right w:val="none" w:sz="0" w:space="0" w:color="auto"/>
      </w:divBdr>
    </w:div>
    <w:div w:id="586156737">
      <w:bodyDiv w:val="1"/>
      <w:marLeft w:val="0"/>
      <w:marRight w:val="0"/>
      <w:marTop w:val="0"/>
      <w:marBottom w:val="0"/>
      <w:divBdr>
        <w:top w:val="none" w:sz="0" w:space="0" w:color="auto"/>
        <w:left w:val="none" w:sz="0" w:space="0" w:color="auto"/>
        <w:bottom w:val="none" w:sz="0" w:space="0" w:color="auto"/>
        <w:right w:val="none" w:sz="0" w:space="0" w:color="auto"/>
      </w:divBdr>
    </w:div>
    <w:div w:id="599487675">
      <w:bodyDiv w:val="1"/>
      <w:marLeft w:val="0"/>
      <w:marRight w:val="0"/>
      <w:marTop w:val="0"/>
      <w:marBottom w:val="0"/>
      <w:divBdr>
        <w:top w:val="none" w:sz="0" w:space="0" w:color="auto"/>
        <w:left w:val="none" w:sz="0" w:space="0" w:color="auto"/>
        <w:bottom w:val="none" w:sz="0" w:space="0" w:color="auto"/>
        <w:right w:val="none" w:sz="0" w:space="0" w:color="auto"/>
      </w:divBdr>
      <w:divsChild>
        <w:div w:id="250168836">
          <w:marLeft w:val="0"/>
          <w:marRight w:val="0"/>
          <w:marTop w:val="100"/>
          <w:marBottom w:val="100"/>
          <w:divBdr>
            <w:top w:val="none" w:sz="0" w:space="0" w:color="auto"/>
            <w:left w:val="none" w:sz="0" w:space="0" w:color="auto"/>
            <w:bottom w:val="none" w:sz="0" w:space="0" w:color="auto"/>
            <w:right w:val="none" w:sz="0" w:space="0" w:color="auto"/>
          </w:divBdr>
          <w:divsChild>
            <w:div w:id="21422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30787">
      <w:bodyDiv w:val="1"/>
      <w:marLeft w:val="0"/>
      <w:marRight w:val="0"/>
      <w:marTop w:val="0"/>
      <w:marBottom w:val="0"/>
      <w:divBdr>
        <w:top w:val="none" w:sz="0" w:space="0" w:color="auto"/>
        <w:left w:val="none" w:sz="0" w:space="0" w:color="auto"/>
        <w:bottom w:val="none" w:sz="0" w:space="0" w:color="auto"/>
        <w:right w:val="none" w:sz="0" w:space="0" w:color="auto"/>
      </w:divBdr>
    </w:div>
    <w:div w:id="722293294">
      <w:bodyDiv w:val="1"/>
      <w:marLeft w:val="0"/>
      <w:marRight w:val="0"/>
      <w:marTop w:val="0"/>
      <w:marBottom w:val="0"/>
      <w:divBdr>
        <w:top w:val="none" w:sz="0" w:space="0" w:color="auto"/>
        <w:left w:val="none" w:sz="0" w:space="0" w:color="auto"/>
        <w:bottom w:val="none" w:sz="0" w:space="0" w:color="auto"/>
        <w:right w:val="none" w:sz="0" w:space="0" w:color="auto"/>
      </w:divBdr>
    </w:div>
    <w:div w:id="746612969">
      <w:bodyDiv w:val="1"/>
      <w:marLeft w:val="0"/>
      <w:marRight w:val="0"/>
      <w:marTop w:val="0"/>
      <w:marBottom w:val="0"/>
      <w:divBdr>
        <w:top w:val="none" w:sz="0" w:space="0" w:color="auto"/>
        <w:left w:val="none" w:sz="0" w:space="0" w:color="auto"/>
        <w:bottom w:val="none" w:sz="0" w:space="0" w:color="auto"/>
        <w:right w:val="none" w:sz="0" w:space="0" w:color="auto"/>
      </w:divBdr>
    </w:div>
    <w:div w:id="748161508">
      <w:bodyDiv w:val="1"/>
      <w:marLeft w:val="0"/>
      <w:marRight w:val="0"/>
      <w:marTop w:val="0"/>
      <w:marBottom w:val="0"/>
      <w:divBdr>
        <w:top w:val="none" w:sz="0" w:space="0" w:color="auto"/>
        <w:left w:val="none" w:sz="0" w:space="0" w:color="auto"/>
        <w:bottom w:val="none" w:sz="0" w:space="0" w:color="auto"/>
        <w:right w:val="none" w:sz="0" w:space="0" w:color="auto"/>
      </w:divBdr>
    </w:div>
    <w:div w:id="754982206">
      <w:bodyDiv w:val="1"/>
      <w:marLeft w:val="0"/>
      <w:marRight w:val="0"/>
      <w:marTop w:val="0"/>
      <w:marBottom w:val="0"/>
      <w:divBdr>
        <w:top w:val="none" w:sz="0" w:space="0" w:color="auto"/>
        <w:left w:val="none" w:sz="0" w:space="0" w:color="auto"/>
        <w:bottom w:val="none" w:sz="0" w:space="0" w:color="auto"/>
        <w:right w:val="none" w:sz="0" w:space="0" w:color="auto"/>
      </w:divBdr>
    </w:div>
    <w:div w:id="759066964">
      <w:bodyDiv w:val="1"/>
      <w:marLeft w:val="0"/>
      <w:marRight w:val="0"/>
      <w:marTop w:val="0"/>
      <w:marBottom w:val="0"/>
      <w:divBdr>
        <w:top w:val="none" w:sz="0" w:space="0" w:color="auto"/>
        <w:left w:val="none" w:sz="0" w:space="0" w:color="auto"/>
        <w:bottom w:val="none" w:sz="0" w:space="0" w:color="auto"/>
        <w:right w:val="none" w:sz="0" w:space="0" w:color="auto"/>
      </w:divBdr>
    </w:div>
    <w:div w:id="778648037">
      <w:bodyDiv w:val="1"/>
      <w:marLeft w:val="0"/>
      <w:marRight w:val="0"/>
      <w:marTop w:val="0"/>
      <w:marBottom w:val="0"/>
      <w:divBdr>
        <w:top w:val="none" w:sz="0" w:space="0" w:color="auto"/>
        <w:left w:val="none" w:sz="0" w:space="0" w:color="auto"/>
        <w:bottom w:val="none" w:sz="0" w:space="0" w:color="auto"/>
        <w:right w:val="none" w:sz="0" w:space="0" w:color="auto"/>
      </w:divBdr>
    </w:div>
    <w:div w:id="780341677">
      <w:bodyDiv w:val="1"/>
      <w:marLeft w:val="0"/>
      <w:marRight w:val="0"/>
      <w:marTop w:val="0"/>
      <w:marBottom w:val="0"/>
      <w:divBdr>
        <w:top w:val="none" w:sz="0" w:space="0" w:color="auto"/>
        <w:left w:val="none" w:sz="0" w:space="0" w:color="auto"/>
        <w:bottom w:val="none" w:sz="0" w:space="0" w:color="auto"/>
        <w:right w:val="none" w:sz="0" w:space="0" w:color="auto"/>
      </w:divBdr>
      <w:divsChild>
        <w:div w:id="276183856">
          <w:marLeft w:val="1166"/>
          <w:marRight w:val="0"/>
          <w:marTop w:val="96"/>
          <w:marBottom w:val="0"/>
          <w:divBdr>
            <w:top w:val="none" w:sz="0" w:space="0" w:color="auto"/>
            <w:left w:val="none" w:sz="0" w:space="0" w:color="auto"/>
            <w:bottom w:val="none" w:sz="0" w:space="0" w:color="auto"/>
            <w:right w:val="none" w:sz="0" w:space="0" w:color="auto"/>
          </w:divBdr>
        </w:div>
        <w:div w:id="1005866910">
          <w:marLeft w:val="547"/>
          <w:marRight w:val="0"/>
          <w:marTop w:val="115"/>
          <w:marBottom w:val="0"/>
          <w:divBdr>
            <w:top w:val="none" w:sz="0" w:space="0" w:color="auto"/>
            <w:left w:val="none" w:sz="0" w:space="0" w:color="auto"/>
            <w:bottom w:val="none" w:sz="0" w:space="0" w:color="auto"/>
            <w:right w:val="none" w:sz="0" w:space="0" w:color="auto"/>
          </w:divBdr>
        </w:div>
        <w:div w:id="1591156479">
          <w:marLeft w:val="1166"/>
          <w:marRight w:val="0"/>
          <w:marTop w:val="96"/>
          <w:marBottom w:val="0"/>
          <w:divBdr>
            <w:top w:val="none" w:sz="0" w:space="0" w:color="auto"/>
            <w:left w:val="none" w:sz="0" w:space="0" w:color="auto"/>
            <w:bottom w:val="none" w:sz="0" w:space="0" w:color="auto"/>
            <w:right w:val="none" w:sz="0" w:space="0" w:color="auto"/>
          </w:divBdr>
        </w:div>
      </w:divsChild>
    </w:div>
    <w:div w:id="862985410">
      <w:bodyDiv w:val="1"/>
      <w:marLeft w:val="0"/>
      <w:marRight w:val="0"/>
      <w:marTop w:val="0"/>
      <w:marBottom w:val="0"/>
      <w:divBdr>
        <w:top w:val="none" w:sz="0" w:space="0" w:color="auto"/>
        <w:left w:val="none" w:sz="0" w:space="0" w:color="auto"/>
        <w:bottom w:val="none" w:sz="0" w:space="0" w:color="auto"/>
        <w:right w:val="none" w:sz="0" w:space="0" w:color="auto"/>
      </w:divBdr>
    </w:div>
    <w:div w:id="886333285">
      <w:bodyDiv w:val="1"/>
      <w:marLeft w:val="0"/>
      <w:marRight w:val="0"/>
      <w:marTop w:val="0"/>
      <w:marBottom w:val="0"/>
      <w:divBdr>
        <w:top w:val="none" w:sz="0" w:space="0" w:color="auto"/>
        <w:left w:val="none" w:sz="0" w:space="0" w:color="auto"/>
        <w:bottom w:val="none" w:sz="0" w:space="0" w:color="auto"/>
        <w:right w:val="none" w:sz="0" w:space="0" w:color="auto"/>
      </w:divBdr>
    </w:div>
    <w:div w:id="936787060">
      <w:bodyDiv w:val="1"/>
      <w:marLeft w:val="0"/>
      <w:marRight w:val="0"/>
      <w:marTop w:val="0"/>
      <w:marBottom w:val="0"/>
      <w:divBdr>
        <w:top w:val="none" w:sz="0" w:space="0" w:color="auto"/>
        <w:left w:val="none" w:sz="0" w:space="0" w:color="auto"/>
        <w:bottom w:val="none" w:sz="0" w:space="0" w:color="auto"/>
        <w:right w:val="none" w:sz="0" w:space="0" w:color="auto"/>
      </w:divBdr>
    </w:div>
    <w:div w:id="956908950">
      <w:bodyDiv w:val="1"/>
      <w:marLeft w:val="0"/>
      <w:marRight w:val="0"/>
      <w:marTop w:val="0"/>
      <w:marBottom w:val="0"/>
      <w:divBdr>
        <w:top w:val="none" w:sz="0" w:space="0" w:color="auto"/>
        <w:left w:val="none" w:sz="0" w:space="0" w:color="auto"/>
        <w:bottom w:val="none" w:sz="0" w:space="0" w:color="auto"/>
        <w:right w:val="none" w:sz="0" w:space="0" w:color="auto"/>
      </w:divBdr>
    </w:div>
    <w:div w:id="967470988">
      <w:bodyDiv w:val="1"/>
      <w:marLeft w:val="0"/>
      <w:marRight w:val="0"/>
      <w:marTop w:val="0"/>
      <w:marBottom w:val="0"/>
      <w:divBdr>
        <w:top w:val="none" w:sz="0" w:space="0" w:color="auto"/>
        <w:left w:val="none" w:sz="0" w:space="0" w:color="auto"/>
        <w:bottom w:val="none" w:sz="0" w:space="0" w:color="auto"/>
        <w:right w:val="none" w:sz="0" w:space="0" w:color="auto"/>
      </w:divBdr>
    </w:div>
    <w:div w:id="1020355031">
      <w:bodyDiv w:val="1"/>
      <w:marLeft w:val="0"/>
      <w:marRight w:val="0"/>
      <w:marTop w:val="0"/>
      <w:marBottom w:val="0"/>
      <w:divBdr>
        <w:top w:val="none" w:sz="0" w:space="0" w:color="auto"/>
        <w:left w:val="none" w:sz="0" w:space="0" w:color="auto"/>
        <w:bottom w:val="none" w:sz="0" w:space="0" w:color="auto"/>
        <w:right w:val="none" w:sz="0" w:space="0" w:color="auto"/>
      </w:divBdr>
    </w:div>
    <w:div w:id="1022559182">
      <w:bodyDiv w:val="1"/>
      <w:marLeft w:val="0"/>
      <w:marRight w:val="0"/>
      <w:marTop w:val="0"/>
      <w:marBottom w:val="0"/>
      <w:divBdr>
        <w:top w:val="none" w:sz="0" w:space="0" w:color="auto"/>
        <w:left w:val="none" w:sz="0" w:space="0" w:color="auto"/>
        <w:bottom w:val="none" w:sz="0" w:space="0" w:color="auto"/>
        <w:right w:val="none" w:sz="0" w:space="0" w:color="auto"/>
      </w:divBdr>
    </w:div>
    <w:div w:id="1057127728">
      <w:bodyDiv w:val="1"/>
      <w:marLeft w:val="0"/>
      <w:marRight w:val="0"/>
      <w:marTop w:val="0"/>
      <w:marBottom w:val="0"/>
      <w:divBdr>
        <w:top w:val="none" w:sz="0" w:space="0" w:color="auto"/>
        <w:left w:val="none" w:sz="0" w:space="0" w:color="auto"/>
        <w:bottom w:val="none" w:sz="0" w:space="0" w:color="auto"/>
        <w:right w:val="none" w:sz="0" w:space="0" w:color="auto"/>
      </w:divBdr>
      <w:divsChild>
        <w:div w:id="33083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381911">
              <w:marLeft w:val="0"/>
              <w:marRight w:val="0"/>
              <w:marTop w:val="0"/>
              <w:marBottom w:val="0"/>
              <w:divBdr>
                <w:top w:val="none" w:sz="0" w:space="0" w:color="auto"/>
                <w:left w:val="none" w:sz="0" w:space="0" w:color="auto"/>
                <w:bottom w:val="none" w:sz="0" w:space="0" w:color="auto"/>
                <w:right w:val="none" w:sz="0" w:space="0" w:color="auto"/>
              </w:divBdr>
              <w:divsChild>
                <w:div w:id="781219211">
                  <w:marLeft w:val="0"/>
                  <w:marRight w:val="0"/>
                  <w:marTop w:val="0"/>
                  <w:marBottom w:val="0"/>
                  <w:divBdr>
                    <w:top w:val="none" w:sz="0" w:space="0" w:color="auto"/>
                    <w:left w:val="none" w:sz="0" w:space="0" w:color="auto"/>
                    <w:bottom w:val="none" w:sz="0" w:space="0" w:color="auto"/>
                    <w:right w:val="none" w:sz="0" w:space="0" w:color="auto"/>
                  </w:divBdr>
                  <w:divsChild>
                    <w:div w:id="1936665511">
                      <w:marLeft w:val="0"/>
                      <w:marRight w:val="0"/>
                      <w:marTop w:val="0"/>
                      <w:marBottom w:val="0"/>
                      <w:divBdr>
                        <w:top w:val="none" w:sz="0" w:space="0" w:color="auto"/>
                        <w:left w:val="none" w:sz="0" w:space="0" w:color="auto"/>
                        <w:bottom w:val="none" w:sz="0" w:space="0" w:color="auto"/>
                        <w:right w:val="none" w:sz="0" w:space="0" w:color="auto"/>
                      </w:divBdr>
                      <w:divsChild>
                        <w:div w:id="1087309801">
                          <w:marLeft w:val="0"/>
                          <w:marRight w:val="0"/>
                          <w:marTop w:val="0"/>
                          <w:marBottom w:val="0"/>
                          <w:divBdr>
                            <w:top w:val="none" w:sz="0" w:space="0" w:color="auto"/>
                            <w:left w:val="none" w:sz="0" w:space="0" w:color="auto"/>
                            <w:bottom w:val="none" w:sz="0" w:space="0" w:color="auto"/>
                            <w:right w:val="none" w:sz="0" w:space="0" w:color="auto"/>
                          </w:divBdr>
                          <w:divsChild>
                            <w:div w:id="30497033">
                              <w:marLeft w:val="0"/>
                              <w:marRight w:val="0"/>
                              <w:marTop w:val="0"/>
                              <w:marBottom w:val="0"/>
                              <w:divBdr>
                                <w:top w:val="none" w:sz="0" w:space="0" w:color="auto"/>
                                <w:left w:val="none" w:sz="0" w:space="0" w:color="auto"/>
                                <w:bottom w:val="none" w:sz="0" w:space="0" w:color="auto"/>
                                <w:right w:val="none" w:sz="0" w:space="0" w:color="auto"/>
                              </w:divBdr>
                              <w:divsChild>
                                <w:div w:id="1441878058">
                                  <w:marLeft w:val="0"/>
                                  <w:marRight w:val="0"/>
                                  <w:marTop w:val="0"/>
                                  <w:marBottom w:val="0"/>
                                  <w:divBdr>
                                    <w:top w:val="none" w:sz="0" w:space="0" w:color="auto"/>
                                    <w:left w:val="none" w:sz="0" w:space="0" w:color="auto"/>
                                    <w:bottom w:val="none" w:sz="0" w:space="0" w:color="auto"/>
                                    <w:right w:val="none" w:sz="0" w:space="0" w:color="auto"/>
                                  </w:divBdr>
                                  <w:divsChild>
                                    <w:div w:id="1160461815">
                                      <w:marLeft w:val="0"/>
                                      <w:marRight w:val="0"/>
                                      <w:marTop w:val="0"/>
                                      <w:marBottom w:val="0"/>
                                      <w:divBdr>
                                        <w:top w:val="none" w:sz="0" w:space="0" w:color="auto"/>
                                        <w:left w:val="none" w:sz="0" w:space="0" w:color="auto"/>
                                        <w:bottom w:val="none" w:sz="0" w:space="0" w:color="auto"/>
                                        <w:right w:val="none" w:sz="0" w:space="0" w:color="auto"/>
                                      </w:divBdr>
                                      <w:divsChild>
                                        <w:div w:id="348801398">
                                          <w:marLeft w:val="0"/>
                                          <w:marRight w:val="0"/>
                                          <w:marTop w:val="0"/>
                                          <w:marBottom w:val="0"/>
                                          <w:divBdr>
                                            <w:top w:val="none" w:sz="0" w:space="0" w:color="auto"/>
                                            <w:left w:val="none" w:sz="0" w:space="0" w:color="auto"/>
                                            <w:bottom w:val="none" w:sz="0" w:space="0" w:color="auto"/>
                                            <w:right w:val="none" w:sz="0" w:space="0" w:color="auto"/>
                                          </w:divBdr>
                                          <w:divsChild>
                                            <w:div w:id="16838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734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170437">
              <w:marLeft w:val="0"/>
              <w:marRight w:val="0"/>
              <w:marTop w:val="0"/>
              <w:marBottom w:val="0"/>
              <w:divBdr>
                <w:top w:val="none" w:sz="0" w:space="0" w:color="auto"/>
                <w:left w:val="none" w:sz="0" w:space="0" w:color="auto"/>
                <w:bottom w:val="none" w:sz="0" w:space="0" w:color="auto"/>
                <w:right w:val="none" w:sz="0" w:space="0" w:color="auto"/>
              </w:divBdr>
              <w:divsChild>
                <w:div w:id="2037391203">
                  <w:marLeft w:val="0"/>
                  <w:marRight w:val="0"/>
                  <w:marTop w:val="0"/>
                  <w:marBottom w:val="0"/>
                  <w:divBdr>
                    <w:top w:val="none" w:sz="0" w:space="0" w:color="auto"/>
                    <w:left w:val="none" w:sz="0" w:space="0" w:color="auto"/>
                    <w:bottom w:val="none" w:sz="0" w:space="0" w:color="auto"/>
                    <w:right w:val="none" w:sz="0" w:space="0" w:color="auto"/>
                  </w:divBdr>
                  <w:divsChild>
                    <w:div w:id="1199513298">
                      <w:marLeft w:val="0"/>
                      <w:marRight w:val="0"/>
                      <w:marTop w:val="0"/>
                      <w:marBottom w:val="0"/>
                      <w:divBdr>
                        <w:top w:val="none" w:sz="0" w:space="0" w:color="auto"/>
                        <w:left w:val="none" w:sz="0" w:space="0" w:color="auto"/>
                        <w:bottom w:val="none" w:sz="0" w:space="0" w:color="auto"/>
                        <w:right w:val="none" w:sz="0" w:space="0" w:color="auto"/>
                      </w:divBdr>
                      <w:divsChild>
                        <w:div w:id="1030377513">
                          <w:marLeft w:val="0"/>
                          <w:marRight w:val="0"/>
                          <w:marTop w:val="0"/>
                          <w:marBottom w:val="0"/>
                          <w:divBdr>
                            <w:top w:val="none" w:sz="0" w:space="0" w:color="auto"/>
                            <w:left w:val="none" w:sz="0" w:space="0" w:color="auto"/>
                            <w:bottom w:val="none" w:sz="0" w:space="0" w:color="auto"/>
                            <w:right w:val="none" w:sz="0" w:space="0" w:color="auto"/>
                          </w:divBdr>
                          <w:divsChild>
                            <w:div w:id="1216624479">
                              <w:marLeft w:val="0"/>
                              <w:marRight w:val="0"/>
                              <w:marTop w:val="0"/>
                              <w:marBottom w:val="0"/>
                              <w:divBdr>
                                <w:top w:val="none" w:sz="0" w:space="0" w:color="auto"/>
                                <w:left w:val="none" w:sz="0" w:space="0" w:color="auto"/>
                                <w:bottom w:val="none" w:sz="0" w:space="0" w:color="auto"/>
                                <w:right w:val="none" w:sz="0" w:space="0" w:color="auto"/>
                              </w:divBdr>
                              <w:divsChild>
                                <w:div w:id="2025011539">
                                  <w:marLeft w:val="0"/>
                                  <w:marRight w:val="0"/>
                                  <w:marTop w:val="0"/>
                                  <w:marBottom w:val="0"/>
                                  <w:divBdr>
                                    <w:top w:val="none" w:sz="0" w:space="0" w:color="auto"/>
                                    <w:left w:val="none" w:sz="0" w:space="0" w:color="auto"/>
                                    <w:bottom w:val="none" w:sz="0" w:space="0" w:color="auto"/>
                                    <w:right w:val="none" w:sz="0" w:space="0" w:color="auto"/>
                                  </w:divBdr>
                                  <w:divsChild>
                                    <w:div w:id="510221018">
                                      <w:marLeft w:val="0"/>
                                      <w:marRight w:val="0"/>
                                      <w:marTop w:val="0"/>
                                      <w:marBottom w:val="0"/>
                                      <w:divBdr>
                                        <w:top w:val="none" w:sz="0" w:space="0" w:color="auto"/>
                                        <w:left w:val="none" w:sz="0" w:space="0" w:color="auto"/>
                                        <w:bottom w:val="none" w:sz="0" w:space="0" w:color="auto"/>
                                        <w:right w:val="none" w:sz="0" w:space="0" w:color="auto"/>
                                      </w:divBdr>
                                      <w:divsChild>
                                        <w:div w:id="562569776">
                                          <w:marLeft w:val="0"/>
                                          <w:marRight w:val="0"/>
                                          <w:marTop w:val="0"/>
                                          <w:marBottom w:val="0"/>
                                          <w:divBdr>
                                            <w:top w:val="none" w:sz="0" w:space="0" w:color="auto"/>
                                            <w:left w:val="none" w:sz="0" w:space="0" w:color="auto"/>
                                            <w:bottom w:val="none" w:sz="0" w:space="0" w:color="auto"/>
                                            <w:right w:val="none" w:sz="0" w:space="0" w:color="auto"/>
                                          </w:divBdr>
                                          <w:divsChild>
                                            <w:div w:id="958796825">
                                              <w:marLeft w:val="0"/>
                                              <w:marRight w:val="0"/>
                                              <w:marTop w:val="0"/>
                                              <w:marBottom w:val="0"/>
                                              <w:divBdr>
                                                <w:top w:val="none" w:sz="0" w:space="0" w:color="auto"/>
                                                <w:left w:val="none" w:sz="0" w:space="0" w:color="auto"/>
                                                <w:bottom w:val="none" w:sz="0" w:space="0" w:color="auto"/>
                                                <w:right w:val="none" w:sz="0" w:space="0" w:color="auto"/>
                                              </w:divBdr>
                                            </w:div>
                                          </w:divsChild>
                                        </w:div>
                                        <w:div w:id="1505507834">
                                          <w:marLeft w:val="0"/>
                                          <w:marRight w:val="0"/>
                                          <w:marTop w:val="0"/>
                                          <w:marBottom w:val="0"/>
                                          <w:divBdr>
                                            <w:top w:val="none" w:sz="0" w:space="0" w:color="auto"/>
                                            <w:left w:val="none" w:sz="0" w:space="0" w:color="auto"/>
                                            <w:bottom w:val="none" w:sz="0" w:space="0" w:color="auto"/>
                                            <w:right w:val="none" w:sz="0" w:space="0" w:color="auto"/>
                                          </w:divBdr>
                                          <w:divsChild>
                                            <w:div w:id="17485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8066302">
      <w:bodyDiv w:val="1"/>
      <w:marLeft w:val="0"/>
      <w:marRight w:val="0"/>
      <w:marTop w:val="0"/>
      <w:marBottom w:val="0"/>
      <w:divBdr>
        <w:top w:val="none" w:sz="0" w:space="0" w:color="auto"/>
        <w:left w:val="none" w:sz="0" w:space="0" w:color="auto"/>
        <w:bottom w:val="none" w:sz="0" w:space="0" w:color="auto"/>
        <w:right w:val="none" w:sz="0" w:space="0" w:color="auto"/>
      </w:divBdr>
    </w:div>
    <w:div w:id="1106537653">
      <w:bodyDiv w:val="1"/>
      <w:marLeft w:val="0"/>
      <w:marRight w:val="0"/>
      <w:marTop w:val="0"/>
      <w:marBottom w:val="0"/>
      <w:divBdr>
        <w:top w:val="none" w:sz="0" w:space="0" w:color="auto"/>
        <w:left w:val="none" w:sz="0" w:space="0" w:color="auto"/>
        <w:bottom w:val="none" w:sz="0" w:space="0" w:color="auto"/>
        <w:right w:val="none" w:sz="0" w:space="0" w:color="auto"/>
      </w:divBdr>
    </w:div>
    <w:div w:id="1109473489">
      <w:bodyDiv w:val="1"/>
      <w:marLeft w:val="0"/>
      <w:marRight w:val="0"/>
      <w:marTop w:val="0"/>
      <w:marBottom w:val="0"/>
      <w:divBdr>
        <w:top w:val="none" w:sz="0" w:space="0" w:color="auto"/>
        <w:left w:val="none" w:sz="0" w:space="0" w:color="auto"/>
        <w:bottom w:val="none" w:sz="0" w:space="0" w:color="auto"/>
        <w:right w:val="none" w:sz="0" w:space="0" w:color="auto"/>
      </w:divBdr>
    </w:div>
    <w:div w:id="1133134173">
      <w:bodyDiv w:val="1"/>
      <w:marLeft w:val="0"/>
      <w:marRight w:val="0"/>
      <w:marTop w:val="0"/>
      <w:marBottom w:val="0"/>
      <w:divBdr>
        <w:top w:val="none" w:sz="0" w:space="0" w:color="auto"/>
        <w:left w:val="none" w:sz="0" w:space="0" w:color="auto"/>
        <w:bottom w:val="none" w:sz="0" w:space="0" w:color="auto"/>
        <w:right w:val="none" w:sz="0" w:space="0" w:color="auto"/>
      </w:divBdr>
    </w:div>
    <w:div w:id="1191721353">
      <w:bodyDiv w:val="1"/>
      <w:marLeft w:val="0"/>
      <w:marRight w:val="0"/>
      <w:marTop w:val="0"/>
      <w:marBottom w:val="0"/>
      <w:divBdr>
        <w:top w:val="none" w:sz="0" w:space="0" w:color="auto"/>
        <w:left w:val="none" w:sz="0" w:space="0" w:color="auto"/>
        <w:bottom w:val="none" w:sz="0" w:space="0" w:color="auto"/>
        <w:right w:val="none" w:sz="0" w:space="0" w:color="auto"/>
      </w:divBdr>
    </w:div>
    <w:div w:id="1201748293">
      <w:bodyDiv w:val="1"/>
      <w:marLeft w:val="0"/>
      <w:marRight w:val="0"/>
      <w:marTop w:val="0"/>
      <w:marBottom w:val="0"/>
      <w:divBdr>
        <w:top w:val="none" w:sz="0" w:space="0" w:color="auto"/>
        <w:left w:val="none" w:sz="0" w:space="0" w:color="auto"/>
        <w:bottom w:val="none" w:sz="0" w:space="0" w:color="auto"/>
        <w:right w:val="none" w:sz="0" w:space="0" w:color="auto"/>
      </w:divBdr>
    </w:div>
    <w:div w:id="1227764404">
      <w:bodyDiv w:val="1"/>
      <w:marLeft w:val="0"/>
      <w:marRight w:val="0"/>
      <w:marTop w:val="0"/>
      <w:marBottom w:val="0"/>
      <w:divBdr>
        <w:top w:val="none" w:sz="0" w:space="0" w:color="auto"/>
        <w:left w:val="none" w:sz="0" w:space="0" w:color="auto"/>
        <w:bottom w:val="none" w:sz="0" w:space="0" w:color="auto"/>
        <w:right w:val="none" w:sz="0" w:space="0" w:color="auto"/>
      </w:divBdr>
    </w:div>
    <w:div w:id="1253776100">
      <w:bodyDiv w:val="1"/>
      <w:marLeft w:val="0"/>
      <w:marRight w:val="0"/>
      <w:marTop w:val="0"/>
      <w:marBottom w:val="0"/>
      <w:divBdr>
        <w:top w:val="none" w:sz="0" w:space="0" w:color="auto"/>
        <w:left w:val="none" w:sz="0" w:space="0" w:color="auto"/>
        <w:bottom w:val="none" w:sz="0" w:space="0" w:color="auto"/>
        <w:right w:val="none" w:sz="0" w:space="0" w:color="auto"/>
      </w:divBdr>
    </w:div>
    <w:div w:id="1287271339">
      <w:bodyDiv w:val="1"/>
      <w:marLeft w:val="0"/>
      <w:marRight w:val="0"/>
      <w:marTop w:val="0"/>
      <w:marBottom w:val="0"/>
      <w:divBdr>
        <w:top w:val="none" w:sz="0" w:space="0" w:color="auto"/>
        <w:left w:val="none" w:sz="0" w:space="0" w:color="auto"/>
        <w:bottom w:val="none" w:sz="0" w:space="0" w:color="auto"/>
        <w:right w:val="none" w:sz="0" w:space="0" w:color="auto"/>
      </w:divBdr>
    </w:div>
    <w:div w:id="1291782399">
      <w:bodyDiv w:val="1"/>
      <w:marLeft w:val="0"/>
      <w:marRight w:val="0"/>
      <w:marTop w:val="0"/>
      <w:marBottom w:val="0"/>
      <w:divBdr>
        <w:top w:val="none" w:sz="0" w:space="0" w:color="auto"/>
        <w:left w:val="none" w:sz="0" w:space="0" w:color="auto"/>
        <w:bottom w:val="none" w:sz="0" w:space="0" w:color="auto"/>
        <w:right w:val="none" w:sz="0" w:space="0" w:color="auto"/>
      </w:divBdr>
    </w:div>
    <w:div w:id="1382290554">
      <w:bodyDiv w:val="1"/>
      <w:marLeft w:val="0"/>
      <w:marRight w:val="0"/>
      <w:marTop w:val="0"/>
      <w:marBottom w:val="0"/>
      <w:divBdr>
        <w:top w:val="none" w:sz="0" w:space="0" w:color="auto"/>
        <w:left w:val="none" w:sz="0" w:space="0" w:color="auto"/>
        <w:bottom w:val="none" w:sz="0" w:space="0" w:color="auto"/>
        <w:right w:val="none" w:sz="0" w:space="0" w:color="auto"/>
      </w:divBdr>
    </w:div>
    <w:div w:id="1384676801">
      <w:bodyDiv w:val="1"/>
      <w:marLeft w:val="0"/>
      <w:marRight w:val="0"/>
      <w:marTop w:val="0"/>
      <w:marBottom w:val="0"/>
      <w:divBdr>
        <w:top w:val="none" w:sz="0" w:space="0" w:color="auto"/>
        <w:left w:val="none" w:sz="0" w:space="0" w:color="auto"/>
        <w:bottom w:val="none" w:sz="0" w:space="0" w:color="auto"/>
        <w:right w:val="none" w:sz="0" w:space="0" w:color="auto"/>
      </w:divBdr>
    </w:div>
    <w:div w:id="1431780733">
      <w:bodyDiv w:val="1"/>
      <w:marLeft w:val="0"/>
      <w:marRight w:val="0"/>
      <w:marTop w:val="0"/>
      <w:marBottom w:val="0"/>
      <w:divBdr>
        <w:top w:val="none" w:sz="0" w:space="0" w:color="auto"/>
        <w:left w:val="none" w:sz="0" w:space="0" w:color="auto"/>
        <w:bottom w:val="none" w:sz="0" w:space="0" w:color="auto"/>
        <w:right w:val="none" w:sz="0" w:space="0" w:color="auto"/>
      </w:divBdr>
    </w:div>
    <w:div w:id="1439374633">
      <w:bodyDiv w:val="1"/>
      <w:marLeft w:val="0"/>
      <w:marRight w:val="0"/>
      <w:marTop w:val="0"/>
      <w:marBottom w:val="0"/>
      <w:divBdr>
        <w:top w:val="none" w:sz="0" w:space="0" w:color="auto"/>
        <w:left w:val="none" w:sz="0" w:space="0" w:color="auto"/>
        <w:bottom w:val="none" w:sz="0" w:space="0" w:color="auto"/>
        <w:right w:val="none" w:sz="0" w:space="0" w:color="auto"/>
      </w:divBdr>
    </w:div>
    <w:div w:id="1445691287">
      <w:bodyDiv w:val="1"/>
      <w:marLeft w:val="0"/>
      <w:marRight w:val="0"/>
      <w:marTop w:val="0"/>
      <w:marBottom w:val="0"/>
      <w:divBdr>
        <w:top w:val="none" w:sz="0" w:space="0" w:color="auto"/>
        <w:left w:val="none" w:sz="0" w:space="0" w:color="auto"/>
        <w:bottom w:val="none" w:sz="0" w:space="0" w:color="auto"/>
        <w:right w:val="none" w:sz="0" w:space="0" w:color="auto"/>
      </w:divBdr>
    </w:div>
    <w:div w:id="1451439845">
      <w:bodyDiv w:val="1"/>
      <w:marLeft w:val="0"/>
      <w:marRight w:val="0"/>
      <w:marTop w:val="0"/>
      <w:marBottom w:val="0"/>
      <w:divBdr>
        <w:top w:val="none" w:sz="0" w:space="0" w:color="auto"/>
        <w:left w:val="none" w:sz="0" w:space="0" w:color="auto"/>
        <w:bottom w:val="none" w:sz="0" w:space="0" w:color="auto"/>
        <w:right w:val="none" w:sz="0" w:space="0" w:color="auto"/>
      </w:divBdr>
    </w:div>
    <w:div w:id="1494176273">
      <w:bodyDiv w:val="1"/>
      <w:marLeft w:val="0"/>
      <w:marRight w:val="0"/>
      <w:marTop w:val="0"/>
      <w:marBottom w:val="0"/>
      <w:divBdr>
        <w:top w:val="none" w:sz="0" w:space="0" w:color="auto"/>
        <w:left w:val="none" w:sz="0" w:space="0" w:color="auto"/>
        <w:bottom w:val="none" w:sz="0" w:space="0" w:color="auto"/>
        <w:right w:val="none" w:sz="0" w:space="0" w:color="auto"/>
      </w:divBdr>
    </w:div>
    <w:div w:id="1507138513">
      <w:bodyDiv w:val="1"/>
      <w:marLeft w:val="0"/>
      <w:marRight w:val="0"/>
      <w:marTop w:val="0"/>
      <w:marBottom w:val="0"/>
      <w:divBdr>
        <w:top w:val="none" w:sz="0" w:space="0" w:color="auto"/>
        <w:left w:val="none" w:sz="0" w:space="0" w:color="auto"/>
        <w:bottom w:val="none" w:sz="0" w:space="0" w:color="auto"/>
        <w:right w:val="none" w:sz="0" w:space="0" w:color="auto"/>
      </w:divBdr>
      <w:divsChild>
        <w:div w:id="1176571941">
          <w:marLeft w:val="0"/>
          <w:marRight w:val="0"/>
          <w:marTop w:val="0"/>
          <w:marBottom w:val="0"/>
          <w:divBdr>
            <w:top w:val="none" w:sz="0" w:space="0" w:color="auto"/>
            <w:left w:val="none" w:sz="0" w:space="0" w:color="auto"/>
            <w:bottom w:val="none" w:sz="0" w:space="0" w:color="auto"/>
            <w:right w:val="none" w:sz="0" w:space="0" w:color="auto"/>
          </w:divBdr>
          <w:divsChild>
            <w:div w:id="1838423524">
              <w:marLeft w:val="0"/>
              <w:marRight w:val="0"/>
              <w:marTop w:val="0"/>
              <w:marBottom w:val="0"/>
              <w:divBdr>
                <w:top w:val="none" w:sz="0" w:space="0" w:color="auto"/>
                <w:left w:val="none" w:sz="0" w:space="0" w:color="auto"/>
                <w:bottom w:val="none" w:sz="0" w:space="0" w:color="auto"/>
                <w:right w:val="none" w:sz="0" w:space="0" w:color="auto"/>
              </w:divBdr>
            </w:div>
          </w:divsChild>
        </w:div>
        <w:div w:id="1597207008">
          <w:marLeft w:val="0"/>
          <w:marRight w:val="0"/>
          <w:marTop w:val="0"/>
          <w:marBottom w:val="0"/>
          <w:divBdr>
            <w:top w:val="none" w:sz="0" w:space="0" w:color="auto"/>
            <w:left w:val="none" w:sz="0" w:space="0" w:color="auto"/>
            <w:bottom w:val="none" w:sz="0" w:space="0" w:color="auto"/>
            <w:right w:val="none" w:sz="0" w:space="0" w:color="auto"/>
          </w:divBdr>
        </w:div>
      </w:divsChild>
    </w:div>
    <w:div w:id="1553153269">
      <w:bodyDiv w:val="1"/>
      <w:marLeft w:val="0"/>
      <w:marRight w:val="0"/>
      <w:marTop w:val="0"/>
      <w:marBottom w:val="0"/>
      <w:divBdr>
        <w:top w:val="none" w:sz="0" w:space="0" w:color="auto"/>
        <w:left w:val="none" w:sz="0" w:space="0" w:color="auto"/>
        <w:bottom w:val="none" w:sz="0" w:space="0" w:color="auto"/>
        <w:right w:val="none" w:sz="0" w:space="0" w:color="auto"/>
      </w:divBdr>
    </w:div>
    <w:div w:id="1586456473">
      <w:bodyDiv w:val="1"/>
      <w:marLeft w:val="0"/>
      <w:marRight w:val="0"/>
      <w:marTop w:val="0"/>
      <w:marBottom w:val="0"/>
      <w:divBdr>
        <w:top w:val="none" w:sz="0" w:space="0" w:color="auto"/>
        <w:left w:val="none" w:sz="0" w:space="0" w:color="auto"/>
        <w:bottom w:val="none" w:sz="0" w:space="0" w:color="auto"/>
        <w:right w:val="none" w:sz="0" w:space="0" w:color="auto"/>
      </w:divBdr>
    </w:div>
    <w:div w:id="1595701433">
      <w:bodyDiv w:val="1"/>
      <w:marLeft w:val="0"/>
      <w:marRight w:val="0"/>
      <w:marTop w:val="0"/>
      <w:marBottom w:val="0"/>
      <w:divBdr>
        <w:top w:val="none" w:sz="0" w:space="0" w:color="auto"/>
        <w:left w:val="none" w:sz="0" w:space="0" w:color="auto"/>
        <w:bottom w:val="none" w:sz="0" w:space="0" w:color="auto"/>
        <w:right w:val="none" w:sz="0" w:space="0" w:color="auto"/>
      </w:divBdr>
    </w:div>
    <w:div w:id="1601792099">
      <w:bodyDiv w:val="1"/>
      <w:marLeft w:val="0"/>
      <w:marRight w:val="0"/>
      <w:marTop w:val="0"/>
      <w:marBottom w:val="0"/>
      <w:divBdr>
        <w:top w:val="none" w:sz="0" w:space="0" w:color="auto"/>
        <w:left w:val="none" w:sz="0" w:space="0" w:color="auto"/>
        <w:bottom w:val="none" w:sz="0" w:space="0" w:color="auto"/>
        <w:right w:val="none" w:sz="0" w:space="0" w:color="auto"/>
      </w:divBdr>
    </w:div>
    <w:div w:id="1607956884">
      <w:bodyDiv w:val="1"/>
      <w:marLeft w:val="0"/>
      <w:marRight w:val="0"/>
      <w:marTop w:val="0"/>
      <w:marBottom w:val="0"/>
      <w:divBdr>
        <w:top w:val="none" w:sz="0" w:space="0" w:color="auto"/>
        <w:left w:val="none" w:sz="0" w:space="0" w:color="auto"/>
        <w:bottom w:val="none" w:sz="0" w:space="0" w:color="auto"/>
        <w:right w:val="none" w:sz="0" w:space="0" w:color="auto"/>
      </w:divBdr>
    </w:div>
    <w:div w:id="1609005481">
      <w:bodyDiv w:val="1"/>
      <w:marLeft w:val="0"/>
      <w:marRight w:val="0"/>
      <w:marTop w:val="0"/>
      <w:marBottom w:val="0"/>
      <w:divBdr>
        <w:top w:val="none" w:sz="0" w:space="0" w:color="auto"/>
        <w:left w:val="none" w:sz="0" w:space="0" w:color="auto"/>
        <w:bottom w:val="none" w:sz="0" w:space="0" w:color="auto"/>
        <w:right w:val="none" w:sz="0" w:space="0" w:color="auto"/>
      </w:divBdr>
    </w:div>
    <w:div w:id="1620181601">
      <w:bodyDiv w:val="1"/>
      <w:marLeft w:val="0"/>
      <w:marRight w:val="0"/>
      <w:marTop w:val="0"/>
      <w:marBottom w:val="0"/>
      <w:divBdr>
        <w:top w:val="none" w:sz="0" w:space="0" w:color="auto"/>
        <w:left w:val="none" w:sz="0" w:space="0" w:color="auto"/>
        <w:bottom w:val="none" w:sz="0" w:space="0" w:color="auto"/>
        <w:right w:val="none" w:sz="0" w:space="0" w:color="auto"/>
      </w:divBdr>
    </w:div>
    <w:div w:id="1712419879">
      <w:bodyDiv w:val="1"/>
      <w:marLeft w:val="0"/>
      <w:marRight w:val="0"/>
      <w:marTop w:val="0"/>
      <w:marBottom w:val="0"/>
      <w:divBdr>
        <w:top w:val="none" w:sz="0" w:space="0" w:color="auto"/>
        <w:left w:val="none" w:sz="0" w:space="0" w:color="auto"/>
        <w:bottom w:val="none" w:sz="0" w:space="0" w:color="auto"/>
        <w:right w:val="none" w:sz="0" w:space="0" w:color="auto"/>
      </w:divBdr>
    </w:div>
    <w:div w:id="1726484367">
      <w:bodyDiv w:val="1"/>
      <w:marLeft w:val="0"/>
      <w:marRight w:val="0"/>
      <w:marTop w:val="0"/>
      <w:marBottom w:val="0"/>
      <w:divBdr>
        <w:top w:val="none" w:sz="0" w:space="0" w:color="auto"/>
        <w:left w:val="none" w:sz="0" w:space="0" w:color="auto"/>
        <w:bottom w:val="none" w:sz="0" w:space="0" w:color="auto"/>
        <w:right w:val="none" w:sz="0" w:space="0" w:color="auto"/>
      </w:divBdr>
    </w:div>
    <w:div w:id="1738436090">
      <w:bodyDiv w:val="1"/>
      <w:marLeft w:val="0"/>
      <w:marRight w:val="0"/>
      <w:marTop w:val="0"/>
      <w:marBottom w:val="0"/>
      <w:divBdr>
        <w:top w:val="none" w:sz="0" w:space="0" w:color="auto"/>
        <w:left w:val="none" w:sz="0" w:space="0" w:color="auto"/>
        <w:bottom w:val="none" w:sz="0" w:space="0" w:color="auto"/>
        <w:right w:val="none" w:sz="0" w:space="0" w:color="auto"/>
      </w:divBdr>
    </w:div>
    <w:div w:id="1755081382">
      <w:bodyDiv w:val="1"/>
      <w:marLeft w:val="0"/>
      <w:marRight w:val="0"/>
      <w:marTop w:val="0"/>
      <w:marBottom w:val="0"/>
      <w:divBdr>
        <w:top w:val="none" w:sz="0" w:space="0" w:color="auto"/>
        <w:left w:val="none" w:sz="0" w:space="0" w:color="auto"/>
        <w:bottom w:val="none" w:sz="0" w:space="0" w:color="auto"/>
        <w:right w:val="none" w:sz="0" w:space="0" w:color="auto"/>
      </w:divBdr>
    </w:div>
    <w:div w:id="1776293417">
      <w:bodyDiv w:val="1"/>
      <w:marLeft w:val="0"/>
      <w:marRight w:val="0"/>
      <w:marTop w:val="0"/>
      <w:marBottom w:val="0"/>
      <w:divBdr>
        <w:top w:val="none" w:sz="0" w:space="0" w:color="auto"/>
        <w:left w:val="none" w:sz="0" w:space="0" w:color="auto"/>
        <w:bottom w:val="none" w:sz="0" w:space="0" w:color="auto"/>
        <w:right w:val="none" w:sz="0" w:space="0" w:color="auto"/>
      </w:divBdr>
    </w:div>
    <w:div w:id="1816137805">
      <w:bodyDiv w:val="1"/>
      <w:marLeft w:val="0"/>
      <w:marRight w:val="0"/>
      <w:marTop w:val="0"/>
      <w:marBottom w:val="0"/>
      <w:divBdr>
        <w:top w:val="none" w:sz="0" w:space="0" w:color="auto"/>
        <w:left w:val="none" w:sz="0" w:space="0" w:color="auto"/>
        <w:bottom w:val="none" w:sz="0" w:space="0" w:color="auto"/>
        <w:right w:val="none" w:sz="0" w:space="0" w:color="auto"/>
      </w:divBdr>
    </w:div>
    <w:div w:id="1831093877">
      <w:bodyDiv w:val="1"/>
      <w:marLeft w:val="0"/>
      <w:marRight w:val="0"/>
      <w:marTop w:val="0"/>
      <w:marBottom w:val="0"/>
      <w:divBdr>
        <w:top w:val="none" w:sz="0" w:space="0" w:color="auto"/>
        <w:left w:val="none" w:sz="0" w:space="0" w:color="auto"/>
        <w:bottom w:val="none" w:sz="0" w:space="0" w:color="auto"/>
        <w:right w:val="none" w:sz="0" w:space="0" w:color="auto"/>
      </w:divBdr>
    </w:div>
    <w:div w:id="1834224014">
      <w:bodyDiv w:val="1"/>
      <w:marLeft w:val="0"/>
      <w:marRight w:val="0"/>
      <w:marTop w:val="0"/>
      <w:marBottom w:val="0"/>
      <w:divBdr>
        <w:top w:val="none" w:sz="0" w:space="0" w:color="auto"/>
        <w:left w:val="none" w:sz="0" w:space="0" w:color="auto"/>
        <w:bottom w:val="none" w:sz="0" w:space="0" w:color="auto"/>
        <w:right w:val="none" w:sz="0" w:space="0" w:color="auto"/>
      </w:divBdr>
    </w:div>
    <w:div w:id="1897887228">
      <w:bodyDiv w:val="1"/>
      <w:marLeft w:val="0"/>
      <w:marRight w:val="0"/>
      <w:marTop w:val="0"/>
      <w:marBottom w:val="0"/>
      <w:divBdr>
        <w:top w:val="none" w:sz="0" w:space="0" w:color="auto"/>
        <w:left w:val="none" w:sz="0" w:space="0" w:color="auto"/>
        <w:bottom w:val="none" w:sz="0" w:space="0" w:color="auto"/>
        <w:right w:val="none" w:sz="0" w:space="0" w:color="auto"/>
      </w:divBdr>
    </w:div>
    <w:div w:id="1906989930">
      <w:bodyDiv w:val="1"/>
      <w:marLeft w:val="0"/>
      <w:marRight w:val="0"/>
      <w:marTop w:val="0"/>
      <w:marBottom w:val="0"/>
      <w:divBdr>
        <w:top w:val="none" w:sz="0" w:space="0" w:color="auto"/>
        <w:left w:val="none" w:sz="0" w:space="0" w:color="auto"/>
        <w:bottom w:val="none" w:sz="0" w:space="0" w:color="auto"/>
        <w:right w:val="none" w:sz="0" w:space="0" w:color="auto"/>
      </w:divBdr>
    </w:div>
    <w:div w:id="2036153128">
      <w:bodyDiv w:val="1"/>
      <w:marLeft w:val="0"/>
      <w:marRight w:val="0"/>
      <w:marTop w:val="0"/>
      <w:marBottom w:val="0"/>
      <w:divBdr>
        <w:top w:val="none" w:sz="0" w:space="0" w:color="auto"/>
        <w:left w:val="none" w:sz="0" w:space="0" w:color="auto"/>
        <w:bottom w:val="none" w:sz="0" w:space="0" w:color="auto"/>
        <w:right w:val="none" w:sz="0" w:space="0" w:color="auto"/>
      </w:divBdr>
    </w:div>
    <w:div w:id="2057462400">
      <w:bodyDiv w:val="1"/>
      <w:marLeft w:val="0"/>
      <w:marRight w:val="0"/>
      <w:marTop w:val="0"/>
      <w:marBottom w:val="0"/>
      <w:divBdr>
        <w:top w:val="none" w:sz="0" w:space="0" w:color="auto"/>
        <w:left w:val="none" w:sz="0" w:space="0" w:color="auto"/>
        <w:bottom w:val="none" w:sz="0" w:space="0" w:color="auto"/>
        <w:right w:val="none" w:sz="0" w:space="0" w:color="auto"/>
      </w:divBdr>
    </w:div>
    <w:div w:id="2139447168">
      <w:bodyDiv w:val="1"/>
      <w:marLeft w:val="0"/>
      <w:marRight w:val="0"/>
      <w:marTop w:val="0"/>
      <w:marBottom w:val="0"/>
      <w:divBdr>
        <w:top w:val="none" w:sz="0" w:space="0" w:color="auto"/>
        <w:left w:val="none" w:sz="0" w:space="0" w:color="auto"/>
        <w:bottom w:val="none" w:sz="0" w:space="0" w:color="auto"/>
        <w:right w:val="none" w:sz="0" w:space="0" w:color="auto"/>
      </w:divBdr>
    </w:div>
    <w:div w:id="2147234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ongtermplan.nhs.uk/" TargetMode="External"/><Relationship Id="rId18" Type="http://schemas.openxmlformats.org/officeDocument/2006/relationships/hyperlink" Target="https://child-cough.bristol.ac.uk/" TargetMode="External"/><Relationship Id="rId26" Type="http://schemas.openxmlformats.org/officeDocument/2006/relationships/hyperlink" Target="https://www.longtermplan.nhs.uk/" TargetMode="External"/><Relationship Id="rId39" Type="http://schemas.openxmlformats.org/officeDocument/2006/relationships/hyperlink" Target="https://www.longtermplan.nhs.uk/publication/nhs-long-term-plan/" TargetMode="External"/><Relationship Id="rId21" Type="http://schemas.openxmlformats.org/officeDocument/2006/relationships/hyperlink" Target="mailto:nhsbsa@nhs.net" TargetMode="External"/><Relationship Id="rId34" Type="http://schemas.openxmlformats.org/officeDocument/2006/relationships/hyperlink" Target="https://www.gov.uk/government/collections/antimicrobial-resistance-amr-information-and-resources" TargetMode="External"/><Relationship Id="rId42" Type="http://schemas.openxmlformats.org/officeDocument/2006/relationships/hyperlink" Target="https://www.nice.org.uk/guidance/health-protection/communicable-diseases/antimicrobial-stewardship" TargetMode="External"/><Relationship Id="rId47" Type="http://schemas.openxmlformats.org/officeDocument/2006/relationships/hyperlink" Target="https://bsac.org.uk/paediatrics/" TargetMode="External"/><Relationship Id="rId50"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rcgp.org.uk/clinical-and-research/resources/toolkits/amr/target-antibiotics-toolkit.aspx" TargetMode="External"/><Relationship Id="rId29" Type="http://schemas.openxmlformats.org/officeDocument/2006/relationships/hyperlink" Target="https://www.longtermplan.nhs.uk/" TargetMode="External"/><Relationship Id="rId11" Type="http://schemas.openxmlformats.org/officeDocument/2006/relationships/endnotes" Target="endnotes.xml"/><Relationship Id="rId24" Type="http://schemas.openxmlformats.org/officeDocument/2006/relationships/hyperlink" Target="https://www.nice.org.uk/guidance/health-protection/communicable-diseases/antimicrobial-stewardship" TargetMode="External"/><Relationship Id="rId32" Type="http://schemas.openxmlformats.org/officeDocument/2006/relationships/hyperlink" Target="https://www.longtermplan.nhs.uk/" TargetMode="External"/><Relationship Id="rId37" Type="http://schemas.openxmlformats.org/officeDocument/2006/relationships/hyperlink" Target="https://www.gov.uk/government/collections/antimicrobial-resistance-amr-information-and-resources" TargetMode="External"/><Relationship Id="rId40" Type="http://schemas.openxmlformats.org/officeDocument/2006/relationships/hyperlink" Target="https://www.england.nhs.uk/patient-safety/the-nhs-patient-safety-strategy/" TargetMode="External"/><Relationship Id="rId45" Type="http://schemas.openxmlformats.org/officeDocument/2006/relationships/hyperlink" Target="https://child-cough.bristol.ac.uk/" TargetMode="External"/><Relationship Id="rId5" Type="http://schemas.openxmlformats.org/officeDocument/2006/relationships/customXml" Target="../customXml/item5.xml"/><Relationship Id="rId15" Type="http://schemas.openxmlformats.org/officeDocument/2006/relationships/hyperlink" Target="https://www.gov.uk/government/publications/english-surveillance-programme-antimicrobial-utilisation-and-resistance-espaur-report" TargetMode="External"/><Relationship Id="rId23" Type="http://schemas.openxmlformats.org/officeDocument/2006/relationships/hyperlink" Target="https://www.longtermplan.nhs.uk/" TargetMode="External"/><Relationship Id="rId28" Type="http://schemas.openxmlformats.org/officeDocument/2006/relationships/hyperlink" Target="https://www.gov.uk/government/collections/antimicrobial-resistance-amr-information-and-resources" TargetMode="External"/><Relationship Id="rId36" Type="http://schemas.openxmlformats.org/officeDocument/2006/relationships/hyperlink" Target="https://www.nice.org.uk/guidance/health-protection/communicable-diseases/antimicrobial-stewardship" TargetMode="External"/><Relationship Id="rId49"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e-bug.eu/index.php?name=UK-global-teacher-homepage" TargetMode="External"/><Relationship Id="rId31" Type="http://schemas.openxmlformats.org/officeDocument/2006/relationships/hyperlink" Target="https://www.gov.uk/government/collections/antimicrobial-resistance-amr-information-and-resources" TargetMode="External"/><Relationship Id="rId44" Type="http://schemas.openxmlformats.org/officeDocument/2006/relationships/hyperlink" Target="http://www.whenshouldiworry.c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gland.nhs.uk/patient-safety/the-nhs-patient-safety-strategy/" TargetMode="External"/><Relationship Id="rId22" Type="http://schemas.openxmlformats.org/officeDocument/2006/relationships/hyperlink" Target="https://www.gov.uk/government/collections/antimicrobial-resistance-amr-information-and-resources" TargetMode="External"/><Relationship Id="rId27" Type="http://schemas.openxmlformats.org/officeDocument/2006/relationships/hyperlink" Target="https://www.nice.org.uk/guidance/health-protection/communicable-diseases/antimicrobial-stewardship" TargetMode="External"/><Relationship Id="rId30" Type="http://schemas.openxmlformats.org/officeDocument/2006/relationships/hyperlink" Target="https://www.nice.org.uk/guidance/health-protection/communicable-diseases/antimicrobial-stewardship" TargetMode="External"/><Relationship Id="rId35" Type="http://schemas.openxmlformats.org/officeDocument/2006/relationships/hyperlink" Target="https://www.longtermplan.nhs.uk/" TargetMode="External"/><Relationship Id="rId43" Type="http://schemas.openxmlformats.org/officeDocument/2006/relationships/hyperlink" Target="https://www.rcgp.org.uk/clinical-and-research/resources/toolkits/amr/target-antibiotics-toolkit.aspx" TargetMode="External"/><Relationship Id="rId48"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government/collections/antimicrobial-resistance-amr-information-and-resources" TargetMode="External"/><Relationship Id="rId17" Type="http://schemas.openxmlformats.org/officeDocument/2006/relationships/hyperlink" Target="http://www.whenshouldiworry.com/" TargetMode="External"/><Relationship Id="rId25" Type="http://schemas.openxmlformats.org/officeDocument/2006/relationships/hyperlink" Target="https://www.gov.uk/government/collections/antimicrobial-resistance-amr-information-and-resources" TargetMode="External"/><Relationship Id="rId33" Type="http://schemas.openxmlformats.org/officeDocument/2006/relationships/hyperlink" Target="https://www.nice.org.uk/guidance/health-protection/communicable-diseases/antimicrobial-stewardship" TargetMode="External"/><Relationship Id="rId38" Type="http://schemas.openxmlformats.org/officeDocument/2006/relationships/hyperlink" Target="https://www.gov.uk/government/publications/uk-5-year-action-plan-for-antimicrobial-resistance-2019-to-2024" TargetMode="External"/><Relationship Id="rId46" Type="http://schemas.openxmlformats.org/officeDocument/2006/relationships/hyperlink" Target="https://www.e-bug.eu/index.php?name=UK-global-teacher-homepage" TargetMode="External"/><Relationship Id="rId20" Type="http://schemas.openxmlformats.org/officeDocument/2006/relationships/hyperlink" Target="https://bsac.org.uk/paediatrics/" TargetMode="External"/><Relationship Id="rId41" Type="http://schemas.openxmlformats.org/officeDocument/2006/relationships/hyperlink" Target="https://www.gov.uk/government/publications/english-surveillance-programme-antimicrobial-utilisation-and-resistance-espaur-report"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D2087DE74C54DAA57B030A9EFE0EB" ma:contentTypeVersion="12" ma:contentTypeDescription="Create a new document." ma:contentTypeScope="" ma:versionID="c40f1cd342afe03e99d8560ba4f4f9dd">
  <xsd:schema xmlns:xsd="http://www.w3.org/2001/XMLSchema" xmlns:xs="http://www.w3.org/2001/XMLSchema" xmlns:p="http://schemas.microsoft.com/office/2006/metadata/properties" xmlns:ns2="91b86cd2-d370-4f57-9db8-681c4fb37596" xmlns:ns3="563bd847-283f-48dc-9444-f54c9e765c55" targetNamespace="http://schemas.microsoft.com/office/2006/metadata/properties" ma:root="true" ma:fieldsID="1d374017eb40583099813b34cd46a441" ns2:_="" ns3:_="">
    <xsd:import namespace="91b86cd2-d370-4f57-9db8-681c4fb37596"/>
    <xsd:import namespace="563bd847-283f-48dc-9444-f54c9e765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86cd2-d370-4f57-9db8-681c4fb37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3bd847-283f-48dc-9444-f54c9e765c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F95172-F4F3-43FD-8AC4-2723B7F82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86cd2-d370-4f57-9db8-681c4fb37596"/>
    <ds:schemaRef ds:uri="563bd847-283f-48dc-9444-f54c9e765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D91031-226F-4EFB-916F-20B21871ECAF}">
  <ds:schemaRefs>
    <ds:schemaRef ds:uri="http://schemas.openxmlformats.org/officeDocument/2006/bibliography"/>
  </ds:schemaRefs>
</ds:datastoreItem>
</file>

<file path=customXml/itemProps3.xml><?xml version="1.0" encoding="utf-8"?>
<ds:datastoreItem xmlns:ds="http://schemas.openxmlformats.org/officeDocument/2006/customXml" ds:itemID="{9E537C54-4CEE-45D7-9E9B-F7572606E0B3}">
  <ds:schemaRefs>
    <ds:schemaRef ds:uri="http://schemas.microsoft.com/office/2006/metadata/longProperties"/>
  </ds:schemaRefs>
</ds:datastoreItem>
</file>

<file path=customXml/itemProps4.xml><?xml version="1.0" encoding="utf-8"?>
<ds:datastoreItem xmlns:ds="http://schemas.openxmlformats.org/officeDocument/2006/customXml" ds:itemID="{577518F8-744F-4272-BE2A-2A78546365CE}">
  <ds:schemaRefs>
    <ds:schemaRef ds:uri="http://schemas.microsoft.com/sharepoint/v3/contenttype/forms"/>
  </ds:schemaRefs>
</ds:datastoreItem>
</file>

<file path=customXml/itemProps5.xml><?xml version="1.0" encoding="utf-8"?>
<ds:datastoreItem xmlns:ds="http://schemas.openxmlformats.org/officeDocument/2006/customXml" ds:itemID="{01C5EDA1-F3B4-4AC2-9AC1-AA56D4326A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4197</Words>
  <Characters>23924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Information Services landscape Word document template V1</vt:lpstr>
    </vt:vector>
  </TitlesOfParts>
  <Company>NHS Pensions</Company>
  <LinksUpToDate>false</LinksUpToDate>
  <CharactersWithSpaces>28065</CharactersWithSpaces>
  <SharedDoc>false</SharedDoc>
  <HLinks>
    <vt:vector size="126" baseType="variant">
      <vt:variant>
        <vt:i4>7274578</vt:i4>
      </vt:variant>
      <vt:variant>
        <vt:i4>123</vt:i4>
      </vt:variant>
      <vt:variant>
        <vt:i4>0</vt:i4>
      </vt:variant>
      <vt:variant>
        <vt:i4>5</vt:i4>
      </vt:variant>
      <vt:variant>
        <vt:lpwstr>mailto:nhsbsa@nhs.net</vt:lpwstr>
      </vt:variant>
      <vt:variant>
        <vt:lpwstr/>
      </vt:variant>
      <vt:variant>
        <vt:i4>1769531</vt:i4>
      </vt:variant>
      <vt:variant>
        <vt:i4>116</vt:i4>
      </vt:variant>
      <vt:variant>
        <vt:i4>0</vt:i4>
      </vt:variant>
      <vt:variant>
        <vt:i4>5</vt:i4>
      </vt:variant>
      <vt:variant>
        <vt:lpwstr/>
      </vt:variant>
      <vt:variant>
        <vt:lpwstr>_Toc80972883</vt:lpwstr>
      </vt:variant>
      <vt:variant>
        <vt:i4>1703995</vt:i4>
      </vt:variant>
      <vt:variant>
        <vt:i4>110</vt:i4>
      </vt:variant>
      <vt:variant>
        <vt:i4>0</vt:i4>
      </vt:variant>
      <vt:variant>
        <vt:i4>5</vt:i4>
      </vt:variant>
      <vt:variant>
        <vt:lpwstr/>
      </vt:variant>
      <vt:variant>
        <vt:lpwstr>_Toc80972882</vt:lpwstr>
      </vt:variant>
      <vt:variant>
        <vt:i4>1638459</vt:i4>
      </vt:variant>
      <vt:variant>
        <vt:i4>104</vt:i4>
      </vt:variant>
      <vt:variant>
        <vt:i4>0</vt:i4>
      </vt:variant>
      <vt:variant>
        <vt:i4>5</vt:i4>
      </vt:variant>
      <vt:variant>
        <vt:lpwstr/>
      </vt:variant>
      <vt:variant>
        <vt:lpwstr>_Toc80972881</vt:lpwstr>
      </vt:variant>
      <vt:variant>
        <vt:i4>1572923</vt:i4>
      </vt:variant>
      <vt:variant>
        <vt:i4>98</vt:i4>
      </vt:variant>
      <vt:variant>
        <vt:i4>0</vt:i4>
      </vt:variant>
      <vt:variant>
        <vt:i4>5</vt:i4>
      </vt:variant>
      <vt:variant>
        <vt:lpwstr/>
      </vt:variant>
      <vt:variant>
        <vt:lpwstr>_Toc80972880</vt:lpwstr>
      </vt:variant>
      <vt:variant>
        <vt:i4>1114164</vt:i4>
      </vt:variant>
      <vt:variant>
        <vt:i4>92</vt:i4>
      </vt:variant>
      <vt:variant>
        <vt:i4>0</vt:i4>
      </vt:variant>
      <vt:variant>
        <vt:i4>5</vt:i4>
      </vt:variant>
      <vt:variant>
        <vt:lpwstr/>
      </vt:variant>
      <vt:variant>
        <vt:lpwstr>_Toc80972879</vt:lpwstr>
      </vt:variant>
      <vt:variant>
        <vt:i4>1048628</vt:i4>
      </vt:variant>
      <vt:variant>
        <vt:i4>86</vt:i4>
      </vt:variant>
      <vt:variant>
        <vt:i4>0</vt:i4>
      </vt:variant>
      <vt:variant>
        <vt:i4>5</vt:i4>
      </vt:variant>
      <vt:variant>
        <vt:lpwstr/>
      </vt:variant>
      <vt:variant>
        <vt:lpwstr>_Toc80972878</vt:lpwstr>
      </vt:variant>
      <vt:variant>
        <vt:i4>2031668</vt:i4>
      </vt:variant>
      <vt:variant>
        <vt:i4>80</vt:i4>
      </vt:variant>
      <vt:variant>
        <vt:i4>0</vt:i4>
      </vt:variant>
      <vt:variant>
        <vt:i4>5</vt:i4>
      </vt:variant>
      <vt:variant>
        <vt:lpwstr/>
      </vt:variant>
      <vt:variant>
        <vt:lpwstr>_Toc80972877</vt:lpwstr>
      </vt:variant>
      <vt:variant>
        <vt:i4>1966132</vt:i4>
      </vt:variant>
      <vt:variant>
        <vt:i4>74</vt:i4>
      </vt:variant>
      <vt:variant>
        <vt:i4>0</vt:i4>
      </vt:variant>
      <vt:variant>
        <vt:i4>5</vt:i4>
      </vt:variant>
      <vt:variant>
        <vt:lpwstr/>
      </vt:variant>
      <vt:variant>
        <vt:lpwstr>_Toc80972876</vt:lpwstr>
      </vt:variant>
      <vt:variant>
        <vt:i4>1900596</vt:i4>
      </vt:variant>
      <vt:variant>
        <vt:i4>68</vt:i4>
      </vt:variant>
      <vt:variant>
        <vt:i4>0</vt:i4>
      </vt:variant>
      <vt:variant>
        <vt:i4>5</vt:i4>
      </vt:variant>
      <vt:variant>
        <vt:lpwstr/>
      </vt:variant>
      <vt:variant>
        <vt:lpwstr>_Toc80972875</vt:lpwstr>
      </vt:variant>
      <vt:variant>
        <vt:i4>1835060</vt:i4>
      </vt:variant>
      <vt:variant>
        <vt:i4>62</vt:i4>
      </vt:variant>
      <vt:variant>
        <vt:i4>0</vt:i4>
      </vt:variant>
      <vt:variant>
        <vt:i4>5</vt:i4>
      </vt:variant>
      <vt:variant>
        <vt:lpwstr/>
      </vt:variant>
      <vt:variant>
        <vt:lpwstr>_Toc80972874</vt:lpwstr>
      </vt:variant>
      <vt:variant>
        <vt:i4>1769524</vt:i4>
      </vt:variant>
      <vt:variant>
        <vt:i4>56</vt:i4>
      </vt:variant>
      <vt:variant>
        <vt:i4>0</vt:i4>
      </vt:variant>
      <vt:variant>
        <vt:i4>5</vt:i4>
      </vt:variant>
      <vt:variant>
        <vt:lpwstr/>
      </vt:variant>
      <vt:variant>
        <vt:lpwstr>_Toc80972873</vt:lpwstr>
      </vt:variant>
      <vt:variant>
        <vt:i4>1703988</vt:i4>
      </vt:variant>
      <vt:variant>
        <vt:i4>50</vt:i4>
      </vt:variant>
      <vt:variant>
        <vt:i4>0</vt:i4>
      </vt:variant>
      <vt:variant>
        <vt:i4>5</vt:i4>
      </vt:variant>
      <vt:variant>
        <vt:lpwstr/>
      </vt:variant>
      <vt:variant>
        <vt:lpwstr>_Toc80972872</vt:lpwstr>
      </vt:variant>
      <vt:variant>
        <vt:i4>1638452</vt:i4>
      </vt:variant>
      <vt:variant>
        <vt:i4>44</vt:i4>
      </vt:variant>
      <vt:variant>
        <vt:i4>0</vt:i4>
      </vt:variant>
      <vt:variant>
        <vt:i4>5</vt:i4>
      </vt:variant>
      <vt:variant>
        <vt:lpwstr/>
      </vt:variant>
      <vt:variant>
        <vt:lpwstr>_Toc80972871</vt:lpwstr>
      </vt:variant>
      <vt:variant>
        <vt:i4>1572916</vt:i4>
      </vt:variant>
      <vt:variant>
        <vt:i4>38</vt:i4>
      </vt:variant>
      <vt:variant>
        <vt:i4>0</vt:i4>
      </vt:variant>
      <vt:variant>
        <vt:i4>5</vt:i4>
      </vt:variant>
      <vt:variant>
        <vt:lpwstr/>
      </vt:variant>
      <vt:variant>
        <vt:lpwstr>_Toc80972870</vt:lpwstr>
      </vt:variant>
      <vt:variant>
        <vt:i4>1114165</vt:i4>
      </vt:variant>
      <vt:variant>
        <vt:i4>32</vt:i4>
      </vt:variant>
      <vt:variant>
        <vt:i4>0</vt:i4>
      </vt:variant>
      <vt:variant>
        <vt:i4>5</vt:i4>
      </vt:variant>
      <vt:variant>
        <vt:lpwstr/>
      </vt:variant>
      <vt:variant>
        <vt:lpwstr>_Toc80972869</vt:lpwstr>
      </vt:variant>
      <vt:variant>
        <vt:i4>1048629</vt:i4>
      </vt:variant>
      <vt:variant>
        <vt:i4>26</vt:i4>
      </vt:variant>
      <vt:variant>
        <vt:i4>0</vt:i4>
      </vt:variant>
      <vt:variant>
        <vt:i4>5</vt:i4>
      </vt:variant>
      <vt:variant>
        <vt:lpwstr/>
      </vt:variant>
      <vt:variant>
        <vt:lpwstr>_Toc80972868</vt:lpwstr>
      </vt:variant>
      <vt:variant>
        <vt:i4>2031669</vt:i4>
      </vt:variant>
      <vt:variant>
        <vt:i4>20</vt:i4>
      </vt:variant>
      <vt:variant>
        <vt:i4>0</vt:i4>
      </vt:variant>
      <vt:variant>
        <vt:i4>5</vt:i4>
      </vt:variant>
      <vt:variant>
        <vt:lpwstr/>
      </vt:variant>
      <vt:variant>
        <vt:lpwstr>_Toc80972867</vt:lpwstr>
      </vt:variant>
      <vt:variant>
        <vt:i4>1966133</vt:i4>
      </vt:variant>
      <vt:variant>
        <vt:i4>14</vt:i4>
      </vt:variant>
      <vt:variant>
        <vt:i4>0</vt:i4>
      </vt:variant>
      <vt:variant>
        <vt:i4>5</vt:i4>
      </vt:variant>
      <vt:variant>
        <vt:lpwstr/>
      </vt:variant>
      <vt:variant>
        <vt:lpwstr>_Toc80972866</vt:lpwstr>
      </vt:variant>
      <vt:variant>
        <vt:i4>1900597</vt:i4>
      </vt:variant>
      <vt:variant>
        <vt:i4>8</vt:i4>
      </vt:variant>
      <vt:variant>
        <vt:i4>0</vt:i4>
      </vt:variant>
      <vt:variant>
        <vt:i4>5</vt:i4>
      </vt:variant>
      <vt:variant>
        <vt:lpwstr/>
      </vt:variant>
      <vt:variant>
        <vt:lpwstr>_Toc80972865</vt:lpwstr>
      </vt:variant>
      <vt:variant>
        <vt:i4>1835061</vt:i4>
      </vt:variant>
      <vt:variant>
        <vt:i4>2</vt:i4>
      </vt:variant>
      <vt:variant>
        <vt:i4>0</vt:i4>
      </vt:variant>
      <vt:variant>
        <vt:i4>5</vt:i4>
      </vt:variant>
      <vt:variant>
        <vt:lpwstr/>
      </vt:variant>
      <vt:variant>
        <vt:lpwstr>_Toc80972864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landscape Word document template V1</dc:title>
  <dc:subject/>
  <dc:creator>NRatclif</dc:creator>
  <cp:keywords/>
  <cp:lastModifiedBy>Abigail Morley</cp:lastModifiedBy>
  <cp:revision>2</cp:revision>
  <cp:lastPrinted>2018-02-13T11:09:00Z</cp:lastPrinted>
  <dcterms:created xsi:type="dcterms:W3CDTF">2021-09-22T08:05:00Z</dcterms:created>
  <dcterms:modified xsi:type="dcterms:W3CDTF">2021-09-22T08:05:00Z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rimaryOwner">
    <vt:lpwstr>224</vt:lpwstr>
  </property>
  <property fmtid="{D5CDD505-2E9C-101B-9397-08002B2CF9AE}" pid="3" name="DepartmentManagedMetadata">
    <vt:lpwstr>46;#Customer Insight and Communications|3adf1842-26d1-43aa-91a8-1f6dd431fc74</vt:lpwstr>
  </property>
  <property fmtid="{D5CDD505-2E9C-101B-9397-08002B2CF9AE}" pid="4" name="_SecondaryOwner">
    <vt:lpwstr>220</vt:lpwstr>
  </property>
  <property fmtid="{D5CDD505-2E9C-101B-9397-08002B2CF9AE}" pid="5" name="_EndDateTime">
    <vt:lpwstr>2017-01-03T00:00:00Z</vt:lpwstr>
  </property>
  <property fmtid="{D5CDD505-2E9C-101B-9397-08002B2CF9AE}" pid="6" name="IntranetCategoryManagedMetadata">
    <vt:lpwstr>57;#Communications|3eb392b9-16a9-45d8-947f-db9d186f210d</vt:lpwstr>
  </property>
  <property fmtid="{D5CDD505-2E9C-101B-9397-08002B2CF9AE}" pid="7" name="IntranetCategoryManagedMetadataTaxHTField0">
    <vt:lpwstr>Communications|3eb392b9-16a9-45d8-947f-db9d186f210d</vt:lpwstr>
  </property>
  <property fmtid="{D5CDD505-2E9C-101B-9397-08002B2CF9AE}" pid="8" name="CategoryManagedMetadataTaxHTField0">
    <vt:lpwstr>Managing Corporate Relations|bb73da66-fcad-4794-a3e9-9e30e766425c</vt:lpwstr>
  </property>
  <property fmtid="{D5CDD505-2E9C-101B-9397-08002B2CF9AE}" pid="9" name="display_urn:schemas-microsoft-com:office:office#_PrimaryOwner">
    <vt:lpwstr>Nicola Ratcliffe</vt:lpwstr>
  </property>
  <property fmtid="{D5CDD505-2E9C-101B-9397-08002B2CF9AE}" pid="10" name="PublishingExpirationDate">
    <vt:lpwstr>2017-01-03T00:00:00Z</vt:lpwstr>
  </property>
  <property fmtid="{D5CDD505-2E9C-101B-9397-08002B2CF9AE}" pid="11" name="_RetentionPeriod">
    <vt:lpwstr>7 Years</vt:lpwstr>
  </property>
  <property fmtid="{D5CDD505-2E9C-101B-9397-08002B2CF9AE}" pid="12" name="CategoryManagedMetadata">
    <vt:lpwstr>18;#Managing Corporate Relations|bb73da66-fcad-4794-a3e9-9e30e766425c</vt:lpwstr>
  </property>
  <property fmtid="{D5CDD505-2E9C-101B-9397-08002B2CF9AE}" pid="13" name="DepartmentManagedMetadataTaxHTField0">
    <vt:lpwstr>Customer Insight and Communications|3adf1842-26d1-43aa-91a8-1f6dd431fc74</vt:lpwstr>
  </property>
  <property fmtid="{D5CDD505-2E9C-101B-9397-08002B2CF9AE}" pid="14" name="display_urn:schemas-microsoft-com:office:office#_SecondaryOwner">
    <vt:lpwstr>James Davenport</vt:lpwstr>
  </property>
  <property fmtid="{D5CDD505-2E9C-101B-9397-08002B2CF9AE}" pid="15" name="_RequireReview">
    <vt:lpwstr>1</vt:lpwstr>
  </property>
  <property fmtid="{D5CDD505-2E9C-101B-9397-08002B2CF9AE}" pid="16" name="TaxCatchAll">
    <vt:lpwstr>18;#Managing Corporate Relations|bb73da66-fcad-4794-a3e9-9e30e766425c;#46;#Customer Insight and Communications|3adf1842-26d1-43aa-91a8-1f6dd431fc74;#57;#Communications|3eb392b9-16a9-45d8-947f-db9d186f210d</vt:lpwstr>
  </property>
  <property fmtid="{D5CDD505-2E9C-101B-9397-08002B2CF9AE}" pid="17" name="Gov_SecondNotification">
    <vt:lpwstr>true</vt:lpwstr>
  </property>
  <property fmtid="{D5CDD505-2E9C-101B-9397-08002B2CF9AE}" pid="18" name="Gov_FinalNotification">
    <vt:lpwstr/>
  </property>
  <property fmtid="{D5CDD505-2E9C-101B-9397-08002B2CF9AE}" pid="19" name="Gov_FirstNotification">
    <vt:lpwstr>0</vt:lpwstr>
  </property>
  <property fmtid="{D5CDD505-2E9C-101B-9397-08002B2CF9AE}" pid="20" name="Category">
    <vt:lpwstr/>
  </property>
  <property fmtid="{D5CDD505-2E9C-101B-9397-08002B2CF9AE}" pid="21" name="PublishingStartDate">
    <vt:lpwstr/>
  </property>
  <property fmtid="{D5CDD505-2E9C-101B-9397-08002B2CF9AE}" pid="22" name="_StartDateTime">
    <vt:lpwstr/>
  </property>
</Properties>
</file>