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940BF" w14:textId="77777777" w:rsidR="00810077" w:rsidRDefault="00810077">
      <w:pPr>
        <w:spacing w:after="0"/>
        <w:rPr>
          <w:rFonts w:ascii="Arial" w:eastAsia="Arial" w:hAnsi="Arial" w:cs="Arial"/>
          <w:color w:val="548DD4"/>
          <w:sz w:val="28"/>
          <w:szCs w:val="28"/>
        </w:rPr>
      </w:pPr>
    </w:p>
    <w:p w14:paraId="40F940C0" w14:textId="77777777" w:rsidR="00810077" w:rsidRDefault="00810077">
      <w:pPr>
        <w:spacing w:after="0"/>
        <w:rPr>
          <w:rFonts w:ascii="Arial" w:eastAsia="Arial" w:hAnsi="Arial" w:cs="Arial"/>
          <w:color w:val="548DD4"/>
          <w:sz w:val="28"/>
          <w:szCs w:val="28"/>
        </w:rPr>
      </w:pPr>
    </w:p>
    <w:p w14:paraId="40F940C1" w14:textId="77777777" w:rsidR="00810077" w:rsidRDefault="00855C24">
      <w:pPr>
        <w:tabs>
          <w:tab w:val="left" w:pos="2322"/>
        </w:tabs>
        <w:spacing w:after="0"/>
        <w:rPr>
          <w:rFonts w:ascii="Arial" w:eastAsia="Arial" w:hAnsi="Arial" w:cs="Arial"/>
          <w:color w:val="548DD4"/>
          <w:sz w:val="48"/>
          <w:szCs w:val="48"/>
        </w:rPr>
      </w:pPr>
      <w:r>
        <w:rPr>
          <w:rFonts w:ascii="Arial" w:eastAsia="Arial" w:hAnsi="Arial" w:cs="Arial"/>
          <w:b/>
          <w:color w:val="548DD4"/>
          <w:sz w:val="48"/>
          <w:szCs w:val="48"/>
        </w:rPr>
        <w:tab/>
      </w:r>
    </w:p>
    <w:p w14:paraId="40F940C2" w14:textId="77777777" w:rsidR="00810077" w:rsidRDefault="00855C24">
      <w:pPr>
        <w:spacing w:after="0"/>
        <w:rPr>
          <w:rFonts w:ascii="Arial" w:eastAsia="Arial" w:hAnsi="Arial" w:cs="Arial"/>
          <w:color w:val="548DD4"/>
          <w:sz w:val="44"/>
          <w:szCs w:val="44"/>
        </w:rPr>
      </w:pPr>
      <w:r>
        <w:rPr>
          <w:rFonts w:ascii="Arial" w:eastAsia="Arial" w:hAnsi="Arial" w:cs="Arial"/>
          <w:b/>
          <w:color w:val="548DD4"/>
          <w:sz w:val="44"/>
          <w:szCs w:val="44"/>
        </w:rPr>
        <w:t xml:space="preserve">Respiratory Dashboard  </w:t>
      </w:r>
    </w:p>
    <w:p w14:paraId="40F940C3" w14:textId="77777777" w:rsidR="00810077" w:rsidRDefault="00810077">
      <w:pPr>
        <w:spacing w:after="0"/>
        <w:rPr>
          <w:rFonts w:ascii="Arial" w:eastAsia="Arial" w:hAnsi="Arial" w:cs="Arial"/>
          <w:color w:val="548DD4"/>
          <w:sz w:val="44"/>
          <w:szCs w:val="44"/>
        </w:rPr>
      </w:pPr>
    </w:p>
    <w:p w14:paraId="40F940C4" w14:textId="778B5B72" w:rsidR="00810077" w:rsidRDefault="00855C24">
      <w:pPr>
        <w:spacing w:after="0"/>
        <w:rPr>
          <w:rFonts w:ascii="Arial" w:eastAsia="Arial" w:hAnsi="Arial" w:cs="Arial"/>
          <w:color w:val="548DD4"/>
          <w:sz w:val="44"/>
          <w:szCs w:val="44"/>
        </w:rPr>
      </w:pPr>
      <w:r>
        <w:rPr>
          <w:rFonts w:ascii="Arial" w:eastAsia="Arial" w:hAnsi="Arial" w:cs="Arial"/>
          <w:b/>
          <w:color w:val="548DD4"/>
          <w:sz w:val="44"/>
          <w:szCs w:val="44"/>
        </w:rPr>
        <w:t xml:space="preserve">Version: </w:t>
      </w:r>
      <w:r w:rsidR="00315ADB">
        <w:rPr>
          <w:rFonts w:ascii="Arial" w:eastAsia="Arial" w:hAnsi="Arial" w:cs="Arial"/>
          <w:b/>
          <w:color w:val="548DD4"/>
          <w:sz w:val="44"/>
          <w:szCs w:val="44"/>
        </w:rPr>
        <w:t>December</w:t>
      </w:r>
      <w:r w:rsidR="00895D0C">
        <w:rPr>
          <w:rFonts w:ascii="Arial" w:eastAsia="Arial" w:hAnsi="Arial" w:cs="Arial"/>
          <w:b/>
          <w:color w:val="548DD4"/>
          <w:sz w:val="44"/>
          <w:szCs w:val="44"/>
        </w:rPr>
        <w:t xml:space="preserve"> 2021</w:t>
      </w:r>
    </w:p>
    <w:p w14:paraId="40F940C5" w14:textId="77777777" w:rsidR="00810077" w:rsidRDefault="00810077">
      <w:pPr>
        <w:spacing w:after="0"/>
        <w:rPr>
          <w:rFonts w:ascii="Arial" w:eastAsia="Arial" w:hAnsi="Arial" w:cs="Arial"/>
          <w:color w:val="548DD4"/>
          <w:sz w:val="48"/>
          <w:szCs w:val="48"/>
        </w:rPr>
      </w:pPr>
    </w:p>
    <w:p w14:paraId="40F940C7" w14:textId="77777777" w:rsidR="00810077" w:rsidRDefault="00855C24">
      <w:pPr>
        <w:spacing w:after="0"/>
        <w:rPr>
          <w:rFonts w:ascii="Arial" w:eastAsia="Arial" w:hAnsi="Arial" w:cs="Arial"/>
          <w:color w:val="548DD4"/>
          <w:sz w:val="44"/>
          <w:szCs w:val="44"/>
        </w:rPr>
      </w:pPr>
      <w:r>
        <w:rPr>
          <w:rFonts w:ascii="Arial" w:eastAsia="Arial" w:hAnsi="Arial" w:cs="Arial"/>
          <w:b/>
          <w:color w:val="548DD4"/>
          <w:sz w:val="44"/>
          <w:szCs w:val="44"/>
        </w:rPr>
        <w:t xml:space="preserve">Comparator Descriptions and Specifications </w:t>
      </w:r>
    </w:p>
    <w:p w14:paraId="40F940C8" w14:textId="77777777" w:rsidR="00810077" w:rsidRDefault="00810077">
      <w:pPr>
        <w:pStyle w:val="Heading1"/>
        <w:rPr>
          <w:sz w:val="22"/>
          <w:szCs w:val="22"/>
        </w:rPr>
      </w:pPr>
    </w:p>
    <w:p w14:paraId="40F940C9" w14:textId="77777777" w:rsidR="00810077" w:rsidRDefault="00810077"/>
    <w:p w14:paraId="40F940CA" w14:textId="77777777" w:rsidR="00810077" w:rsidRDefault="00810077"/>
    <w:p w14:paraId="40F940CB" w14:textId="77777777" w:rsidR="00810077" w:rsidRDefault="00810077"/>
    <w:p w14:paraId="40F940CC" w14:textId="77777777" w:rsidR="00810077" w:rsidRDefault="00810077"/>
    <w:p w14:paraId="40F940CD" w14:textId="77777777" w:rsidR="00810077" w:rsidRDefault="00810077"/>
    <w:p w14:paraId="40F940CE" w14:textId="77777777" w:rsidR="00810077" w:rsidRDefault="00810077"/>
    <w:p w14:paraId="40F940CF" w14:textId="77777777" w:rsidR="00810077" w:rsidRDefault="00810077"/>
    <w:p w14:paraId="40F940D0" w14:textId="77777777" w:rsidR="00810077" w:rsidRDefault="00810077"/>
    <w:p w14:paraId="40F940D1" w14:textId="77777777" w:rsidR="00810077" w:rsidRDefault="00855C24">
      <w:pPr>
        <w:keepNext/>
        <w:keepLines/>
        <w:spacing w:before="480" w:after="0"/>
        <w:rPr>
          <w:rFonts w:ascii="Cambria" w:eastAsia="Cambria" w:hAnsi="Cambria" w:cs="Cambria"/>
          <w:b/>
          <w:sz w:val="24"/>
          <w:szCs w:val="24"/>
        </w:rPr>
      </w:pPr>
      <w:r>
        <w:br w:type="page"/>
      </w:r>
    </w:p>
    <w:p w14:paraId="40F940D2" w14:textId="77777777" w:rsidR="00810077" w:rsidRDefault="00855C24">
      <w:pPr>
        <w:keepNext/>
        <w:keepLines/>
        <w:spacing w:before="480" w:after="0"/>
        <w:rPr>
          <w:rFonts w:ascii="Arial" w:eastAsia="Arial" w:hAnsi="Arial" w:cs="Arial"/>
          <w:b/>
          <w:sz w:val="20"/>
          <w:szCs w:val="20"/>
        </w:rPr>
      </w:pPr>
      <w:r>
        <w:rPr>
          <w:rFonts w:ascii="Arial" w:eastAsia="Arial" w:hAnsi="Arial" w:cs="Arial"/>
          <w:b/>
          <w:sz w:val="20"/>
          <w:szCs w:val="20"/>
        </w:rPr>
        <w:lastRenderedPageBreak/>
        <w:t>Contents</w:t>
      </w:r>
    </w:p>
    <w:sdt>
      <w:sdtPr>
        <w:rPr>
          <w:rFonts w:ascii="Arial" w:hAnsi="Arial" w:cs="Arial"/>
        </w:rPr>
        <w:id w:val="-624539502"/>
        <w:docPartObj>
          <w:docPartGallery w:val="Table of Contents"/>
          <w:docPartUnique/>
        </w:docPartObj>
      </w:sdtPr>
      <w:sdtEndPr/>
      <w:sdtContent>
        <w:p w14:paraId="2FC8D7CF" w14:textId="3E91F968" w:rsidR="00524AB1" w:rsidRDefault="00855C24">
          <w:pPr>
            <w:pStyle w:val="TOC1"/>
            <w:tabs>
              <w:tab w:val="right" w:pos="9628"/>
            </w:tabs>
            <w:rPr>
              <w:rFonts w:asciiTheme="minorHAnsi" w:eastAsiaTheme="minorEastAsia" w:hAnsiTheme="minorHAnsi" w:cstheme="minorBidi"/>
              <w:noProof/>
              <w:color w:val="auto"/>
            </w:rPr>
          </w:pPr>
          <w:r w:rsidRPr="00366A50">
            <w:rPr>
              <w:rFonts w:ascii="Arial" w:hAnsi="Arial" w:cs="Arial"/>
            </w:rPr>
            <w:fldChar w:fldCharType="begin"/>
          </w:r>
          <w:r w:rsidRPr="00366A50">
            <w:rPr>
              <w:rFonts w:ascii="Arial" w:hAnsi="Arial" w:cs="Arial"/>
            </w:rPr>
            <w:instrText xml:space="preserve"> TOC \h \u \z </w:instrText>
          </w:r>
          <w:r w:rsidRPr="00366A50">
            <w:rPr>
              <w:rFonts w:ascii="Arial" w:hAnsi="Arial" w:cs="Arial"/>
            </w:rPr>
            <w:fldChar w:fldCharType="separate"/>
          </w:r>
          <w:hyperlink w:anchor="_Toc89761252" w:history="1">
            <w:r w:rsidR="00524AB1" w:rsidRPr="0032237E">
              <w:rPr>
                <w:rStyle w:val="Hyperlink"/>
                <w:noProof/>
              </w:rPr>
              <w:t>Background</w:t>
            </w:r>
            <w:r w:rsidR="00524AB1">
              <w:rPr>
                <w:noProof/>
                <w:webHidden/>
              </w:rPr>
              <w:tab/>
            </w:r>
            <w:r w:rsidR="00524AB1">
              <w:rPr>
                <w:noProof/>
                <w:webHidden/>
              </w:rPr>
              <w:fldChar w:fldCharType="begin"/>
            </w:r>
            <w:r w:rsidR="00524AB1">
              <w:rPr>
                <w:noProof/>
                <w:webHidden/>
              </w:rPr>
              <w:instrText xml:space="preserve"> PAGEREF _Toc89761252 \h </w:instrText>
            </w:r>
            <w:r w:rsidR="00524AB1">
              <w:rPr>
                <w:noProof/>
                <w:webHidden/>
              </w:rPr>
            </w:r>
            <w:r w:rsidR="00524AB1">
              <w:rPr>
                <w:noProof/>
                <w:webHidden/>
              </w:rPr>
              <w:fldChar w:fldCharType="separate"/>
            </w:r>
            <w:r w:rsidR="00524AB1">
              <w:rPr>
                <w:noProof/>
                <w:webHidden/>
              </w:rPr>
              <w:t>3</w:t>
            </w:r>
            <w:r w:rsidR="00524AB1">
              <w:rPr>
                <w:noProof/>
                <w:webHidden/>
              </w:rPr>
              <w:fldChar w:fldCharType="end"/>
            </w:r>
          </w:hyperlink>
        </w:p>
        <w:p w14:paraId="470BF551" w14:textId="6C33FB84" w:rsidR="00524AB1" w:rsidRDefault="00980D87">
          <w:pPr>
            <w:pStyle w:val="TOC1"/>
            <w:tabs>
              <w:tab w:val="right" w:pos="9628"/>
            </w:tabs>
            <w:rPr>
              <w:rFonts w:asciiTheme="minorHAnsi" w:eastAsiaTheme="minorEastAsia" w:hAnsiTheme="minorHAnsi" w:cstheme="minorBidi"/>
              <w:noProof/>
              <w:color w:val="auto"/>
            </w:rPr>
          </w:pPr>
          <w:hyperlink w:anchor="_Toc89761253" w:history="1">
            <w:r w:rsidR="00524AB1" w:rsidRPr="0032237E">
              <w:rPr>
                <w:rStyle w:val="Hyperlink"/>
                <w:noProof/>
              </w:rPr>
              <w:t>Purpose</w:t>
            </w:r>
            <w:r w:rsidR="00524AB1">
              <w:rPr>
                <w:noProof/>
                <w:webHidden/>
              </w:rPr>
              <w:tab/>
            </w:r>
            <w:r w:rsidR="00524AB1">
              <w:rPr>
                <w:noProof/>
                <w:webHidden/>
              </w:rPr>
              <w:fldChar w:fldCharType="begin"/>
            </w:r>
            <w:r w:rsidR="00524AB1">
              <w:rPr>
                <w:noProof/>
                <w:webHidden/>
              </w:rPr>
              <w:instrText xml:space="preserve"> PAGEREF _Toc89761253 \h </w:instrText>
            </w:r>
            <w:r w:rsidR="00524AB1">
              <w:rPr>
                <w:noProof/>
                <w:webHidden/>
              </w:rPr>
            </w:r>
            <w:r w:rsidR="00524AB1">
              <w:rPr>
                <w:noProof/>
                <w:webHidden/>
              </w:rPr>
              <w:fldChar w:fldCharType="separate"/>
            </w:r>
            <w:r w:rsidR="00524AB1">
              <w:rPr>
                <w:noProof/>
                <w:webHidden/>
              </w:rPr>
              <w:t>3</w:t>
            </w:r>
            <w:r w:rsidR="00524AB1">
              <w:rPr>
                <w:noProof/>
                <w:webHidden/>
              </w:rPr>
              <w:fldChar w:fldCharType="end"/>
            </w:r>
          </w:hyperlink>
        </w:p>
        <w:p w14:paraId="30CF0B74" w14:textId="5F0704F8" w:rsidR="00524AB1" w:rsidRDefault="00980D87">
          <w:pPr>
            <w:pStyle w:val="TOC1"/>
            <w:tabs>
              <w:tab w:val="right" w:pos="9628"/>
            </w:tabs>
            <w:rPr>
              <w:rFonts w:asciiTheme="minorHAnsi" w:eastAsiaTheme="minorEastAsia" w:hAnsiTheme="minorHAnsi" w:cstheme="minorBidi"/>
              <w:noProof/>
              <w:color w:val="auto"/>
            </w:rPr>
          </w:pPr>
          <w:hyperlink w:anchor="_Toc89761254" w:history="1">
            <w:r w:rsidR="00524AB1" w:rsidRPr="0032237E">
              <w:rPr>
                <w:rStyle w:val="Hyperlink"/>
                <w:noProof/>
              </w:rPr>
              <w:t>Limitations</w:t>
            </w:r>
            <w:r w:rsidR="00524AB1">
              <w:rPr>
                <w:noProof/>
                <w:webHidden/>
              </w:rPr>
              <w:tab/>
            </w:r>
            <w:r w:rsidR="00524AB1">
              <w:rPr>
                <w:noProof/>
                <w:webHidden/>
              </w:rPr>
              <w:fldChar w:fldCharType="begin"/>
            </w:r>
            <w:r w:rsidR="00524AB1">
              <w:rPr>
                <w:noProof/>
                <w:webHidden/>
              </w:rPr>
              <w:instrText xml:space="preserve"> PAGEREF _Toc89761254 \h </w:instrText>
            </w:r>
            <w:r w:rsidR="00524AB1">
              <w:rPr>
                <w:noProof/>
                <w:webHidden/>
              </w:rPr>
            </w:r>
            <w:r w:rsidR="00524AB1">
              <w:rPr>
                <w:noProof/>
                <w:webHidden/>
              </w:rPr>
              <w:fldChar w:fldCharType="separate"/>
            </w:r>
            <w:r w:rsidR="00524AB1">
              <w:rPr>
                <w:noProof/>
                <w:webHidden/>
              </w:rPr>
              <w:t>3</w:t>
            </w:r>
            <w:r w:rsidR="00524AB1">
              <w:rPr>
                <w:noProof/>
                <w:webHidden/>
              </w:rPr>
              <w:fldChar w:fldCharType="end"/>
            </w:r>
          </w:hyperlink>
        </w:p>
        <w:p w14:paraId="11F7319E" w14:textId="2FE162CF" w:rsidR="00524AB1" w:rsidRDefault="00980D87">
          <w:pPr>
            <w:pStyle w:val="TOC1"/>
            <w:tabs>
              <w:tab w:val="right" w:pos="9628"/>
            </w:tabs>
            <w:rPr>
              <w:rFonts w:asciiTheme="minorHAnsi" w:eastAsiaTheme="minorEastAsia" w:hAnsiTheme="minorHAnsi" w:cstheme="minorBidi"/>
              <w:noProof/>
              <w:color w:val="auto"/>
            </w:rPr>
          </w:pPr>
          <w:hyperlink w:anchor="_Toc89761255" w:history="1">
            <w:r w:rsidR="00524AB1" w:rsidRPr="0032237E">
              <w:rPr>
                <w:rStyle w:val="Hyperlink"/>
                <w:noProof/>
              </w:rPr>
              <w:t>Table 1: List of comparators</w:t>
            </w:r>
            <w:r w:rsidR="00524AB1">
              <w:rPr>
                <w:noProof/>
                <w:webHidden/>
              </w:rPr>
              <w:tab/>
            </w:r>
            <w:r w:rsidR="00524AB1">
              <w:rPr>
                <w:noProof/>
                <w:webHidden/>
              </w:rPr>
              <w:fldChar w:fldCharType="begin"/>
            </w:r>
            <w:r w:rsidR="00524AB1">
              <w:rPr>
                <w:noProof/>
                <w:webHidden/>
              </w:rPr>
              <w:instrText xml:space="preserve"> PAGEREF _Toc89761255 \h </w:instrText>
            </w:r>
            <w:r w:rsidR="00524AB1">
              <w:rPr>
                <w:noProof/>
                <w:webHidden/>
              </w:rPr>
            </w:r>
            <w:r w:rsidR="00524AB1">
              <w:rPr>
                <w:noProof/>
                <w:webHidden/>
              </w:rPr>
              <w:fldChar w:fldCharType="separate"/>
            </w:r>
            <w:r w:rsidR="00524AB1">
              <w:rPr>
                <w:noProof/>
                <w:webHidden/>
              </w:rPr>
              <w:t>3</w:t>
            </w:r>
            <w:r w:rsidR="00524AB1">
              <w:rPr>
                <w:noProof/>
                <w:webHidden/>
              </w:rPr>
              <w:fldChar w:fldCharType="end"/>
            </w:r>
          </w:hyperlink>
        </w:p>
        <w:p w14:paraId="53373105" w14:textId="3AB57E12" w:rsidR="00524AB1" w:rsidRDefault="00980D87">
          <w:pPr>
            <w:pStyle w:val="TOC1"/>
            <w:tabs>
              <w:tab w:val="right" w:pos="9628"/>
            </w:tabs>
            <w:rPr>
              <w:rFonts w:asciiTheme="minorHAnsi" w:eastAsiaTheme="minorEastAsia" w:hAnsiTheme="minorHAnsi" w:cstheme="minorBidi"/>
              <w:noProof/>
              <w:color w:val="auto"/>
            </w:rPr>
          </w:pPr>
          <w:hyperlink w:anchor="_Toc89761256" w:history="1">
            <w:r w:rsidR="00524AB1" w:rsidRPr="0032237E">
              <w:rPr>
                <w:rStyle w:val="Hyperlink"/>
                <w:noProof/>
              </w:rPr>
              <w:t>Prescribing data used in these comparators</w:t>
            </w:r>
            <w:r w:rsidR="00524AB1">
              <w:rPr>
                <w:noProof/>
                <w:webHidden/>
              </w:rPr>
              <w:tab/>
            </w:r>
            <w:r w:rsidR="00524AB1">
              <w:rPr>
                <w:noProof/>
                <w:webHidden/>
              </w:rPr>
              <w:fldChar w:fldCharType="begin"/>
            </w:r>
            <w:r w:rsidR="00524AB1">
              <w:rPr>
                <w:noProof/>
                <w:webHidden/>
              </w:rPr>
              <w:instrText xml:space="preserve"> PAGEREF _Toc89761256 \h </w:instrText>
            </w:r>
            <w:r w:rsidR="00524AB1">
              <w:rPr>
                <w:noProof/>
                <w:webHidden/>
              </w:rPr>
            </w:r>
            <w:r w:rsidR="00524AB1">
              <w:rPr>
                <w:noProof/>
                <w:webHidden/>
              </w:rPr>
              <w:fldChar w:fldCharType="separate"/>
            </w:r>
            <w:r w:rsidR="00524AB1">
              <w:rPr>
                <w:noProof/>
                <w:webHidden/>
              </w:rPr>
              <w:t>4</w:t>
            </w:r>
            <w:r w:rsidR="00524AB1">
              <w:rPr>
                <w:noProof/>
                <w:webHidden/>
              </w:rPr>
              <w:fldChar w:fldCharType="end"/>
            </w:r>
          </w:hyperlink>
        </w:p>
        <w:p w14:paraId="0760769E" w14:textId="040A81F6" w:rsidR="00524AB1" w:rsidRDefault="00980D87">
          <w:pPr>
            <w:pStyle w:val="TOC1"/>
            <w:tabs>
              <w:tab w:val="right" w:pos="9628"/>
            </w:tabs>
            <w:rPr>
              <w:rFonts w:asciiTheme="minorHAnsi" w:eastAsiaTheme="minorEastAsia" w:hAnsiTheme="minorHAnsi" w:cstheme="minorBidi"/>
              <w:noProof/>
              <w:color w:val="auto"/>
            </w:rPr>
          </w:pPr>
          <w:hyperlink w:anchor="_Toc89761257" w:history="1">
            <w:r w:rsidR="00524AB1" w:rsidRPr="0032237E">
              <w:rPr>
                <w:rStyle w:val="Hyperlink"/>
                <w:noProof/>
              </w:rPr>
              <w:t>How to use these comparators</w:t>
            </w:r>
            <w:r w:rsidR="00524AB1">
              <w:rPr>
                <w:noProof/>
                <w:webHidden/>
              </w:rPr>
              <w:tab/>
            </w:r>
            <w:r w:rsidR="00524AB1">
              <w:rPr>
                <w:noProof/>
                <w:webHidden/>
              </w:rPr>
              <w:fldChar w:fldCharType="begin"/>
            </w:r>
            <w:r w:rsidR="00524AB1">
              <w:rPr>
                <w:noProof/>
                <w:webHidden/>
              </w:rPr>
              <w:instrText xml:space="preserve"> PAGEREF _Toc89761257 \h </w:instrText>
            </w:r>
            <w:r w:rsidR="00524AB1">
              <w:rPr>
                <w:noProof/>
                <w:webHidden/>
              </w:rPr>
            </w:r>
            <w:r w:rsidR="00524AB1">
              <w:rPr>
                <w:noProof/>
                <w:webHidden/>
              </w:rPr>
              <w:fldChar w:fldCharType="separate"/>
            </w:r>
            <w:r w:rsidR="00524AB1">
              <w:rPr>
                <w:noProof/>
                <w:webHidden/>
              </w:rPr>
              <w:t>4</w:t>
            </w:r>
            <w:r w:rsidR="00524AB1">
              <w:rPr>
                <w:noProof/>
                <w:webHidden/>
              </w:rPr>
              <w:fldChar w:fldCharType="end"/>
            </w:r>
          </w:hyperlink>
        </w:p>
        <w:p w14:paraId="1AB35129" w14:textId="447A6E23" w:rsidR="00524AB1" w:rsidRDefault="00980D87">
          <w:pPr>
            <w:pStyle w:val="TOC1"/>
            <w:tabs>
              <w:tab w:val="right" w:pos="9628"/>
            </w:tabs>
            <w:rPr>
              <w:rFonts w:asciiTheme="minorHAnsi" w:eastAsiaTheme="minorEastAsia" w:hAnsiTheme="minorHAnsi" w:cstheme="minorBidi"/>
              <w:noProof/>
              <w:color w:val="auto"/>
            </w:rPr>
          </w:pPr>
          <w:hyperlink w:anchor="_Toc89761258" w:history="1">
            <w:r w:rsidR="00524AB1" w:rsidRPr="0032237E">
              <w:rPr>
                <w:rStyle w:val="Hyperlink"/>
                <w:noProof/>
              </w:rPr>
              <w:t>Data quality assurance</w:t>
            </w:r>
            <w:r w:rsidR="00524AB1">
              <w:rPr>
                <w:noProof/>
                <w:webHidden/>
              </w:rPr>
              <w:tab/>
            </w:r>
            <w:r w:rsidR="00524AB1">
              <w:rPr>
                <w:noProof/>
                <w:webHidden/>
              </w:rPr>
              <w:fldChar w:fldCharType="begin"/>
            </w:r>
            <w:r w:rsidR="00524AB1">
              <w:rPr>
                <w:noProof/>
                <w:webHidden/>
              </w:rPr>
              <w:instrText xml:space="preserve"> PAGEREF _Toc89761258 \h </w:instrText>
            </w:r>
            <w:r w:rsidR="00524AB1">
              <w:rPr>
                <w:noProof/>
                <w:webHidden/>
              </w:rPr>
            </w:r>
            <w:r w:rsidR="00524AB1">
              <w:rPr>
                <w:noProof/>
                <w:webHidden/>
              </w:rPr>
              <w:fldChar w:fldCharType="separate"/>
            </w:r>
            <w:r w:rsidR="00524AB1">
              <w:rPr>
                <w:noProof/>
                <w:webHidden/>
              </w:rPr>
              <w:t>5</w:t>
            </w:r>
            <w:r w:rsidR="00524AB1">
              <w:rPr>
                <w:noProof/>
                <w:webHidden/>
              </w:rPr>
              <w:fldChar w:fldCharType="end"/>
            </w:r>
          </w:hyperlink>
        </w:p>
        <w:p w14:paraId="6C3D497D" w14:textId="519F6F9D" w:rsidR="00524AB1" w:rsidRDefault="00980D87">
          <w:pPr>
            <w:pStyle w:val="TOC1"/>
            <w:tabs>
              <w:tab w:val="right" w:pos="9628"/>
            </w:tabs>
            <w:rPr>
              <w:rFonts w:asciiTheme="minorHAnsi" w:eastAsiaTheme="minorEastAsia" w:hAnsiTheme="minorHAnsi" w:cstheme="minorBidi"/>
              <w:noProof/>
              <w:color w:val="auto"/>
            </w:rPr>
          </w:pPr>
          <w:hyperlink w:anchor="_Toc89761259" w:history="1">
            <w:r w:rsidR="00524AB1" w:rsidRPr="0032237E">
              <w:rPr>
                <w:rStyle w:val="Hyperlink"/>
                <w:noProof/>
              </w:rPr>
              <w:t>Respiratory Comparator Specifications</w:t>
            </w:r>
            <w:r w:rsidR="00524AB1">
              <w:rPr>
                <w:noProof/>
                <w:webHidden/>
              </w:rPr>
              <w:tab/>
            </w:r>
            <w:r w:rsidR="00524AB1">
              <w:rPr>
                <w:noProof/>
                <w:webHidden/>
              </w:rPr>
              <w:fldChar w:fldCharType="begin"/>
            </w:r>
            <w:r w:rsidR="00524AB1">
              <w:rPr>
                <w:noProof/>
                <w:webHidden/>
              </w:rPr>
              <w:instrText xml:space="preserve"> PAGEREF _Toc89761259 \h </w:instrText>
            </w:r>
            <w:r w:rsidR="00524AB1">
              <w:rPr>
                <w:noProof/>
                <w:webHidden/>
              </w:rPr>
            </w:r>
            <w:r w:rsidR="00524AB1">
              <w:rPr>
                <w:noProof/>
                <w:webHidden/>
              </w:rPr>
              <w:fldChar w:fldCharType="separate"/>
            </w:r>
            <w:r w:rsidR="00524AB1">
              <w:rPr>
                <w:noProof/>
                <w:webHidden/>
              </w:rPr>
              <w:t>6</w:t>
            </w:r>
            <w:r w:rsidR="00524AB1">
              <w:rPr>
                <w:noProof/>
                <w:webHidden/>
              </w:rPr>
              <w:fldChar w:fldCharType="end"/>
            </w:r>
          </w:hyperlink>
        </w:p>
        <w:p w14:paraId="06393813" w14:textId="399F5941" w:rsidR="00524AB1" w:rsidRDefault="00980D87">
          <w:pPr>
            <w:pStyle w:val="TOC2"/>
            <w:tabs>
              <w:tab w:val="right" w:pos="9628"/>
            </w:tabs>
            <w:rPr>
              <w:rFonts w:asciiTheme="minorHAnsi" w:eastAsiaTheme="minorEastAsia" w:hAnsiTheme="minorHAnsi" w:cstheme="minorBidi"/>
              <w:noProof/>
              <w:color w:val="auto"/>
            </w:rPr>
          </w:pPr>
          <w:hyperlink w:anchor="_Toc89761260" w:history="1">
            <w:r w:rsidR="00524AB1" w:rsidRPr="0032237E">
              <w:rPr>
                <w:rStyle w:val="Hyperlink"/>
                <w:noProof/>
              </w:rPr>
              <w:t>High dose ICS items as a % of all ICS items</w:t>
            </w:r>
            <w:r w:rsidR="00524AB1">
              <w:rPr>
                <w:noProof/>
                <w:webHidden/>
              </w:rPr>
              <w:tab/>
            </w:r>
            <w:r w:rsidR="00524AB1">
              <w:rPr>
                <w:noProof/>
                <w:webHidden/>
              </w:rPr>
              <w:fldChar w:fldCharType="begin"/>
            </w:r>
            <w:r w:rsidR="00524AB1">
              <w:rPr>
                <w:noProof/>
                <w:webHidden/>
              </w:rPr>
              <w:instrText xml:space="preserve"> PAGEREF _Toc89761260 \h </w:instrText>
            </w:r>
            <w:r w:rsidR="00524AB1">
              <w:rPr>
                <w:noProof/>
                <w:webHidden/>
              </w:rPr>
            </w:r>
            <w:r w:rsidR="00524AB1">
              <w:rPr>
                <w:noProof/>
                <w:webHidden/>
              </w:rPr>
              <w:fldChar w:fldCharType="separate"/>
            </w:r>
            <w:r w:rsidR="00524AB1">
              <w:rPr>
                <w:noProof/>
                <w:webHidden/>
              </w:rPr>
              <w:t>6</w:t>
            </w:r>
            <w:r w:rsidR="00524AB1">
              <w:rPr>
                <w:noProof/>
                <w:webHidden/>
              </w:rPr>
              <w:fldChar w:fldCharType="end"/>
            </w:r>
          </w:hyperlink>
        </w:p>
        <w:p w14:paraId="5C28E786" w14:textId="5BDA72D5" w:rsidR="00524AB1" w:rsidRDefault="00980D87">
          <w:pPr>
            <w:pStyle w:val="TOC2"/>
            <w:tabs>
              <w:tab w:val="right" w:pos="9628"/>
            </w:tabs>
            <w:rPr>
              <w:rFonts w:asciiTheme="minorHAnsi" w:eastAsiaTheme="minorEastAsia" w:hAnsiTheme="minorHAnsi" w:cstheme="minorBidi"/>
              <w:noProof/>
              <w:color w:val="auto"/>
            </w:rPr>
          </w:pPr>
          <w:hyperlink w:anchor="_Toc89761261" w:history="1">
            <w:r w:rsidR="00524AB1" w:rsidRPr="0032237E">
              <w:rPr>
                <w:rStyle w:val="Hyperlink"/>
                <w:noProof/>
              </w:rPr>
              <w:t>Inhaled steroid prevention including ICS LABA</w:t>
            </w:r>
            <w:r w:rsidR="00524AB1">
              <w:rPr>
                <w:noProof/>
                <w:webHidden/>
              </w:rPr>
              <w:tab/>
            </w:r>
            <w:r w:rsidR="00524AB1">
              <w:rPr>
                <w:noProof/>
                <w:webHidden/>
              </w:rPr>
              <w:fldChar w:fldCharType="begin"/>
            </w:r>
            <w:r w:rsidR="00524AB1">
              <w:rPr>
                <w:noProof/>
                <w:webHidden/>
              </w:rPr>
              <w:instrText xml:space="preserve"> PAGEREF _Toc89761261 \h </w:instrText>
            </w:r>
            <w:r w:rsidR="00524AB1">
              <w:rPr>
                <w:noProof/>
                <w:webHidden/>
              </w:rPr>
            </w:r>
            <w:r w:rsidR="00524AB1">
              <w:rPr>
                <w:noProof/>
                <w:webHidden/>
              </w:rPr>
              <w:fldChar w:fldCharType="separate"/>
            </w:r>
            <w:r w:rsidR="00524AB1">
              <w:rPr>
                <w:noProof/>
                <w:webHidden/>
              </w:rPr>
              <w:t>7</w:t>
            </w:r>
            <w:r w:rsidR="00524AB1">
              <w:rPr>
                <w:noProof/>
                <w:webHidden/>
              </w:rPr>
              <w:fldChar w:fldCharType="end"/>
            </w:r>
          </w:hyperlink>
        </w:p>
        <w:p w14:paraId="2846E97B" w14:textId="1CDF2247" w:rsidR="00524AB1" w:rsidRDefault="00980D87">
          <w:pPr>
            <w:pStyle w:val="TOC2"/>
            <w:tabs>
              <w:tab w:val="right" w:pos="9628"/>
            </w:tabs>
            <w:rPr>
              <w:rFonts w:asciiTheme="minorHAnsi" w:eastAsiaTheme="minorEastAsia" w:hAnsiTheme="minorHAnsi" w:cstheme="minorBidi"/>
              <w:noProof/>
              <w:color w:val="auto"/>
            </w:rPr>
          </w:pPr>
          <w:hyperlink w:anchor="_Toc89761262" w:history="1">
            <w:r w:rsidR="00524AB1" w:rsidRPr="0032237E">
              <w:rPr>
                <w:rStyle w:val="Hyperlink"/>
                <w:noProof/>
              </w:rPr>
              <w:t>Prescribing of montelukast</w:t>
            </w:r>
            <w:r w:rsidR="00524AB1">
              <w:rPr>
                <w:noProof/>
                <w:webHidden/>
              </w:rPr>
              <w:tab/>
            </w:r>
            <w:r w:rsidR="00524AB1">
              <w:rPr>
                <w:noProof/>
                <w:webHidden/>
              </w:rPr>
              <w:fldChar w:fldCharType="begin"/>
            </w:r>
            <w:r w:rsidR="00524AB1">
              <w:rPr>
                <w:noProof/>
                <w:webHidden/>
              </w:rPr>
              <w:instrText xml:space="preserve"> PAGEREF _Toc89761262 \h </w:instrText>
            </w:r>
            <w:r w:rsidR="00524AB1">
              <w:rPr>
                <w:noProof/>
                <w:webHidden/>
              </w:rPr>
            </w:r>
            <w:r w:rsidR="00524AB1">
              <w:rPr>
                <w:noProof/>
                <w:webHidden/>
              </w:rPr>
              <w:fldChar w:fldCharType="separate"/>
            </w:r>
            <w:r w:rsidR="00524AB1">
              <w:rPr>
                <w:noProof/>
                <w:webHidden/>
              </w:rPr>
              <w:t>8</w:t>
            </w:r>
            <w:r w:rsidR="00524AB1">
              <w:rPr>
                <w:noProof/>
                <w:webHidden/>
              </w:rPr>
              <w:fldChar w:fldCharType="end"/>
            </w:r>
          </w:hyperlink>
        </w:p>
        <w:p w14:paraId="4377D971" w14:textId="24B7D080" w:rsidR="00524AB1" w:rsidRDefault="00980D87">
          <w:pPr>
            <w:pStyle w:val="TOC2"/>
            <w:tabs>
              <w:tab w:val="right" w:pos="9628"/>
            </w:tabs>
            <w:rPr>
              <w:rFonts w:asciiTheme="minorHAnsi" w:eastAsiaTheme="minorEastAsia" w:hAnsiTheme="minorHAnsi" w:cstheme="minorBidi"/>
              <w:noProof/>
              <w:color w:val="auto"/>
            </w:rPr>
          </w:pPr>
          <w:hyperlink w:anchor="_Toc89761263" w:history="1">
            <w:r w:rsidR="00524AB1" w:rsidRPr="0032237E">
              <w:rPr>
                <w:rStyle w:val="Hyperlink"/>
                <w:noProof/>
              </w:rPr>
              <w:t>Prescribing frequency of prednisolone 5mg tablets</w:t>
            </w:r>
            <w:r w:rsidR="00524AB1">
              <w:rPr>
                <w:noProof/>
                <w:webHidden/>
              </w:rPr>
              <w:tab/>
            </w:r>
            <w:r w:rsidR="00524AB1">
              <w:rPr>
                <w:noProof/>
                <w:webHidden/>
              </w:rPr>
              <w:fldChar w:fldCharType="begin"/>
            </w:r>
            <w:r w:rsidR="00524AB1">
              <w:rPr>
                <w:noProof/>
                <w:webHidden/>
              </w:rPr>
              <w:instrText xml:space="preserve"> PAGEREF _Toc89761263 \h </w:instrText>
            </w:r>
            <w:r w:rsidR="00524AB1">
              <w:rPr>
                <w:noProof/>
                <w:webHidden/>
              </w:rPr>
            </w:r>
            <w:r w:rsidR="00524AB1">
              <w:rPr>
                <w:noProof/>
                <w:webHidden/>
              </w:rPr>
              <w:fldChar w:fldCharType="separate"/>
            </w:r>
            <w:r w:rsidR="00524AB1">
              <w:rPr>
                <w:noProof/>
                <w:webHidden/>
              </w:rPr>
              <w:t>9</w:t>
            </w:r>
            <w:r w:rsidR="00524AB1">
              <w:rPr>
                <w:noProof/>
                <w:webHidden/>
              </w:rPr>
              <w:fldChar w:fldCharType="end"/>
            </w:r>
          </w:hyperlink>
        </w:p>
        <w:p w14:paraId="67DDA202" w14:textId="005728A7" w:rsidR="00524AB1" w:rsidRDefault="00980D87">
          <w:pPr>
            <w:pStyle w:val="TOC2"/>
            <w:tabs>
              <w:tab w:val="right" w:pos="9628"/>
            </w:tabs>
            <w:rPr>
              <w:rFonts w:asciiTheme="minorHAnsi" w:eastAsiaTheme="minorEastAsia" w:hAnsiTheme="minorHAnsi" w:cstheme="minorBidi"/>
              <w:noProof/>
              <w:color w:val="auto"/>
            </w:rPr>
          </w:pPr>
          <w:hyperlink w:anchor="_Toc89761264" w:history="1">
            <w:r w:rsidR="00524AB1" w:rsidRPr="0032237E">
              <w:rPr>
                <w:rStyle w:val="Hyperlink"/>
                <w:noProof/>
              </w:rPr>
              <w:t>Prescribing volume of prednisolone tablets</w:t>
            </w:r>
            <w:r w:rsidR="00524AB1">
              <w:rPr>
                <w:noProof/>
                <w:webHidden/>
              </w:rPr>
              <w:tab/>
            </w:r>
            <w:r w:rsidR="00524AB1">
              <w:rPr>
                <w:noProof/>
                <w:webHidden/>
              </w:rPr>
              <w:fldChar w:fldCharType="begin"/>
            </w:r>
            <w:r w:rsidR="00524AB1">
              <w:rPr>
                <w:noProof/>
                <w:webHidden/>
              </w:rPr>
              <w:instrText xml:space="preserve"> PAGEREF _Toc89761264 \h </w:instrText>
            </w:r>
            <w:r w:rsidR="00524AB1">
              <w:rPr>
                <w:noProof/>
                <w:webHidden/>
              </w:rPr>
            </w:r>
            <w:r w:rsidR="00524AB1">
              <w:rPr>
                <w:noProof/>
                <w:webHidden/>
              </w:rPr>
              <w:fldChar w:fldCharType="separate"/>
            </w:r>
            <w:r w:rsidR="00524AB1">
              <w:rPr>
                <w:noProof/>
                <w:webHidden/>
              </w:rPr>
              <w:t>10</w:t>
            </w:r>
            <w:r w:rsidR="00524AB1">
              <w:rPr>
                <w:noProof/>
                <w:webHidden/>
              </w:rPr>
              <w:fldChar w:fldCharType="end"/>
            </w:r>
          </w:hyperlink>
        </w:p>
        <w:p w14:paraId="3C9D1E63" w14:textId="446E0E95" w:rsidR="00524AB1" w:rsidRDefault="00980D87">
          <w:pPr>
            <w:pStyle w:val="TOC2"/>
            <w:tabs>
              <w:tab w:val="right" w:pos="9628"/>
            </w:tabs>
            <w:rPr>
              <w:rFonts w:asciiTheme="minorHAnsi" w:eastAsiaTheme="minorEastAsia" w:hAnsiTheme="minorHAnsi" w:cstheme="minorBidi"/>
              <w:noProof/>
              <w:color w:val="auto"/>
            </w:rPr>
          </w:pPr>
          <w:hyperlink w:anchor="_Toc89761265" w:history="1">
            <w:r w:rsidR="00524AB1" w:rsidRPr="0032237E">
              <w:rPr>
                <w:rStyle w:val="Hyperlink"/>
                <w:noProof/>
              </w:rPr>
              <w:t>Prescribing of smoking cessation products inc. nicotine replacement (NRT), varenicline and bupropion</w:t>
            </w:r>
            <w:r w:rsidR="00524AB1">
              <w:rPr>
                <w:noProof/>
                <w:webHidden/>
              </w:rPr>
              <w:tab/>
            </w:r>
            <w:r w:rsidR="00524AB1">
              <w:rPr>
                <w:noProof/>
                <w:webHidden/>
              </w:rPr>
              <w:fldChar w:fldCharType="begin"/>
            </w:r>
            <w:r w:rsidR="00524AB1">
              <w:rPr>
                <w:noProof/>
                <w:webHidden/>
              </w:rPr>
              <w:instrText xml:space="preserve"> PAGEREF _Toc89761265 \h </w:instrText>
            </w:r>
            <w:r w:rsidR="00524AB1">
              <w:rPr>
                <w:noProof/>
                <w:webHidden/>
              </w:rPr>
            </w:r>
            <w:r w:rsidR="00524AB1">
              <w:rPr>
                <w:noProof/>
                <w:webHidden/>
              </w:rPr>
              <w:fldChar w:fldCharType="separate"/>
            </w:r>
            <w:r w:rsidR="00524AB1">
              <w:rPr>
                <w:noProof/>
                <w:webHidden/>
              </w:rPr>
              <w:t>12</w:t>
            </w:r>
            <w:r w:rsidR="00524AB1">
              <w:rPr>
                <w:noProof/>
                <w:webHidden/>
              </w:rPr>
              <w:fldChar w:fldCharType="end"/>
            </w:r>
          </w:hyperlink>
        </w:p>
        <w:p w14:paraId="72A398E0" w14:textId="3376C409" w:rsidR="00524AB1" w:rsidRDefault="00980D87">
          <w:pPr>
            <w:pStyle w:val="TOC2"/>
            <w:tabs>
              <w:tab w:val="right" w:pos="9628"/>
            </w:tabs>
            <w:rPr>
              <w:rFonts w:asciiTheme="minorHAnsi" w:eastAsiaTheme="minorEastAsia" w:hAnsiTheme="minorHAnsi" w:cstheme="minorBidi"/>
              <w:noProof/>
              <w:color w:val="auto"/>
            </w:rPr>
          </w:pPr>
          <w:hyperlink w:anchor="_Toc89761266" w:history="1">
            <w:r w:rsidR="00524AB1" w:rsidRPr="0032237E">
              <w:rPr>
                <w:rStyle w:val="Hyperlink"/>
                <w:noProof/>
              </w:rPr>
              <w:t>Excess SABA prescribing</w:t>
            </w:r>
            <w:r w:rsidR="00524AB1">
              <w:rPr>
                <w:noProof/>
                <w:webHidden/>
              </w:rPr>
              <w:tab/>
            </w:r>
            <w:r w:rsidR="00524AB1">
              <w:rPr>
                <w:noProof/>
                <w:webHidden/>
              </w:rPr>
              <w:fldChar w:fldCharType="begin"/>
            </w:r>
            <w:r w:rsidR="00524AB1">
              <w:rPr>
                <w:noProof/>
                <w:webHidden/>
              </w:rPr>
              <w:instrText xml:space="preserve"> PAGEREF _Toc89761266 \h </w:instrText>
            </w:r>
            <w:r w:rsidR="00524AB1">
              <w:rPr>
                <w:noProof/>
                <w:webHidden/>
              </w:rPr>
            </w:r>
            <w:r w:rsidR="00524AB1">
              <w:rPr>
                <w:noProof/>
                <w:webHidden/>
              </w:rPr>
              <w:fldChar w:fldCharType="separate"/>
            </w:r>
            <w:r w:rsidR="00524AB1">
              <w:rPr>
                <w:noProof/>
                <w:webHidden/>
              </w:rPr>
              <w:t>13</w:t>
            </w:r>
            <w:r w:rsidR="00524AB1">
              <w:rPr>
                <w:noProof/>
                <w:webHidden/>
              </w:rPr>
              <w:fldChar w:fldCharType="end"/>
            </w:r>
          </w:hyperlink>
        </w:p>
        <w:p w14:paraId="092CAC36" w14:textId="54311244" w:rsidR="00524AB1" w:rsidRDefault="00980D87">
          <w:pPr>
            <w:pStyle w:val="TOC2"/>
            <w:tabs>
              <w:tab w:val="right" w:pos="9628"/>
            </w:tabs>
            <w:rPr>
              <w:rFonts w:asciiTheme="minorHAnsi" w:eastAsiaTheme="minorEastAsia" w:hAnsiTheme="minorHAnsi" w:cstheme="minorBidi"/>
              <w:noProof/>
              <w:color w:val="auto"/>
            </w:rPr>
          </w:pPr>
          <w:hyperlink w:anchor="_Toc89761267" w:history="1">
            <w:r w:rsidR="00524AB1" w:rsidRPr="0032237E">
              <w:rPr>
                <w:rStyle w:val="Hyperlink"/>
                <w:noProof/>
              </w:rPr>
              <w:t>Patients on triple therapy</w:t>
            </w:r>
            <w:r w:rsidR="00524AB1">
              <w:rPr>
                <w:noProof/>
                <w:webHidden/>
              </w:rPr>
              <w:tab/>
            </w:r>
            <w:r w:rsidR="00524AB1">
              <w:rPr>
                <w:noProof/>
                <w:webHidden/>
              </w:rPr>
              <w:fldChar w:fldCharType="begin"/>
            </w:r>
            <w:r w:rsidR="00524AB1">
              <w:rPr>
                <w:noProof/>
                <w:webHidden/>
              </w:rPr>
              <w:instrText xml:space="preserve"> PAGEREF _Toc89761267 \h </w:instrText>
            </w:r>
            <w:r w:rsidR="00524AB1">
              <w:rPr>
                <w:noProof/>
                <w:webHidden/>
              </w:rPr>
            </w:r>
            <w:r w:rsidR="00524AB1">
              <w:rPr>
                <w:noProof/>
                <w:webHidden/>
              </w:rPr>
              <w:fldChar w:fldCharType="separate"/>
            </w:r>
            <w:r w:rsidR="00524AB1">
              <w:rPr>
                <w:noProof/>
                <w:webHidden/>
              </w:rPr>
              <w:t>14</w:t>
            </w:r>
            <w:r w:rsidR="00524AB1">
              <w:rPr>
                <w:noProof/>
                <w:webHidden/>
              </w:rPr>
              <w:fldChar w:fldCharType="end"/>
            </w:r>
          </w:hyperlink>
        </w:p>
        <w:p w14:paraId="11D73736" w14:textId="2B7C2069" w:rsidR="00524AB1" w:rsidRDefault="00980D87">
          <w:pPr>
            <w:pStyle w:val="TOC2"/>
            <w:tabs>
              <w:tab w:val="right" w:pos="9628"/>
            </w:tabs>
            <w:rPr>
              <w:rFonts w:asciiTheme="minorHAnsi" w:eastAsiaTheme="minorEastAsia" w:hAnsiTheme="minorHAnsi" w:cstheme="minorBidi"/>
              <w:noProof/>
              <w:color w:val="auto"/>
            </w:rPr>
          </w:pPr>
          <w:hyperlink w:anchor="_Toc89761268" w:history="1">
            <w:r w:rsidR="00524AB1" w:rsidRPr="0032237E">
              <w:rPr>
                <w:rStyle w:val="Hyperlink"/>
                <w:noProof/>
              </w:rPr>
              <w:t>Appendix 1</w:t>
            </w:r>
            <w:r w:rsidR="00524AB1">
              <w:rPr>
                <w:noProof/>
                <w:webHidden/>
              </w:rPr>
              <w:tab/>
            </w:r>
            <w:r w:rsidR="00524AB1">
              <w:rPr>
                <w:noProof/>
                <w:webHidden/>
              </w:rPr>
              <w:fldChar w:fldCharType="begin"/>
            </w:r>
            <w:r w:rsidR="00524AB1">
              <w:rPr>
                <w:noProof/>
                <w:webHidden/>
              </w:rPr>
              <w:instrText xml:space="preserve"> PAGEREF _Toc89761268 \h </w:instrText>
            </w:r>
            <w:r w:rsidR="00524AB1">
              <w:rPr>
                <w:noProof/>
                <w:webHidden/>
              </w:rPr>
            </w:r>
            <w:r w:rsidR="00524AB1">
              <w:rPr>
                <w:noProof/>
                <w:webHidden/>
              </w:rPr>
              <w:fldChar w:fldCharType="separate"/>
            </w:r>
            <w:r w:rsidR="00524AB1">
              <w:rPr>
                <w:noProof/>
                <w:webHidden/>
              </w:rPr>
              <w:t>15</w:t>
            </w:r>
            <w:r w:rsidR="00524AB1">
              <w:rPr>
                <w:noProof/>
                <w:webHidden/>
              </w:rPr>
              <w:fldChar w:fldCharType="end"/>
            </w:r>
          </w:hyperlink>
        </w:p>
        <w:p w14:paraId="086DD0D0" w14:textId="5D3A8B1E" w:rsidR="00524AB1" w:rsidRDefault="00980D87">
          <w:pPr>
            <w:pStyle w:val="TOC2"/>
            <w:tabs>
              <w:tab w:val="right" w:pos="9628"/>
            </w:tabs>
            <w:rPr>
              <w:rFonts w:asciiTheme="minorHAnsi" w:eastAsiaTheme="minorEastAsia" w:hAnsiTheme="minorHAnsi" w:cstheme="minorBidi"/>
              <w:noProof/>
              <w:color w:val="auto"/>
            </w:rPr>
          </w:pPr>
          <w:hyperlink w:anchor="_Toc89761269" w:history="1">
            <w:r w:rsidR="00524AB1" w:rsidRPr="0032237E">
              <w:rPr>
                <w:rStyle w:val="Hyperlink"/>
                <w:noProof/>
              </w:rPr>
              <w:t>Working group:</w:t>
            </w:r>
            <w:r w:rsidR="00524AB1">
              <w:rPr>
                <w:noProof/>
                <w:webHidden/>
              </w:rPr>
              <w:tab/>
            </w:r>
            <w:r w:rsidR="00524AB1">
              <w:rPr>
                <w:noProof/>
                <w:webHidden/>
              </w:rPr>
              <w:fldChar w:fldCharType="begin"/>
            </w:r>
            <w:r w:rsidR="00524AB1">
              <w:rPr>
                <w:noProof/>
                <w:webHidden/>
              </w:rPr>
              <w:instrText xml:space="preserve"> PAGEREF _Toc89761269 \h </w:instrText>
            </w:r>
            <w:r w:rsidR="00524AB1">
              <w:rPr>
                <w:noProof/>
                <w:webHidden/>
              </w:rPr>
            </w:r>
            <w:r w:rsidR="00524AB1">
              <w:rPr>
                <w:noProof/>
                <w:webHidden/>
              </w:rPr>
              <w:fldChar w:fldCharType="separate"/>
            </w:r>
            <w:r w:rsidR="00524AB1">
              <w:rPr>
                <w:noProof/>
                <w:webHidden/>
              </w:rPr>
              <w:t>15</w:t>
            </w:r>
            <w:r w:rsidR="00524AB1">
              <w:rPr>
                <w:noProof/>
                <w:webHidden/>
              </w:rPr>
              <w:fldChar w:fldCharType="end"/>
            </w:r>
          </w:hyperlink>
        </w:p>
        <w:p w14:paraId="77F065E5" w14:textId="1AB793AD" w:rsidR="00524AB1" w:rsidRDefault="00980D87">
          <w:pPr>
            <w:pStyle w:val="TOC2"/>
            <w:tabs>
              <w:tab w:val="right" w:pos="9628"/>
            </w:tabs>
            <w:rPr>
              <w:rFonts w:asciiTheme="minorHAnsi" w:eastAsiaTheme="minorEastAsia" w:hAnsiTheme="minorHAnsi" w:cstheme="minorBidi"/>
              <w:noProof/>
              <w:color w:val="auto"/>
            </w:rPr>
          </w:pPr>
          <w:hyperlink w:anchor="_Toc89761270" w:history="1">
            <w:r w:rsidR="00524AB1" w:rsidRPr="0032237E">
              <w:rPr>
                <w:rStyle w:val="Hyperlink"/>
                <w:noProof/>
              </w:rPr>
              <w:t>Appendix 2</w:t>
            </w:r>
            <w:r w:rsidR="00524AB1">
              <w:rPr>
                <w:noProof/>
                <w:webHidden/>
              </w:rPr>
              <w:tab/>
            </w:r>
            <w:r w:rsidR="00524AB1">
              <w:rPr>
                <w:noProof/>
                <w:webHidden/>
              </w:rPr>
              <w:fldChar w:fldCharType="begin"/>
            </w:r>
            <w:r w:rsidR="00524AB1">
              <w:rPr>
                <w:noProof/>
                <w:webHidden/>
              </w:rPr>
              <w:instrText xml:space="preserve"> PAGEREF _Toc89761270 \h </w:instrText>
            </w:r>
            <w:r w:rsidR="00524AB1">
              <w:rPr>
                <w:noProof/>
                <w:webHidden/>
              </w:rPr>
            </w:r>
            <w:r w:rsidR="00524AB1">
              <w:rPr>
                <w:noProof/>
                <w:webHidden/>
              </w:rPr>
              <w:fldChar w:fldCharType="separate"/>
            </w:r>
            <w:r w:rsidR="00524AB1">
              <w:rPr>
                <w:noProof/>
                <w:webHidden/>
              </w:rPr>
              <w:t>15</w:t>
            </w:r>
            <w:r w:rsidR="00524AB1">
              <w:rPr>
                <w:noProof/>
                <w:webHidden/>
              </w:rPr>
              <w:fldChar w:fldCharType="end"/>
            </w:r>
          </w:hyperlink>
        </w:p>
        <w:p w14:paraId="40F940E8" w14:textId="5C81F415" w:rsidR="00810077" w:rsidRPr="00366A50" w:rsidRDefault="00855C24">
          <w:pPr>
            <w:tabs>
              <w:tab w:val="right" w:pos="9637"/>
            </w:tabs>
            <w:spacing w:before="60" w:after="80" w:line="240" w:lineRule="auto"/>
            <w:ind w:left="360"/>
            <w:rPr>
              <w:rFonts w:ascii="Arial" w:eastAsia="Arial" w:hAnsi="Arial" w:cs="Arial"/>
              <w:sz w:val="20"/>
              <w:szCs w:val="20"/>
            </w:rPr>
          </w:pPr>
          <w:r w:rsidRPr="00366A50">
            <w:rPr>
              <w:rFonts w:ascii="Arial" w:hAnsi="Arial" w:cs="Arial"/>
            </w:rPr>
            <w:fldChar w:fldCharType="end"/>
          </w:r>
        </w:p>
      </w:sdtContent>
    </w:sdt>
    <w:p w14:paraId="40F940E9" w14:textId="77777777" w:rsidR="00810077" w:rsidRDefault="00810077">
      <w:bookmarkStart w:id="0" w:name="_1fob9te" w:colFirst="0" w:colLast="0"/>
      <w:bookmarkEnd w:id="0"/>
    </w:p>
    <w:p w14:paraId="40F940EA" w14:textId="77777777" w:rsidR="00810077" w:rsidRDefault="00855C24">
      <w:pPr>
        <w:pStyle w:val="Heading1"/>
      </w:pPr>
      <w:r>
        <w:br w:type="page"/>
      </w:r>
    </w:p>
    <w:p w14:paraId="40F940EB" w14:textId="77777777" w:rsidR="00810077" w:rsidRDefault="00855C24" w:rsidP="005E3A7D">
      <w:pPr>
        <w:pStyle w:val="Heading1"/>
        <w:spacing w:before="0" w:line="240" w:lineRule="auto"/>
      </w:pPr>
      <w:bookmarkStart w:id="1" w:name="_Toc89761252"/>
      <w:r>
        <w:lastRenderedPageBreak/>
        <w:t>Background</w:t>
      </w:r>
      <w:bookmarkEnd w:id="1"/>
    </w:p>
    <w:p w14:paraId="40F940EC" w14:textId="77777777" w:rsidR="005E3A7D" w:rsidRPr="004177B1" w:rsidRDefault="005E3A7D" w:rsidP="004177B1">
      <w:pPr>
        <w:spacing w:after="0" w:line="240" w:lineRule="auto"/>
        <w:rPr>
          <w:rFonts w:ascii="Arial" w:eastAsia="Arial" w:hAnsi="Arial" w:cs="Arial"/>
        </w:rPr>
      </w:pPr>
      <w:bookmarkStart w:id="2" w:name="_3znysh7" w:colFirst="0" w:colLast="0"/>
      <w:bookmarkEnd w:id="2"/>
      <w:r w:rsidRPr="004177B1">
        <w:rPr>
          <w:rFonts w:ascii="Arial" w:eastAsia="Arial" w:hAnsi="Arial" w:cs="Arial"/>
        </w:rPr>
        <w:t xml:space="preserve">Respiratory prescribing is highly complex, with a huge variety of inhalers and medicines available.  There are several illnesses affecting the respiratory system, but the main two areas of interest for this dashboard are asthma and chronic obstructive pulmonary disease (COPD).  Patients with other illnesses will be included in the results of the comparators, but the group has not considered the evidence for illnesses other than asthma and COPD. </w:t>
      </w:r>
    </w:p>
    <w:p w14:paraId="40F940ED" w14:textId="77777777" w:rsidR="005E3A7D" w:rsidRDefault="005E3A7D" w:rsidP="005E3A7D">
      <w:pPr>
        <w:pStyle w:val="Heading1"/>
        <w:spacing w:before="0" w:line="240" w:lineRule="auto"/>
      </w:pPr>
    </w:p>
    <w:p w14:paraId="40F940EE" w14:textId="77777777" w:rsidR="00810077" w:rsidRDefault="00855C24" w:rsidP="005E3A7D">
      <w:pPr>
        <w:pStyle w:val="Heading1"/>
        <w:spacing w:before="0" w:line="240" w:lineRule="auto"/>
      </w:pPr>
      <w:bookmarkStart w:id="3" w:name="_Toc89761253"/>
      <w:r>
        <w:t>Purpose</w:t>
      </w:r>
      <w:bookmarkEnd w:id="3"/>
      <w:r>
        <w:t xml:space="preserve"> </w:t>
      </w:r>
    </w:p>
    <w:p w14:paraId="40F940EF" w14:textId="77777777" w:rsidR="005E3A7D" w:rsidRPr="004177B1" w:rsidRDefault="00505641" w:rsidP="004177B1">
      <w:pPr>
        <w:spacing w:after="0" w:line="240" w:lineRule="auto"/>
        <w:rPr>
          <w:rFonts w:ascii="Arial" w:eastAsia="Arial" w:hAnsi="Arial" w:cs="Arial"/>
        </w:rPr>
      </w:pPr>
      <w:bookmarkStart w:id="4" w:name="_2et92p0" w:colFirst="0" w:colLast="0"/>
      <w:bookmarkEnd w:id="4"/>
      <w:r w:rsidRPr="004177B1">
        <w:rPr>
          <w:rFonts w:ascii="Arial" w:eastAsia="Arial" w:hAnsi="Arial" w:cs="Arial"/>
        </w:rPr>
        <w:t xml:space="preserve">The purpose of this dashboard is to allow prescribers to see some clinically appropriate comparators that have been developed by clinicians to support better prescribing.  The comparators do not show ‘good’ or ‘bad’ </w:t>
      </w:r>
      <w:proofErr w:type="gramStart"/>
      <w:r w:rsidRPr="004177B1">
        <w:rPr>
          <w:rFonts w:ascii="Arial" w:eastAsia="Arial" w:hAnsi="Arial" w:cs="Arial"/>
        </w:rPr>
        <w:t>prescribing, but</w:t>
      </w:r>
      <w:proofErr w:type="gramEnd"/>
      <w:r w:rsidRPr="004177B1">
        <w:rPr>
          <w:rFonts w:ascii="Arial" w:eastAsia="Arial" w:hAnsi="Arial" w:cs="Arial"/>
        </w:rPr>
        <w:t xml:space="preserve"> allow users to see variation and identify areas of interest for further investigation and/ or patient review.</w:t>
      </w:r>
    </w:p>
    <w:p w14:paraId="40F940F0" w14:textId="77777777" w:rsidR="00505641" w:rsidRPr="00505641" w:rsidRDefault="00505641" w:rsidP="00505641"/>
    <w:p w14:paraId="40F940F1" w14:textId="77777777" w:rsidR="00810077" w:rsidRDefault="00855C24" w:rsidP="005E3A7D">
      <w:pPr>
        <w:pStyle w:val="Heading1"/>
        <w:spacing w:before="0" w:line="240" w:lineRule="auto"/>
      </w:pPr>
      <w:bookmarkStart w:id="5" w:name="_Toc89761254"/>
      <w:r>
        <w:t>Limitations</w:t>
      </w:r>
      <w:bookmarkEnd w:id="5"/>
    </w:p>
    <w:p w14:paraId="40F940F2" w14:textId="77777777" w:rsidR="00810077" w:rsidRDefault="00855C24" w:rsidP="005E3A7D">
      <w:pPr>
        <w:spacing w:after="0" w:line="240" w:lineRule="auto"/>
        <w:rPr>
          <w:rFonts w:ascii="Arial" w:eastAsia="Arial" w:hAnsi="Arial" w:cs="Arial"/>
        </w:rPr>
      </w:pPr>
      <w:r>
        <w:rPr>
          <w:rFonts w:ascii="Arial" w:eastAsia="Arial" w:hAnsi="Arial" w:cs="Arial"/>
        </w:rPr>
        <w:t xml:space="preserve">Historically, primary care prescribing information was derived from the reimbursement processes for dispensed medicines. However, the NHSBSA is now able to capture extra information that undoubtedly adds value to prescribing measures. The NHS number of the recipient of a medicine prescribed in primary care can now be linked to items prescribed. This development enables the data to show how many patients are prescribed a medicine or group of medicines (rather than presentation of drugs prescribed by each GP practice). In this way, we </w:t>
      </w:r>
      <w:proofErr w:type="gramStart"/>
      <w:r>
        <w:rPr>
          <w:rFonts w:ascii="Arial" w:eastAsia="Arial" w:hAnsi="Arial" w:cs="Arial"/>
        </w:rPr>
        <w:t>are able to</w:t>
      </w:r>
      <w:proofErr w:type="gramEnd"/>
      <w:r>
        <w:rPr>
          <w:rFonts w:ascii="Arial" w:eastAsia="Arial" w:hAnsi="Arial" w:cs="Arial"/>
        </w:rPr>
        <w:t xml:space="preserve"> demonstrate much better the quality of prescribing in key areas. </w:t>
      </w:r>
    </w:p>
    <w:p w14:paraId="40F940F3" w14:textId="77777777" w:rsidR="00810077" w:rsidRDefault="00855C24" w:rsidP="005E3A7D">
      <w:pPr>
        <w:spacing w:after="120"/>
        <w:rPr>
          <w:rFonts w:ascii="Arial" w:eastAsia="Arial" w:hAnsi="Arial" w:cs="Arial"/>
        </w:rPr>
      </w:pPr>
      <w:r>
        <w:rPr>
          <w:rFonts w:ascii="Arial" w:eastAsia="Arial" w:hAnsi="Arial" w:cs="Arial"/>
        </w:rPr>
        <w:t>NHS number is routinely captured through the Electronic Prescription Service (EPS) with complete accuracy. Therefore, CCGs are encouraged to drive up the uptake of EPS. To support this improvement, EPS levels will be included alongside the comparators.</w:t>
      </w:r>
    </w:p>
    <w:p w14:paraId="40F940F4" w14:textId="77777777" w:rsidR="00810077" w:rsidRPr="006A0B56" w:rsidRDefault="00855C24" w:rsidP="005E3A7D">
      <w:pPr>
        <w:rPr>
          <w:rFonts w:ascii="Arial" w:eastAsia="Arial" w:hAnsi="Arial" w:cs="Arial"/>
        </w:rPr>
      </w:pPr>
      <w:r>
        <w:rPr>
          <w:rFonts w:ascii="Arial" w:eastAsia="Arial" w:hAnsi="Arial" w:cs="Arial"/>
        </w:rPr>
        <w:t>Information governance is very important and in the preparation of these</w:t>
      </w:r>
      <w:r>
        <w:t xml:space="preserve"> </w:t>
      </w:r>
      <w:r w:rsidR="006A0B56">
        <w:rPr>
          <w:rFonts w:ascii="Arial" w:eastAsia="Arial" w:hAnsi="Arial" w:cs="Arial"/>
        </w:rPr>
        <w:t>co</w:t>
      </w:r>
      <w:r>
        <w:rPr>
          <w:rFonts w:ascii="Arial" w:eastAsia="Arial" w:hAnsi="Arial" w:cs="Arial"/>
        </w:rPr>
        <w:t>mparators all data protection legislation and patient confidentiality has been carefully considered and adhered to. While</w:t>
      </w:r>
      <w:r w:rsidR="006A0B56">
        <w:rPr>
          <w:rFonts w:ascii="Arial" w:eastAsia="Arial" w:hAnsi="Arial" w:cs="Arial"/>
        </w:rPr>
        <w:t xml:space="preserve"> the co</w:t>
      </w:r>
      <w:r>
        <w:rPr>
          <w:rFonts w:ascii="Arial" w:eastAsia="Arial" w:hAnsi="Arial" w:cs="Arial"/>
        </w:rPr>
        <w:t>mparators are derived from patient level records, personal identifiable data will not be included within the reports.</w:t>
      </w:r>
    </w:p>
    <w:p w14:paraId="40F940F5" w14:textId="77777777" w:rsidR="00810077" w:rsidRDefault="00855C24" w:rsidP="005E3A7D">
      <w:pPr>
        <w:spacing w:after="120"/>
        <w:rPr>
          <w:rFonts w:ascii="Arial" w:eastAsia="Arial" w:hAnsi="Arial" w:cs="Arial"/>
        </w:rPr>
      </w:pPr>
      <w:r>
        <w:rPr>
          <w:rFonts w:ascii="Arial" w:eastAsia="Arial" w:hAnsi="Arial" w:cs="Arial"/>
        </w:rPr>
        <w:t>Each comparator has a full specification outlining the evidence base behind the comparator; the rationale for inclusion and the data source (see Table 1 for list of comparators).</w:t>
      </w:r>
    </w:p>
    <w:p w14:paraId="40F940F6" w14:textId="77777777" w:rsidR="00810077" w:rsidRDefault="00855C24" w:rsidP="005E3A7D">
      <w:pPr>
        <w:spacing w:after="120"/>
        <w:rPr>
          <w:rFonts w:ascii="Arial" w:eastAsia="Arial" w:hAnsi="Arial" w:cs="Arial"/>
        </w:rPr>
      </w:pPr>
      <w:bookmarkStart w:id="6" w:name="_tyjcwt" w:colFirst="0" w:colLast="0"/>
      <w:bookmarkEnd w:id="6"/>
      <w:r>
        <w:rPr>
          <w:rFonts w:ascii="Arial" w:eastAsia="Arial" w:hAnsi="Arial" w:cs="Arial"/>
          <w:b/>
        </w:rPr>
        <w:t xml:space="preserve">This comparator specification document is NOT a prescribing guideline. It simply shows how the comparators were developed and the rationale behind each comparator. </w:t>
      </w:r>
    </w:p>
    <w:p w14:paraId="40F940F7" w14:textId="77777777" w:rsidR="00810077" w:rsidRDefault="00855C24" w:rsidP="005E3A7D">
      <w:pPr>
        <w:pStyle w:val="Heading1"/>
      </w:pPr>
      <w:bookmarkStart w:id="7" w:name="_Toc89761255"/>
      <w:r>
        <w:t>Table 1: List of comparators</w:t>
      </w:r>
      <w:bookmarkEnd w:id="7"/>
    </w:p>
    <w:p w14:paraId="40F940F8" w14:textId="77777777" w:rsidR="00810077" w:rsidRDefault="00810077" w:rsidP="005E3A7D">
      <w:pPr>
        <w:widowControl w:val="0"/>
        <w:spacing w:after="0" w:line="240" w:lineRule="auto"/>
        <w:rPr>
          <w:rFonts w:ascii="Arial" w:eastAsia="Arial" w:hAnsi="Arial" w:cs="Arial"/>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810077" w14:paraId="40F940FA" w14:textId="77777777">
        <w:tc>
          <w:tcPr>
            <w:tcW w:w="9747" w:type="dxa"/>
          </w:tcPr>
          <w:p w14:paraId="40F940F9" w14:textId="77777777" w:rsidR="00810077" w:rsidRDefault="00855C24">
            <w:pPr>
              <w:widowControl w:val="0"/>
              <w:spacing w:after="0" w:line="240" w:lineRule="auto"/>
              <w:rPr>
                <w:rFonts w:ascii="Arial" w:eastAsia="Arial" w:hAnsi="Arial" w:cs="Arial"/>
              </w:rPr>
            </w:pPr>
            <w:r>
              <w:rPr>
                <w:rFonts w:ascii="Arial" w:eastAsia="Arial" w:hAnsi="Arial" w:cs="Arial"/>
                <w:b/>
              </w:rPr>
              <w:t>Comparator Title</w:t>
            </w:r>
          </w:p>
        </w:tc>
      </w:tr>
      <w:tr w:rsidR="00810077" w14:paraId="40F940FC" w14:textId="77777777">
        <w:tc>
          <w:tcPr>
            <w:tcW w:w="9747" w:type="dxa"/>
          </w:tcPr>
          <w:p w14:paraId="40F940FB" w14:textId="77777777" w:rsidR="00810077" w:rsidRDefault="00855C24">
            <w:pPr>
              <w:widowControl w:val="0"/>
              <w:spacing w:after="0" w:line="240" w:lineRule="auto"/>
              <w:rPr>
                <w:rFonts w:ascii="Arial" w:eastAsia="Arial" w:hAnsi="Arial" w:cs="Arial"/>
              </w:rPr>
            </w:pPr>
            <w:r>
              <w:rPr>
                <w:rFonts w:ascii="Arial" w:eastAsia="Arial" w:hAnsi="Arial" w:cs="Arial"/>
              </w:rPr>
              <w:t>High dose ICS items as a % of all ICS items</w:t>
            </w:r>
          </w:p>
        </w:tc>
      </w:tr>
      <w:tr w:rsidR="00810077" w14:paraId="40F940FE" w14:textId="77777777">
        <w:tc>
          <w:tcPr>
            <w:tcW w:w="9747" w:type="dxa"/>
          </w:tcPr>
          <w:p w14:paraId="40F940FD" w14:textId="77777777" w:rsidR="00810077" w:rsidRDefault="00505641">
            <w:pPr>
              <w:widowControl w:val="0"/>
              <w:spacing w:after="0" w:line="240" w:lineRule="auto"/>
              <w:rPr>
                <w:rFonts w:ascii="Arial" w:eastAsia="Arial" w:hAnsi="Arial" w:cs="Arial"/>
              </w:rPr>
            </w:pPr>
            <w:r>
              <w:rPr>
                <w:rFonts w:ascii="Arial" w:eastAsia="Arial" w:hAnsi="Arial" w:cs="Arial"/>
              </w:rPr>
              <w:t>Inhaled steroid prevention including ICS LABA</w:t>
            </w:r>
          </w:p>
        </w:tc>
      </w:tr>
      <w:tr w:rsidR="00810077" w14:paraId="40F94100" w14:textId="77777777">
        <w:trPr>
          <w:trHeight w:val="280"/>
        </w:trPr>
        <w:tc>
          <w:tcPr>
            <w:tcW w:w="9747" w:type="dxa"/>
          </w:tcPr>
          <w:p w14:paraId="40F940FF" w14:textId="77777777" w:rsidR="00810077" w:rsidRDefault="00855C24" w:rsidP="00505641">
            <w:pPr>
              <w:widowControl w:val="0"/>
              <w:spacing w:after="0" w:line="240" w:lineRule="auto"/>
              <w:rPr>
                <w:rFonts w:ascii="Arial" w:eastAsia="Arial" w:hAnsi="Arial" w:cs="Arial"/>
              </w:rPr>
            </w:pPr>
            <w:r>
              <w:rPr>
                <w:rFonts w:ascii="Arial" w:eastAsia="Arial" w:hAnsi="Arial" w:cs="Arial"/>
              </w:rPr>
              <w:t xml:space="preserve">Prescribing of </w:t>
            </w:r>
            <w:r w:rsidR="00487B06">
              <w:rPr>
                <w:rFonts w:ascii="Arial" w:eastAsia="Arial" w:hAnsi="Arial" w:cs="Arial"/>
              </w:rPr>
              <w:t>M</w:t>
            </w:r>
            <w:r w:rsidR="00505641">
              <w:rPr>
                <w:rFonts w:ascii="Arial" w:eastAsia="Arial" w:hAnsi="Arial" w:cs="Arial"/>
              </w:rPr>
              <w:t>ontelukast</w:t>
            </w:r>
          </w:p>
        </w:tc>
      </w:tr>
      <w:tr w:rsidR="00810077" w14:paraId="40F94102" w14:textId="77777777">
        <w:tc>
          <w:tcPr>
            <w:tcW w:w="9747" w:type="dxa"/>
          </w:tcPr>
          <w:p w14:paraId="40F94101" w14:textId="77777777" w:rsidR="00810077" w:rsidRDefault="00505641" w:rsidP="00505641">
            <w:pPr>
              <w:widowControl w:val="0"/>
              <w:spacing w:after="0" w:line="240" w:lineRule="auto"/>
              <w:rPr>
                <w:rFonts w:ascii="Arial" w:eastAsia="Arial" w:hAnsi="Arial" w:cs="Arial"/>
              </w:rPr>
            </w:pPr>
            <w:r>
              <w:rPr>
                <w:rFonts w:ascii="Arial" w:eastAsia="Arial" w:hAnsi="Arial" w:cs="Arial"/>
              </w:rPr>
              <w:t>Prescribing f</w:t>
            </w:r>
            <w:r w:rsidR="00855C24">
              <w:rPr>
                <w:rFonts w:ascii="Arial" w:eastAsia="Arial" w:hAnsi="Arial" w:cs="Arial"/>
              </w:rPr>
              <w:t xml:space="preserve">requency of </w:t>
            </w:r>
            <w:r>
              <w:rPr>
                <w:rFonts w:ascii="Arial" w:eastAsia="Arial" w:hAnsi="Arial" w:cs="Arial"/>
              </w:rPr>
              <w:t>p</w:t>
            </w:r>
            <w:r w:rsidR="00855C24">
              <w:rPr>
                <w:rFonts w:ascii="Arial" w:eastAsia="Arial" w:hAnsi="Arial" w:cs="Arial"/>
              </w:rPr>
              <w:t>rednisolone 5mg tablets</w:t>
            </w:r>
          </w:p>
        </w:tc>
      </w:tr>
      <w:tr w:rsidR="00A2687B" w14:paraId="373EC49A" w14:textId="77777777">
        <w:tc>
          <w:tcPr>
            <w:tcW w:w="9747" w:type="dxa"/>
          </w:tcPr>
          <w:p w14:paraId="2D1FC7BF" w14:textId="5F622C9E" w:rsidR="00A2687B" w:rsidRDefault="00A2687B" w:rsidP="00505641">
            <w:pPr>
              <w:widowControl w:val="0"/>
              <w:spacing w:after="0" w:line="240" w:lineRule="auto"/>
              <w:rPr>
                <w:rFonts w:ascii="Arial" w:eastAsia="Arial" w:hAnsi="Arial" w:cs="Arial"/>
              </w:rPr>
            </w:pPr>
            <w:r>
              <w:rPr>
                <w:rFonts w:ascii="Arial" w:eastAsia="Arial" w:hAnsi="Arial" w:cs="Arial"/>
              </w:rPr>
              <w:t>Prescribing volume of prednisolone tablets</w:t>
            </w:r>
          </w:p>
        </w:tc>
      </w:tr>
      <w:tr w:rsidR="00810077" w14:paraId="40F94104" w14:textId="77777777">
        <w:tc>
          <w:tcPr>
            <w:tcW w:w="9747" w:type="dxa"/>
          </w:tcPr>
          <w:p w14:paraId="40F94103" w14:textId="77777777" w:rsidR="00810077" w:rsidRDefault="00855C24" w:rsidP="00505641">
            <w:pPr>
              <w:widowControl w:val="0"/>
              <w:spacing w:after="0" w:line="240" w:lineRule="auto"/>
              <w:rPr>
                <w:rFonts w:ascii="Arial" w:eastAsia="Arial" w:hAnsi="Arial" w:cs="Arial"/>
                <w:highlight w:val="yellow"/>
              </w:rPr>
            </w:pPr>
            <w:r>
              <w:rPr>
                <w:rFonts w:ascii="Arial" w:eastAsia="Arial" w:hAnsi="Arial" w:cs="Arial"/>
              </w:rPr>
              <w:t>Prescribing of smoking cessation products in</w:t>
            </w:r>
            <w:r w:rsidR="00505641">
              <w:rPr>
                <w:rFonts w:ascii="Arial" w:eastAsia="Arial" w:hAnsi="Arial" w:cs="Arial"/>
              </w:rPr>
              <w:t>c. nicotine replacement (NRT), v</w:t>
            </w:r>
            <w:r>
              <w:rPr>
                <w:rFonts w:ascii="Arial" w:eastAsia="Arial" w:hAnsi="Arial" w:cs="Arial"/>
              </w:rPr>
              <w:t xml:space="preserve">arenicline and </w:t>
            </w:r>
            <w:r w:rsidR="00505641">
              <w:rPr>
                <w:rFonts w:ascii="Arial" w:eastAsia="Arial" w:hAnsi="Arial" w:cs="Arial"/>
              </w:rPr>
              <w:t>b</w:t>
            </w:r>
            <w:r>
              <w:rPr>
                <w:rFonts w:ascii="Arial" w:eastAsia="Arial" w:hAnsi="Arial" w:cs="Arial"/>
              </w:rPr>
              <w:t>upropion</w:t>
            </w:r>
          </w:p>
        </w:tc>
      </w:tr>
      <w:tr w:rsidR="00505641" w14:paraId="40F94106" w14:textId="77777777">
        <w:tc>
          <w:tcPr>
            <w:tcW w:w="9747" w:type="dxa"/>
          </w:tcPr>
          <w:p w14:paraId="40F94105" w14:textId="77777777" w:rsidR="00505641" w:rsidRDefault="00505641" w:rsidP="00505641">
            <w:pPr>
              <w:widowControl w:val="0"/>
              <w:spacing w:after="0" w:line="240" w:lineRule="auto"/>
              <w:rPr>
                <w:rFonts w:ascii="Arial" w:eastAsia="Arial" w:hAnsi="Arial" w:cs="Arial"/>
              </w:rPr>
            </w:pPr>
            <w:r>
              <w:rPr>
                <w:rFonts w:ascii="Arial" w:eastAsia="Arial" w:hAnsi="Arial" w:cs="Arial"/>
              </w:rPr>
              <w:t>Excess SABA prescribing</w:t>
            </w:r>
          </w:p>
        </w:tc>
      </w:tr>
      <w:tr w:rsidR="00505641" w14:paraId="40F94108" w14:textId="77777777">
        <w:tc>
          <w:tcPr>
            <w:tcW w:w="9747" w:type="dxa"/>
          </w:tcPr>
          <w:p w14:paraId="40F94107" w14:textId="77777777" w:rsidR="00505641" w:rsidRDefault="00505641" w:rsidP="00505641">
            <w:pPr>
              <w:widowControl w:val="0"/>
              <w:spacing w:after="0" w:line="240" w:lineRule="auto"/>
              <w:rPr>
                <w:rFonts w:ascii="Arial" w:eastAsia="Arial" w:hAnsi="Arial" w:cs="Arial"/>
              </w:rPr>
            </w:pPr>
            <w:r>
              <w:rPr>
                <w:rFonts w:ascii="Arial" w:eastAsia="Arial" w:hAnsi="Arial" w:cs="Arial"/>
              </w:rPr>
              <w:t>Patients on triple therapy</w:t>
            </w:r>
          </w:p>
        </w:tc>
      </w:tr>
    </w:tbl>
    <w:p w14:paraId="40F94109" w14:textId="77777777" w:rsidR="00810077" w:rsidRDefault="00855C24">
      <w:pPr>
        <w:pStyle w:val="Heading1"/>
      </w:pPr>
      <w:bookmarkStart w:id="8" w:name="_pt98y46isu8k" w:colFirst="0" w:colLast="0"/>
      <w:bookmarkEnd w:id="8"/>
      <w:r>
        <w:br w:type="page"/>
      </w:r>
    </w:p>
    <w:p w14:paraId="40F9410A" w14:textId="77777777" w:rsidR="00810077" w:rsidRDefault="00855C24">
      <w:pPr>
        <w:pStyle w:val="Heading1"/>
      </w:pPr>
      <w:bookmarkStart w:id="9" w:name="_Toc89761256"/>
      <w:r>
        <w:lastRenderedPageBreak/>
        <w:t>Prescribing data used in these comparators</w:t>
      </w:r>
      <w:bookmarkEnd w:id="9"/>
    </w:p>
    <w:p w14:paraId="40F9410B" w14:textId="77777777" w:rsidR="00810077" w:rsidRDefault="00855C24">
      <w:pPr>
        <w:spacing w:after="120"/>
        <w:rPr>
          <w:rFonts w:ascii="Arial" w:eastAsia="Arial" w:hAnsi="Arial" w:cs="Arial"/>
        </w:rPr>
      </w:pPr>
      <w:r>
        <w:rPr>
          <w:rFonts w:ascii="Arial" w:eastAsia="Arial" w:hAnsi="Arial" w:cs="Arial"/>
        </w:rPr>
        <w:t>Users of these comparators must be aware of the following parameters:</w:t>
      </w:r>
    </w:p>
    <w:p w14:paraId="40F9410C" w14:textId="77777777" w:rsidR="00810077" w:rsidRDefault="00855C24">
      <w:pPr>
        <w:numPr>
          <w:ilvl w:val="0"/>
          <w:numId w:val="1"/>
        </w:numPr>
        <w:spacing w:after="120"/>
        <w:ind w:left="714" w:hanging="357"/>
      </w:pPr>
      <w:r>
        <w:rPr>
          <w:rFonts w:ascii="Arial" w:eastAsia="Arial" w:hAnsi="Arial" w:cs="Arial"/>
        </w:rPr>
        <w:t xml:space="preserve">Covers all items prescribed in primary care by practices and cost centres linked to CCGs. It includes acute and repeat items. </w:t>
      </w:r>
    </w:p>
    <w:p w14:paraId="40F9410D" w14:textId="77777777" w:rsidR="00810077" w:rsidRDefault="00855C24">
      <w:pPr>
        <w:numPr>
          <w:ilvl w:val="0"/>
          <w:numId w:val="1"/>
        </w:numPr>
        <w:spacing w:after="120"/>
      </w:pPr>
      <w:r>
        <w:rPr>
          <w:rFonts w:ascii="Arial" w:eastAsia="Arial" w:hAnsi="Arial" w:cs="Arial"/>
        </w:rPr>
        <w:t xml:space="preserve">Does not include hospital prescribing. </w:t>
      </w:r>
    </w:p>
    <w:p w14:paraId="40F9410E" w14:textId="77777777" w:rsidR="00810077" w:rsidRDefault="00855C24">
      <w:pPr>
        <w:numPr>
          <w:ilvl w:val="0"/>
          <w:numId w:val="1"/>
        </w:numPr>
        <w:spacing w:after="120"/>
      </w:pPr>
      <w:r>
        <w:rPr>
          <w:rFonts w:ascii="Arial" w:eastAsia="Arial" w:hAnsi="Arial" w:cs="Arial"/>
        </w:rPr>
        <w:t>Does not include medicines supplied over the counter.</w:t>
      </w:r>
    </w:p>
    <w:p w14:paraId="40F9410F" w14:textId="77777777" w:rsidR="00810077" w:rsidRPr="00855C24" w:rsidRDefault="00855C24">
      <w:pPr>
        <w:numPr>
          <w:ilvl w:val="0"/>
          <w:numId w:val="1"/>
        </w:numPr>
        <w:spacing w:after="120"/>
      </w:pPr>
      <w:r>
        <w:rPr>
          <w:rFonts w:ascii="Arial" w:eastAsia="Arial" w:hAnsi="Arial" w:cs="Arial"/>
        </w:rPr>
        <w:t>Does not include medicines supplied by NHS community services.</w:t>
      </w:r>
    </w:p>
    <w:p w14:paraId="40F94110" w14:textId="77777777" w:rsidR="00855C24" w:rsidRDefault="00855C24">
      <w:pPr>
        <w:numPr>
          <w:ilvl w:val="0"/>
          <w:numId w:val="1"/>
        </w:numPr>
        <w:spacing w:after="120"/>
      </w:pPr>
      <w:r>
        <w:rPr>
          <w:rFonts w:ascii="Arial" w:eastAsia="Arial" w:hAnsi="Arial" w:cs="Arial"/>
        </w:rPr>
        <w:t xml:space="preserve">Data restricted to prescription items where the NHS number </w:t>
      </w:r>
      <w:r w:rsidR="00B20F38">
        <w:rPr>
          <w:rFonts w:ascii="Arial" w:eastAsia="Arial" w:hAnsi="Arial" w:cs="Arial"/>
        </w:rPr>
        <w:t>could be identified for the patient.</w:t>
      </w:r>
    </w:p>
    <w:p w14:paraId="40F94111" w14:textId="77777777" w:rsidR="00810077" w:rsidRDefault="00855C24">
      <w:pPr>
        <w:spacing w:after="120"/>
        <w:rPr>
          <w:rFonts w:ascii="Arial" w:eastAsia="Arial" w:hAnsi="Arial" w:cs="Arial"/>
        </w:rPr>
      </w:pPr>
      <w:r>
        <w:rPr>
          <w:rFonts w:ascii="Arial" w:eastAsia="Arial" w:hAnsi="Arial" w:cs="Arial"/>
        </w:rPr>
        <w:t xml:space="preserve">Each comparator is derived using prescribing data and reported by month, although some figures may be based on a </w:t>
      </w:r>
      <w:proofErr w:type="gramStart"/>
      <w:r>
        <w:rPr>
          <w:rFonts w:ascii="Arial" w:eastAsia="Arial" w:hAnsi="Arial" w:cs="Arial"/>
        </w:rPr>
        <w:t>12 month</w:t>
      </w:r>
      <w:proofErr w:type="gramEnd"/>
      <w:r>
        <w:rPr>
          <w:rFonts w:ascii="Arial" w:eastAsia="Arial" w:hAnsi="Arial" w:cs="Arial"/>
        </w:rPr>
        <w:t xml:space="preserve"> rolling period. Historic data is available to allow CCGs and Practices to chart their progress in addressing a particular comparator area.</w:t>
      </w:r>
    </w:p>
    <w:p w14:paraId="40F94112" w14:textId="77777777" w:rsidR="00810077" w:rsidRDefault="00855C24">
      <w:pPr>
        <w:spacing w:after="120"/>
        <w:rPr>
          <w:rFonts w:ascii="Arial" w:eastAsia="Arial" w:hAnsi="Arial" w:cs="Arial"/>
        </w:rPr>
      </w:pPr>
      <w:proofErr w:type="gramStart"/>
      <w:r>
        <w:rPr>
          <w:rFonts w:ascii="Arial" w:eastAsia="Arial" w:hAnsi="Arial" w:cs="Arial"/>
        </w:rPr>
        <w:t>All of</w:t>
      </w:r>
      <w:proofErr w:type="gramEnd"/>
      <w:r>
        <w:rPr>
          <w:rFonts w:ascii="Arial" w:eastAsia="Arial" w:hAnsi="Arial" w:cs="Arial"/>
        </w:rPr>
        <w:t xml:space="preserve"> the comparators show monthly data at Practice level (aggregated to CCG level) and are available for all patients.</w:t>
      </w:r>
    </w:p>
    <w:p w14:paraId="40F94113" w14:textId="77777777" w:rsidR="00810077" w:rsidRDefault="00855C24">
      <w:pPr>
        <w:spacing w:after="120"/>
        <w:rPr>
          <w:rFonts w:ascii="Arial" w:eastAsia="Arial" w:hAnsi="Arial" w:cs="Arial"/>
        </w:rPr>
      </w:pPr>
      <w:r>
        <w:rPr>
          <w:rFonts w:ascii="Arial" w:eastAsia="Arial" w:hAnsi="Arial" w:cs="Arial"/>
          <w:b/>
        </w:rPr>
        <w:t>Patient counts:</w:t>
      </w:r>
      <w:r>
        <w:rPr>
          <w:rFonts w:ascii="Arial" w:eastAsia="Arial" w:hAnsi="Arial" w:cs="Arial"/>
        </w:rPr>
        <w:t xml:space="preserve"> Some comparators are based on </w:t>
      </w:r>
      <w:proofErr w:type="gramStart"/>
      <w:r>
        <w:rPr>
          <w:rFonts w:ascii="Arial" w:eastAsia="Arial" w:hAnsi="Arial" w:cs="Arial"/>
        </w:rPr>
        <w:t>a number of</w:t>
      </w:r>
      <w:proofErr w:type="gramEnd"/>
      <w:r>
        <w:rPr>
          <w:rFonts w:ascii="Arial" w:eastAsia="Arial" w:hAnsi="Arial" w:cs="Arial"/>
        </w:rPr>
        <w:t xml:space="preserve"> unique patients.  This has been determined from prescriptions where the NHSBSA has been able to obtain details regarding patient NHS number and age at practice location. Where the same patient appears in the data for more than one practice location they will be counted as one patient for each of the practice locations they appear in.</w:t>
      </w:r>
    </w:p>
    <w:p w14:paraId="40F94114" w14:textId="77777777" w:rsidR="00810077" w:rsidRDefault="00855C24">
      <w:pPr>
        <w:spacing w:after="120"/>
        <w:rPr>
          <w:rFonts w:ascii="Arial" w:eastAsia="Arial" w:hAnsi="Arial" w:cs="Arial"/>
        </w:rPr>
      </w:pPr>
      <w:bookmarkStart w:id="10" w:name="_1t3h5sf" w:colFirst="0" w:colLast="0"/>
      <w:bookmarkEnd w:id="10"/>
      <w:r>
        <w:rPr>
          <w:rFonts w:ascii="Arial" w:eastAsia="Arial" w:hAnsi="Arial" w:cs="Arial"/>
        </w:rPr>
        <w:t>NB: While NHS numbers are used to formulate these comparators, no personal identifiable data will be released through these comparators.</w:t>
      </w:r>
    </w:p>
    <w:p w14:paraId="40F94115" w14:textId="77777777" w:rsidR="00810077" w:rsidRDefault="00855C24">
      <w:pPr>
        <w:pStyle w:val="Heading1"/>
      </w:pPr>
      <w:bookmarkStart w:id="11" w:name="_Toc89761257"/>
      <w:r>
        <w:t>How to use these comparators</w:t>
      </w:r>
      <w:bookmarkEnd w:id="11"/>
    </w:p>
    <w:p w14:paraId="40F94116" w14:textId="77777777" w:rsidR="00810077" w:rsidRDefault="00855C24">
      <w:pPr>
        <w:spacing w:after="120"/>
        <w:rPr>
          <w:rFonts w:ascii="Arial" w:eastAsia="Arial" w:hAnsi="Arial" w:cs="Arial"/>
        </w:rPr>
      </w:pPr>
      <w:r>
        <w:rPr>
          <w:rFonts w:ascii="Arial" w:eastAsia="Arial" w:hAnsi="Arial" w:cs="Arial"/>
        </w:rPr>
        <w:t>We envisage that the comparators will be used by CCGs in collaboration with local GP practices and with the relevant and appropriate education and training support in place.</w:t>
      </w:r>
    </w:p>
    <w:p w14:paraId="40F94117" w14:textId="77777777" w:rsidR="00810077" w:rsidRDefault="00810077">
      <w:pPr>
        <w:spacing w:after="120"/>
        <w:rPr>
          <w:rFonts w:ascii="Arial" w:eastAsia="Arial" w:hAnsi="Arial" w:cs="Arial"/>
        </w:rPr>
      </w:pPr>
      <w:bookmarkStart w:id="12" w:name="_4d34og8" w:colFirst="0" w:colLast="0"/>
      <w:bookmarkEnd w:id="12"/>
    </w:p>
    <w:p w14:paraId="40F94118" w14:textId="77777777" w:rsidR="00810077" w:rsidRDefault="00855C24">
      <w:pPr>
        <w:spacing w:after="0"/>
        <w:rPr>
          <w:rFonts w:ascii="Arial" w:eastAsia="Arial" w:hAnsi="Arial" w:cs="Arial"/>
        </w:rPr>
      </w:pPr>
      <w:r>
        <w:rPr>
          <w:rFonts w:ascii="Arial" w:eastAsia="Arial" w:hAnsi="Arial" w:cs="Arial"/>
          <w:b/>
          <w:sz w:val="24"/>
          <w:szCs w:val="24"/>
        </w:rPr>
        <w:t xml:space="preserve">Data Source: </w:t>
      </w:r>
      <w:r>
        <w:rPr>
          <w:rFonts w:ascii="Arial" w:eastAsia="Arial" w:hAnsi="Arial" w:cs="Arial"/>
        </w:rPr>
        <w:t>NHS Business Services Authority -</w:t>
      </w:r>
      <w:r>
        <w:rPr>
          <w:rFonts w:ascii="Arial" w:eastAsia="Arial" w:hAnsi="Arial" w:cs="Arial"/>
          <w:b/>
        </w:rPr>
        <w:t xml:space="preserve"> </w:t>
      </w:r>
      <w:r>
        <w:rPr>
          <w:rFonts w:ascii="Arial" w:eastAsia="Arial" w:hAnsi="Arial" w:cs="Arial"/>
        </w:rPr>
        <w:t xml:space="preserve">based on data from the NHSBSA’s data warehouse system which contains all NHS prescription data, </w:t>
      </w:r>
      <w:proofErr w:type="gramStart"/>
      <w:r>
        <w:rPr>
          <w:rFonts w:ascii="Arial" w:eastAsia="Arial" w:hAnsi="Arial" w:cs="Arial"/>
        </w:rPr>
        <w:t>with the exception of</w:t>
      </w:r>
      <w:proofErr w:type="gramEnd"/>
      <w:r>
        <w:rPr>
          <w:rFonts w:ascii="Arial" w:eastAsia="Arial" w:hAnsi="Arial" w:cs="Arial"/>
        </w:rPr>
        <w:t xml:space="preserve"> prescriptions which are dispensed in prisons, hospitals and private prescriptions. </w:t>
      </w:r>
    </w:p>
    <w:p w14:paraId="40F94119" w14:textId="77777777" w:rsidR="00810077" w:rsidRDefault="00810077">
      <w:pPr>
        <w:spacing w:after="0"/>
        <w:rPr>
          <w:rFonts w:ascii="Arial" w:eastAsia="Arial" w:hAnsi="Arial" w:cs="Arial"/>
        </w:rPr>
      </w:pPr>
    </w:p>
    <w:p w14:paraId="40F9411A" w14:textId="77777777" w:rsidR="00810077" w:rsidRDefault="00855C24">
      <w:pPr>
        <w:spacing w:after="0"/>
        <w:rPr>
          <w:rFonts w:ascii="Arial" w:eastAsia="Arial" w:hAnsi="Arial" w:cs="Arial"/>
        </w:rPr>
      </w:pPr>
      <w:r>
        <w:rPr>
          <w:rFonts w:ascii="Arial" w:eastAsia="Arial" w:hAnsi="Arial" w:cs="Arial"/>
        </w:rPr>
        <w:t>Analysis is based on drugs that were reimbursed by the NHSBSA. It excludes items not dispensed and disallowed. If a prescription was issued, but not presented for dispensing or was not submitted to NHS Prescription Services by the dispenser, then it is not included in the data provided.</w:t>
      </w:r>
    </w:p>
    <w:p w14:paraId="40F9411B" w14:textId="77777777" w:rsidR="00810077" w:rsidRDefault="00810077">
      <w:pPr>
        <w:spacing w:after="0"/>
        <w:rPr>
          <w:rFonts w:ascii="Arial" w:eastAsia="Arial" w:hAnsi="Arial" w:cs="Arial"/>
          <w:sz w:val="24"/>
          <w:szCs w:val="24"/>
        </w:rPr>
      </w:pPr>
      <w:bookmarkStart w:id="13" w:name="_2s8eyo1" w:colFirst="0" w:colLast="0"/>
      <w:bookmarkEnd w:id="13"/>
    </w:p>
    <w:p w14:paraId="40F9411C" w14:textId="77777777" w:rsidR="00810077" w:rsidRDefault="00855C24">
      <w:pPr>
        <w:rPr>
          <w:rFonts w:ascii="Arial" w:eastAsia="Arial" w:hAnsi="Arial" w:cs="Arial"/>
        </w:rPr>
      </w:pPr>
      <w:bookmarkStart w:id="14" w:name="_17dp8vu" w:colFirst="0" w:colLast="0"/>
      <w:bookmarkEnd w:id="14"/>
      <w:r>
        <w:rPr>
          <w:rFonts w:ascii="Arial" w:eastAsia="Arial" w:hAnsi="Arial" w:cs="Arial"/>
          <w:b/>
          <w:sz w:val="24"/>
          <w:szCs w:val="24"/>
        </w:rPr>
        <w:t>Data owner &amp; contact details:</w:t>
      </w:r>
      <w:r>
        <w:rPr>
          <w:rFonts w:ascii="Arial" w:eastAsia="Arial" w:hAnsi="Arial" w:cs="Arial"/>
        </w:rPr>
        <w:t xml:space="preserve"> </w:t>
      </w:r>
      <w:hyperlink r:id="rId11">
        <w:r>
          <w:rPr>
            <w:rFonts w:ascii="Arial" w:eastAsia="Arial" w:hAnsi="Arial" w:cs="Arial"/>
            <w:color w:val="0000FF"/>
            <w:u w:val="single"/>
          </w:rPr>
          <w:t>nhsbsa@nhs.net</w:t>
        </w:r>
      </w:hyperlink>
    </w:p>
    <w:p w14:paraId="40F9411D" w14:textId="77777777" w:rsidR="00810077" w:rsidRDefault="00855C24">
      <w:pPr>
        <w:spacing w:after="0"/>
        <w:rPr>
          <w:rFonts w:ascii="Arial" w:eastAsia="Arial" w:hAnsi="Arial" w:cs="Arial"/>
        </w:rPr>
      </w:pPr>
      <w:r>
        <w:rPr>
          <w:rFonts w:ascii="Arial" w:eastAsia="Arial" w:hAnsi="Arial" w:cs="Arial"/>
          <w:b/>
          <w:sz w:val="24"/>
          <w:szCs w:val="24"/>
        </w:rPr>
        <w:t>Time Frame:</w:t>
      </w:r>
      <w:r>
        <w:rPr>
          <w:rFonts w:ascii="Arial" w:eastAsia="Arial" w:hAnsi="Arial" w:cs="Arial"/>
        </w:rPr>
        <w:t xml:space="preserve"> Refreshed monthly</w:t>
      </w:r>
    </w:p>
    <w:p w14:paraId="40F9411E" w14:textId="77777777" w:rsidR="00810077" w:rsidRDefault="00810077">
      <w:pPr>
        <w:spacing w:after="0"/>
        <w:rPr>
          <w:rFonts w:ascii="Arial" w:eastAsia="Arial" w:hAnsi="Arial" w:cs="Arial"/>
        </w:rPr>
      </w:pPr>
      <w:bookmarkStart w:id="15" w:name="_3rdcrjn" w:colFirst="0" w:colLast="0"/>
      <w:bookmarkEnd w:id="15"/>
    </w:p>
    <w:p w14:paraId="40F9411F" w14:textId="77777777" w:rsidR="00810077" w:rsidRDefault="00855C24">
      <w:pPr>
        <w:pStyle w:val="Heading1"/>
        <w:spacing w:before="0"/>
      </w:pPr>
      <w:bookmarkStart w:id="16" w:name="_yh3frtob5kmq" w:colFirst="0" w:colLast="0"/>
      <w:bookmarkEnd w:id="16"/>
      <w:r>
        <w:br w:type="page"/>
      </w:r>
    </w:p>
    <w:p w14:paraId="40F94120" w14:textId="77777777" w:rsidR="00810077" w:rsidRDefault="00855C24">
      <w:pPr>
        <w:pStyle w:val="Heading1"/>
        <w:spacing w:before="0"/>
      </w:pPr>
      <w:bookmarkStart w:id="17" w:name="_Toc89761258"/>
      <w:r>
        <w:lastRenderedPageBreak/>
        <w:t>Data quality assurance</w:t>
      </w:r>
      <w:bookmarkEnd w:id="17"/>
    </w:p>
    <w:p w14:paraId="40F94121" w14:textId="77777777" w:rsidR="00810077" w:rsidRDefault="00855C24">
      <w:pPr>
        <w:rPr>
          <w:rFonts w:ascii="Arial" w:eastAsia="Arial" w:hAnsi="Arial" w:cs="Arial"/>
        </w:rPr>
      </w:pPr>
      <w:r>
        <w:rPr>
          <w:rFonts w:ascii="Arial" w:eastAsia="Arial" w:hAnsi="Arial" w:cs="Arial"/>
        </w:rPr>
        <w:t xml:space="preserve">NHS Prescription Services have their own internal quality process to assure the data they provide matches what was originally submitted as part of the prescription processing activity. Some processes are complex and manual therefore there may be random inaccuracies in capturing prescription information which are then reflected in the </w:t>
      </w:r>
      <w:proofErr w:type="gramStart"/>
      <w:r>
        <w:rPr>
          <w:rFonts w:ascii="Arial" w:eastAsia="Arial" w:hAnsi="Arial" w:cs="Arial"/>
        </w:rPr>
        <w:t>data</w:t>
      </w:r>
      <w:proofErr w:type="gramEnd"/>
      <w:r>
        <w:rPr>
          <w:rFonts w:ascii="Arial" w:eastAsia="Arial" w:hAnsi="Arial" w:cs="Arial"/>
        </w:rPr>
        <w:t xml:space="preserve"> but checks are in place to reduce the chance of issues occurring. </w:t>
      </w:r>
      <w:r w:rsidR="006A0B56">
        <w:rPr>
          <w:rFonts w:ascii="Arial" w:eastAsia="Arial" w:hAnsi="Arial" w:cs="Arial"/>
        </w:rPr>
        <w:t xml:space="preserve">The processes operate to </w:t>
      </w:r>
      <w:proofErr w:type="gramStart"/>
      <w:r w:rsidR="006A0B56">
        <w:rPr>
          <w:rFonts w:ascii="Arial" w:eastAsia="Arial" w:hAnsi="Arial" w:cs="Arial"/>
        </w:rPr>
        <w:t>a number of</w:t>
      </w:r>
      <w:proofErr w:type="gramEnd"/>
      <w:r w:rsidR="006A0B56">
        <w:rPr>
          <w:rFonts w:ascii="Arial" w:eastAsia="Arial" w:hAnsi="Arial" w:cs="Arial"/>
        </w:rPr>
        <w:t xml:space="preserve"> key performance indicators, one of which is the percentage Prescription Information Accuracy, the target being 99.3% and as of </w:t>
      </w:r>
      <w:r w:rsidR="006B70CC">
        <w:rPr>
          <w:rFonts w:ascii="Arial" w:eastAsia="Arial" w:hAnsi="Arial" w:cs="Arial"/>
        </w:rPr>
        <w:t>December 2018</w:t>
      </w:r>
      <w:r w:rsidR="00487B06">
        <w:rPr>
          <w:rFonts w:ascii="Arial" w:eastAsia="Arial" w:hAnsi="Arial" w:cs="Arial"/>
        </w:rPr>
        <w:t xml:space="preserve"> </w:t>
      </w:r>
      <w:r w:rsidR="006A0B56">
        <w:rPr>
          <w:rFonts w:ascii="Arial" w:eastAsia="Arial" w:hAnsi="Arial" w:cs="Arial"/>
        </w:rPr>
        <w:t>prescribing, the accuracy level achieved over the latest 12 month rolling period was 99.6</w:t>
      </w:r>
      <w:r w:rsidR="006B70CC">
        <w:rPr>
          <w:rFonts w:ascii="Arial" w:eastAsia="Arial" w:hAnsi="Arial" w:cs="Arial"/>
        </w:rPr>
        <w:t>8</w:t>
      </w:r>
      <w:r w:rsidR="006A0B56">
        <w:rPr>
          <w:rFonts w:ascii="Arial" w:eastAsia="Arial" w:hAnsi="Arial" w:cs="Arial"/>
        </w:rPr>
        <w:t>%.</w:t>
      </w:r>
    </w:p>
    <w:p w14:paraId="40F94122" w14:textId="77777777" w:rsidR="00810077" w:rsidRDefault="00855C24">
      <w:pPr>
        <w:rPr>
          <w:rFonts w:ascii="Arial" w:eastAsia="Arial" w:hAnsi="Arial" w:cs="Arial"/>
        </w:rPr>
      </w:pPr>
      <w:bookmarkStart w:id="18" w:name="_26in1rg" w:colFirst="0" w:colLast="0"/>
      <w:bookmarkEnd w:id="18"/>
      <w:r>
        <w:rPr>
          <w:rFonts w:ascii="Arial" w:eastAsia="Arial" w:hAnsi="Arial" w:cs="Arial"/>
        </w:rPr>
        <w:t>The comparators take advantage of the developments linking the NHS number to prescription items. Currently, nearly 95% of all paper prescription items can be linked to an NHS number with an accuracy of over 99%. Age and date of birth can be linked to 73% of paper prescription items with an accuracy of 97%. As the utilisation of EPS increases, the coverage and accuracy of this data will increase.</w:t>
      </w:r>
    </w:p>
    <w:p w14:paraId="40F94123" w14:textId="77777777" w:rsidR="00810077" w:rsidRDefault="00810077">
      <w:pPr>
        <w:pStyle w:val="Heading1"/>
      </w:pPr>
    </w:p>
    <w:p w14:paraId="40F94124" w14:textId="77777777" w:rsidR="00810077" w:rsidRDefault="00810077"/>
    <w:p w14:paraId="40F94125" w14:textId="77777777" w:rsidR="00810077" w:rsidRDefault="00810077">
      <w:pPr>
        <w:pStyle w:val="Heading1"/>
      </w:pPr>
    </w:p>
    <w:p w14:paraId="40F94126" w14:textId="77777777" w:rsidR="00810077" w:rsidRDefault="00810077">
      <w:pPr>
        <w:pStyle w:val="Heading1"/>
      </w:pPr>
    </w:p>
    <w:p w14:paraId="40F94127" w14:textId="77777777" w:rsidR="00810077" w:rsidRDefault="00810077">
      <w:pPr>
        <w:pStyle w:val="Heading1"/>
      </w:pPr>
    </w:p>
    <w:p w14:paraId="40F94128" w14:textId="77777777" w:rsidR="00810077" w:rsidRDefault="00810077">
      <w:pPr>
        <w:pStyle w:val="Heading1"/>
      </w:pPr>
    </w:p>
    <w:p w14:paraId="40F94129" w14:textId="77777777" w:rsidR="00810077" w:rsidRDefault="00810077">
      <w:pPr>
        <w:pStyle w:val="Heading1"/>
      </w:pPr>
    </w:p>
    <w:p w14:paraId="40F9412A" w14:textId="77777777" w:rsidR="00810077" w:rsidRDefault="00810077">
      <w:pPr>
        <w:pStyle w:val="Heading1"/>
      </w:pPr>
    </w:p>
    <w:p w14:paraId="40F9412B" w14:textId="77777777" w:rsidR="00810077" w:rsidRDefault="00810077">
      <w:pPr>
        <w:pStyle w:val="Heading1"/>
      </w:pPr>
    </w:p>
    <w:p w14:paraId="40F9412C" w14:textId="77777777" w:rsidR="00810077" w:rsidRDefault="00810077">
      <w:pPr>
        <w:pStyle w:val="Heading1"/>
      </w:pPr>
    </w:p>
    <w:p w14:paraId="40F9412D" w14:textId="77777777" w:rsidR="00810077" w:rsidRDefault="00810077">
      <w:pPr>
        <w:pStyle w:val="Heading1"/>
      </w:pPr>
    </w:p>
    <w:p w14:paraId="40F9412E" w14:textId="77777777" w:rsidR="00810077" w:rsidRDefault="00810077"/>
    <w:p w14:paraId="40F9412F" w14:textId="77777777" w:rsidR="00810077" w:rsidRDefault="00810077"/>
    <w:p w14:paraId="40F94130" w14:textId="77777777" w:rsidR="00810077" w:rsidRDefault="00810077"/>
    <w:p w14:paraId="40F94131" w14:textId="77777777" w:rsidR="00810077" w:rsidRDefault="00855C24">
      <w:pPr>
        <w:pStyle w:val="Heading1"/>
      </w:pPr>
      <w:bookmarkStart w:id="19" w:name="_Toc89761259"/>
      <w:r>
        <w:lastRenderedPageBreak/>
        <w:t>Respiratory Comparator Specifications</w:t>
      </w:r>
      <w:bookmarkEnd w:id="19"/>
    </w:p>
    <w:p w14:paraId="40F94132" w14:textId="77777777" w:rsidR="00810077" w:rsidRDefault="00855C24">
      <w:pPr>
        <w:pStyle w:val="Heading2"/>
      </w:pPr>
      <w:bookmarkStart w:id="20" w:name="_Toc89761260"/>
      <w:r>
        <w:t>High dose ICS items as a % of all ICS items</w:t>
      </w:r>
      <w:bookmarkEnd w:id="20"/>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417"/>
        <w:gridCol w:w="7938"/>
      </w:tblGrid>
      <w:tr w:rsidR="00810077" w14:paraId="40F94134" w14:textId="77777777">
        <w:tc>
          <w:tcPr>
            <w:tcW w:w="9889" w:type="dxa"/>
            <w:gridSpan w:val="3"/>
            <w:shd w:val="clear" w:color="auto" w:fill="D9D9D9"/>
          </w:tcPr>
          <w:p w14:paraId="40F94133" w14:textId="77777777" w:rsidR="00810077" w:rsidRDefault="00855C24">
            <w:pPr>
              <w:spacing w:after="0" w:line="240" w:lineRule="auto"/>
              <w:rPr>
                <w:rFonts w:ascii="Arial" w:eastAsia="Arial" w:hAnsi="Arial" w:cs="Arial"/>
                <w:sz w:val="18"/>
                <w:szCs w:val="18"/>
                <w:highlight w:val="yellow"/>
              </w:rPr>
            </w:pPr>
            <w:r>
              <w:rPr>
                <w:rFonts w:ascii="Arial" w:eastAsia="Arial" w:hAnsi="Arial" w:cs="Arial"/>
                <w:b/>
                <w:sz w:val="18"/>
                <w:szCs w:val="18"/>
              </w:rPr>
              <w:t>Section 1: Introduction / Overview</w:t>
            </w:r>
          </w:p>
        </w:tc>
      </w:tr>
      <w:tr w:rsidR="00810077" w14:paraId="40F94139" w14:textId="77777777">
        <w:trPr>
          <w:trHeight w:val="220"/>
        </w:trPr>
        <w:tc>
          <w:tcPr>
            <w:tcW w:w="534" w:type="dxa"/>
            <w:shd w:val="clear" w:color="auto" w:fill="auto"/>
          </w:tcPr>
          <w:p w14:paraId="40F94135"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1.1</w:t>
            </w:r>
          </w:p>
          <w:p w14:paraId="40F94136" w14:textId="77777777" w:rsidR="00810077" w:rsidRDefault="00810077">
            <w:pPr>
              <w:spacing w:after="0" w:line="240" w:lineRule="auto"/>
              <w:rPr>
                <w:rFonts w:ascii="Arial" w:eastAsia="Arial" w:hAnsi="Arial" w:cs="Arial"/>
                <w:sz w:val="18"/>
                <w:szCs w:val="18"/>
              </w:rPr>
            </w:pPr>
          </w:p>
        </w:tc>
        <w:tc>
          <w:tcPr>
            <w:tcW w:w="1417" w:type="dxa"/>
            <w:tcBorders>
              <w:bottom w:val="single" w:sz="4" w:space="0" w:color="000000"/>
            </w:tcBorders>
            <w:shd w:val="clear" w:color="auto" w:fill="D9D9D9"/>
          </w:tcPr>
          <w:p w14:paraId="40F94137"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Title</w:t>
            </w:r>
          </w:p>
        </w:tc>
        <w:tc>
          <w:tcPr>
            <w:tcW w:w="7938" w:type="dxa"/>
          </w:tcPr>
          <w:p w14:paraId="40F94138"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 xml:space="preserve">High dose ICS items as a % of all ICS items </w:t>
            </w:r>
          </w:p>
        </w:tc>
      </w:tr>
      <w:tr w:rsidR="00810077" w14:paraId="40F9413E" w14:textId="77777777">
        <w:tc>
          <w:tcPr>
            <w:tcW w:w="534" w:type="dxa"/>
            <w:shd w:val="clear" w:color="auto" w:fill="auto"/>
          </w:tcPr>
          <w:p w14:paraId="40F9413A"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1.2</w:t>
            </w:r>
          </w:p>
        </w:tc>
        <w:tc>
          <w:tcPr>
            <w:tcW w:w="1417" w:type="dxa"/>
            <w:tcBorders>
              <w:top w:val="single" w:sz="4" w:space="0" w:color="000000"/>
              <w:bottom w:val="single" w:sz="4" w:space="0" w:color="000000"/>
            </w:tcBorders>
            <w:shd w:val="clear" w:color="auto" w:fill="D9D9D9"/>
          </w:tcPr>
          <w:p w14:paraId="40F9413B"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Definition</w:t>
            </w:r>
          </w:p>
        </w:tc>
        <w:tc>
          <w:tcPr>
            <w:tcW w:w="7938" w:type="dxa"/>
          </w:tcPr>
          <w:p w14:paraId="40F9413C"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Identi</w:t>
            </w:r>
            <w:r w:rsidR="00505641">
              <w:rPr>
                <w:rFonts w:ascii="Arial" w:eastAsia="Arial" w:hAnsi="Arial" w:cs="Arial"/>
                <w:sz w:val="18"/>
                <w:szCs w:val="18"/>
              </w:rPr>
              <w:t>fying the level of 'high dose' I</w:t>
            </w:r>
            <w:r>
              <w:rPr>
                <w:rFonts w:ascii="Arial" w:eastAsia="Arial" w:hAnsi="Arial" w:cs="Arial"/>
                <w:sz w:val="18"/>
                <w:szCs w:val="18"/>
              </w:rPr>
              <w:t>CS prescribing as a percentage of prescribing for all ICS products.</w:t>
            </w:r>
          </w:p>
          <w:p w14:paraId="40F9413D" w14:textId="77777777" w:rsidR="00810077" w:rsidRDefault="00810077">
            <w:pPr>
              <w:spacing w:after="0" w:line="240" w:lineRule="auto"/>
              <w:rPr>
                <w:rFonts w:ascii="Arial" w:eastAsia="Arial" w:hAnsi="Arial" w:cs="Arial"/>
                <w:sz w:val="18"/>
                <w:szCs w:val="18"/>
              </w:rPr>
            </w:pPr>
          </w:p>
        </w:tc>
      </w:tr>
      <w:tr w:rsidR="00810077" w14:paraId="40F94142" w14:textId="77777777">
        <w:trPr>
          <w:trHeight w:val="620"/>
        </w:trPr>
        <w:tc>
          <w:tcPr>
            <w:tcW w:w="534" w:type="dxa"/>
            <w:shd w:val="clear" w:color="auto" w:fill="auto"/>
          </w:tcPr>
          <w:p w14:paraId="40F9413F"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1.3</w:t>
            </w:r>
          </w:p>
        </w:tc>
        <w:tc>
          <w:tcPr>
            <w:tcW w:w="1417" w:type="dxa"/>
            <w:tcBorders>
              <w:top w:val="single" w:sz="4" w:space="0" w:color="000000"/>
              <w:bottom w:val="single" w:sz="4" w:space="0" w:color="000000"/>
            </w:tcBorders>
            <w:shd w:val="clear" w:color="auto" w:fill="D9D9D9"/>
          </w:tcPr>
          <w:p w14:paraId="40F94140"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Reporting Level</w:t>
            </w:r>
          </w:p>
        </w:tc>
        <w:tc>
          <w:tcPr>
            <w:tcW w:w="7938" w:type="dxa"/>
          </w:tcPr>
          <w:p w14:paraId="40F94141" w14:textId="77777777" w:rsidR="00810077" w:rsidRDefault="00855C24">
            <w:pPr>
              <w:spacing w:after="0" w:line="240" w:lineRule="auto"/>
              <w:rPr>
                <w:rFonts w:ascii="Arial" w:eastAsia="Arial" w:hAnsi="Arial" w:cs="Arial"/>
                <w:color w:val="FF0000"/>
                <w:sz w:val="18"/>
                <w:szCs w:val="18"/>
              </w:rPr>
            </w:pPr>
            <w:r>
              <w:rPr>
                <w:rFonts w:ascii="Arial" w:eastAsia="Arial" w:hAnsi="Arial" w:cs="Arial"/>
                <w:sz w:val="18"/>
                <w:szCs w:val="18"/>
              </w:rPr>
              <w:t>Practice level (aggregated to CCG).</w:t>
            </w:r>
          </w:p>
        </w:tc>
      </w:tr>
      <w:tr w:rsidR="00810077" w14:paraId="40F94149" w14:textId="77777777" w:rsidTr="00505641">
        <w:trPr>
          <w:trHeight w:val="1124"/>
        </w:trPr>
        <w:tc>
          <w:tcPr>
            <w:tcW w:w="534" w:type="dxa"/>
            <w:shd w:val="clear" w:color="auto" w:fill="auto"/>
          </w:tcPr>
          <w:p w14:paraId="40F94143"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1.4</w:t>
            </w:r>
          </w:p>
        </w:tc>
        <w:tc>
          <w:tcPr>
            <w:tcW w:w="1417" w:type="dxa"/>
            <w:tcBorders>
              <w:top w:val="single" w:sz="4" w:space="0" w:color="000000"/>
              <w:bottom w:val="single" w:sz="4" w:space="0" w:color="000000"/>
            </w:tcBorders>
            <w:shd w:val="clear" w:color="auto" w:fill="D9D9D9"/>
          </w:tcPr>
          <w:p w14:paraId="40F94144"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Numerator</w:t>
            </w:r>
          </w:p>
        </w:tc>
        <w:tc>
          <w:tcPr>
            <w:tcW w:w="7938" w:type="dxa"/>
          </w:tcPr>
          <w:p w14:paraId="40F94145"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Total number of ‘high dose’ ICS items prescribed during a single month.</w:t>
            </w:r>
          </w:p>
          <w:p w14:paraId="40F94146" w14:textId="77777777" w:rsidR="00810077" w:rsidRDefault="00810077">
            <w:pPr>
              <w:spacing w:after="0" w:line="240" w:lineRule="auto"/>
              <w:rPr>
                <w:rFonts w:ascii="Arial" w:eastAsia="Arial" w:hAnsi="Arial" w:cs="Arial"/>
                <w:sz w:val="18"/>
                <w:szCs w:val="18"/>
              </w:rPr>
            </w:pPr>
          </w:p>
          <w:p w14:paraId="40F94147" w14:textId="77777777" w:rsidR="009F5668" w:rsidRDefault="009F5668">
            <w:pPr>
              <w:spacing w:after="0" w:line="240" w:lineRule="auto"/>
              <w:rPr>
                <w:rFonts w:ascii="Arial" w:eastAsia="Arial" w:hAnsi="Arial" w:cs="Arial"/>
                <w:sz w:val="18"/>
                <w:szCs w:val="18"/>
              </w:rPr>
            </w:pPr>
            <w:r>
              <w:rPr>
                <w:rFonts w:ascii="Arial" w:eastAsia="Arial" w:hAnsi="Arial" w:cs="Arial"/>
                <w:sz w:val="18"/>
                <w:szCs w:val="18"/>
              </w:rPr>
              <w:t xml:space="preserve">Please refer to </w:t>
            </w:r>
            <w:r w:rsidRPr="001620B8">
              <w:rPr>
                <w:rFonts w:ascii="Arial" w:eastAsia="Arial" w:hAnsi="Arial" w:cs="Arial"/>
                <w:b/>
                <w:sz w:val="18"/>
                <w:szCs w:val="18"/>
              </w:rPr>
              <w:t>Appendix 2</w:t>
            </w:r>
            <w:r w:rsidR="00AE2A4F">
              <w:rPr>
                <w:rFonts w:ascii="Arial" w:eastAsia="Arial" w:hAnsi="Arial" w:cs="Arial"/>
                <w:b/>
                <w:sz w:val="18"/>
                <w:szCs w:val="18"/>
              </w:rPr>
              <w:t xml:space="preserve"> </w:t>
            </w:r>
            <w:r w:rsidR="00AE2A4F">
              <w:rPr>
                <w:rFonts w:ascii="Arial" w:eastAsia="Arial" w:hAnsi="Arial" w:cs="Arial"/>
                <w:sz w:val="18"/>
                <w:szCs w:val="18"/>
              </w:rPr>
              <w:t>(provided in a separate document)</w:t>
            </w:r>
            <w:r>
              <w:rPr>
                <w:rFonts w:ascii="Arial" w:eastAsia="Arial" w:hAnsi="Arial" w:cs="Arial"/>
                <w:sz w:val="18"/>
                <w:szCs w:val="18"/>
              </w:rPr>
              <w:t xml:space="preserve"> for the drug list for this numerator.</w:t>
            </w:r>
          </w:p>
          <w:p w14:paraId="40F94148" w14:textId="77777777" w:rsidR="009F5668" w:rsidRDefault="009F5668">
            <w:pPr>
              <w:spacing w:after="0" w:line="240" w:lineRule="auto"/>
              <w:rPr>
                <w:rFonts w:ascii="Arial" w:eastAsia="Arial" w:hAnsi="Arial" w:cs="Arial"/>
                <w:sz w:val="18"/>
                <w:szCs w:val="18"/>
              </w:rPr>
            </w:pPr>
          </w:p>
        </w:tc>
      </w:tr>
      <w:tr w:rsidR="00810077" w14:paraId="40F94151" w14:textId="77777777">
        <w:trPr>
          <w:trHeight w:val="580"/>
        </w:trPr>
        <w:tc>
          <w:tcPr>
            <w:tcW w:w="534" w:type="dxa"/>
            <w:shd w:val="clear" w:color="auto" w:fill="auto"/>
          </w:tcPr>
          <w:p w14:paraId="40F9414A" w14:textId="77777777" w:rsidR="00810077" w:rsidRDefault="00855C24">
            <w:pPr>
              <w:spacing w:after="0" w:line="240" w:lineRule="auto"/>
              <w:rPr>
                <w:rFonts w:ascii="Arial" w:eastAsia="Arial" w:hAnsi="Arial" w:cs="Arial"/>
                <w:sz w:val="18"/>
                <w:szCs w:val="18"/>
              </w:rPr>
            </w:pPr>
            <w:r>
              <w:br w:type="page"/>
            </w:r>
            <w:r>
              <w:rPr>
                <w:rFonts w:ascii="Arial" w:eastAsia="Arial" w:hAnsi="Arial" w:cs="Arial"/>
                <w:sz w:val="18"/>
                <w:szCs w:val="18"/>
              </w:rPr>
              <w:t>1.5</w:t>
            </w:r>
          </w:p>
        </w:tc>
        <w:tc>
          <w:tcPr>
            <w:tcW w:w="1417" w:type="dxa"/>
            <w:tcBorders>
              <w:top w:val="single" w:sz="4" w:space="0" w:color="000000"/>
              <w:bottom w:val="single" w:sz="4" w:space="0" w:color="000000"/>
            </w:tcBorders>
            <w:shd w:val="clear" w:color="auto" w:fill="D9D9D9"/>
          </w:tcPr>
          <w:p w14:paraId="40F9414B"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Denominator</w:t>
            </w:r>
          </w:p>
        </w:tc>
        <w:tc>
          <w:tcPr>
            <w:tcW w:w="7938" w:type="dxa"/>
          </w:tcPr>
          <w:p w14:paraId="40F9414C"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Total number of all ICS items prescribed during a single month.</w:t>
            </w:r>
          </w:p>
          <w:p w14:paraId="40F9414D" w14:textId="77777777" w:rsidR="00810077" w:rsidRDefault="00810077">
            <w:pPr>
              <w:spacing w:after="0" w:line="240" w:lineRule="auto"/>
              <w:rPr>
                <w:rFonts w:ascii="Arial" w:eastAsia="Arial" w:hAnsi="Arial" w:cs="Arial"/>
                <w:sz w:val="18"/>
                <w:szCs w:val="18"/>
              </w:rPr>
            </w:pPr>
          </w:p>
          <w:p w14:paraId="40F9414E" w14:textId="77777777" w:rsidR="009F5668" w:rsidRDefault="009F5668">
            <w:pPr>
              <w:spacing w:after="0" w:line="240" w:lineRule="auto"/>
              <w:rPr>
                <w:rFonts w:ascii="Arial" w:eastAsia="Arial" w:hAnsi="Arial" w:cs="Arial"/>
                <w:sz w:val="18"/>
                <w:szCs w:val="18"/>
              </w:rPr>
            </w:pPr>
            <w:r>
              <w:rPr>
                <w:rFonts w:ascii="Arial" w:eastAsia="Arial" w:hAnsi="Arial" w:cs="Arial"/>
                <w:sz w:val="18"/>
                <w:szCs w:val="18"/>
              </w:rPr>
              <w:t xml:space="preserve">Please refer to </w:t>
            </w:r>
            <w:r w:rsidRPr="001620B8">
              <w:rPr>
                <w:rFonts w:ascii="Arial" w:eastAsia="Arial" w:hAnsi="Arial" w:cs="Arial"/>
                <w:b/>
                <w:sz w:val="18"/>
                <w:szCs w:val="18"/>
              </w:rPr>
              <w:t>Appendix 2</w:t>
            </w:r>
            <w:r w:rsidR="00AE2A4F">
              <w:rPr>
                <w:rFonts w:ascii="Arial" w:eastAsia="Arial" w:hAnsi="Arial" w:cs="Arial"/>
                <w:b/>
                <w:sz w:val="18"/>
                <w:szCs w:val="18"/>
              </w:rPr>
              <w:t xml:space="preserve"> </w:t>
            </w:r>
            <w:r w:rsidR="00AE2A4F">
              <w:rPr>
                <w:rFonts w:ascii="Arial" w:eastAsia="Arial" w:hAnsi="Arial" w:cs="Arial"/>
                <w:sz w:val="18"/>
                <w:szCs w:val="18"/>
              </w:rPr>
              <w:t>(provided in a separate document)</w:t>
            </w:r>
            <w:r>
              <w:rPr>
                <w:rFonts w:ascii="Arial" w:eastAsia="Arial" w:hAnsi="Arial" w:cs="Arial"/>
                <w:sz w:val="18"/>
                <w:szCs w:val="18"/>
              </w:rPr>
              <w:t xml:space="preserve"> for the drug list for this denominator.</w:t>
            </w:r>
          </w:p>
          <w:p w14:paraId="40F9414F" w14:textId="77777777" w:rsidR="009F5668" w:rsidRDefault="009F5668">
            <w:pPr>
              <w:spacing w:after="0" w:line="240" w:lineRule="auto"/>
              <w:rPr>
                <w:rFonts w:ascii="Arial" w:eastAsia="Arial" w:hAnsi="Arial" w:cs="Arial"/>
                <w:sz w:val="18"/>
                <w:szCs w:val="18"/>
              </w:rPr>
            </w:pPr>
          </w:p>
          <w:p w14:paraId="40F94150" w14:textId="77777777" w:rsidR="00810077" w:rsidRDefault="00810077" w:rsidP="005B2630">
            <w:pPr>
              <w:spacing w:after="0" w:line="240" w:lineRule="auto"/>
              <w:rPr>
                <w:rFonts w:ascii="Arial" w:eastAsia="Arial" w:hAnsi="Arial" w:cs="Arial"/>
                <w:sz w:val="18"/>
                <w:szCs w:val="18"/>
              </w:rPr>
            </w:pPr>
          </w:p>
        </w:tc>
      </w:tr>
      <w:tr w:rsidR="00810077" w14:paraId="40F94157" w14:textId="77777777" w:rsidTr="005B2630">
        <w:tc>
          <w:tcPr>
            <w:tcW w:w="534" w:type="dxa"/>
            <w:shd w:val="clear" w:color="auto" w:fill="auto"/>
          </w:tcPr>
          <w:p w14:paraId="40F94152"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1.6</w:t>
            </w:r>
          </w:p>
        </w:tc>
        <w:tc>
          <w:tcPr>
            <w:tcW w:w="1417" w:type="dxa"/>
            <w:tcBorders>
              <w:top w:val="single" w:sz="4" w:space="0" w:color="000000"/>
            </w:tcBorders>
            <w:shd w:val="clear" w:color="auto" w:fill="D9D9D9"/>
          </w:tcPr>
          <w:p w14:paraId="40F94153"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Methodology</w:t>
            </w:r>
          </w:p>
        </w:tc>
        <w:tc>
          <w:tcPr>
            <w:tcW w:w="7938" w:type="dxa"/>
          </w:tcPr>
          <w:p w14:paraId="40F94154"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Numerator divided by denominator, presented as a percentage.</w:t>
            </w:r>
          </w:p>
          <w:p w14:paraId="40F94155" w14:textId="77777777" w:rsidR="00810077" w:rsidRDefault="00810077">
            <w:pPr>
              <w:spacing w:after="0" w:line="240" w:lineRule="auto"/>
              <w:rPr>
                <w:rFonts w:ascii="Arial" w:eastAsia="Arial" w:hAnsi="Arial" w:cs="Arial"/>
                <w:sz w:val="18"/>
                <w:szCs w:val="18"/>
              </w:rPr>
            </w:pPr>
          </w:p>
          <w:p w14:paraId="40F94156" w14:textId="77777777" w:rsidR="00810077" w:rsidRDefault="00810077">
            <w:pPr>
              <w:spacing w:after="0" w:line="240" w:lineRule="auto"/>
              <w:rPr>
                <w:rFonts w:ascii="Arial" w:eastAsia="Arial" w:hAnsi="Arial" w:cs="Arial"/>
                <w:sz w:val="18"/>
                <w:szCs w:val="18"/>
              </w:rPr>
            </w:pPr>
          </w:p>
        </w:tc>
      </w:tr>
      <w:tr w:rsidR="00810077" w14:paraId="40F94159" w14:textId="77777777" w:rsidTr="005B2630">
        <w:tc>
          <w:tcPr>
            <w:tcW w:w="9889" w:type="dxa"/>
            <w:gridSpan w:val="3"/>
            <w:shd w:val="clear" w:color="auto" w:fill="D9D9D9"/>
          </w:tcPr>
          <w:p w14:paraId="40F94158" w14:textId="77777777" w:rsidR="00810077" w:rsidRDefault="00855C24">
            <w:pPr>
              <w:spacing w:after="0" w:line="240" w:lineRule="auto"/>
              <w:rPr>
                <w:rFonts w:ascii="Arial" w:eastAsia="Arial" w:hAnsi="Arial" w:cs="Arial"/>
                <w:sz w:val="18"/>
                <w:szCs w:val="18"/>
                <w:highlight w:val="yellow"/>
              </w:rPr>
            </w:pPr>
            <w:r>
              <w:rPr>
                <w:rFonts w:ascii="Arial" w:eastAsia="Arial" w:hAnsi="Arial" w:cs="Arial"/>
                <w:b/>
                <w:sz w:val="18"/>
                <w:szCs w:val="18"/>
              </w:rPr>
              <w:t>Section 2: Rationale</w:t>
            </w:r>
          </w:p>
        </w:tc>
      </w:tr>
      <w:tr w:rsidR="00810077" w14:paraId="40F94163" w14:textId="77777777" w:rsidTr="005B2630">
        <w:trPr>
          <w:trHeight w:val="540"/>
        </w:trPr>
        <w:tc>
          <w:tcPr>
            <w:tcW w:w="534" w:type="dxa"/>
            <w:shd w:val="clear" w:color="auto" w:fill="auto"/>
          </w:tcPr>
          <w:p w14:paraId="40F9415A"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2.1</w:t>
            </w:r>
          </w:p>
          <w:p w14:paraId="40F9415B" w14:textId="77777777" w:rsidR="00810077" w:rsidRDefault="00810077">
            <w:pPr>
              <w:spacing w:after="0" w:line="240" w:lineRule="auto"/>
              <w:rPr>
                <w:rFonts w:ascii="Arial" w:eastAsia="Arial" w:hAnsi="Arial" w:cs="Arial"/>
                <w:sz w:val="18"/>
                <w:szCs w:val="18"/>
              </w:rPr>
            </w:pPr>
          </w:p>
        </w:tc>
        <w:tc>
          <w:tcPr>
            <w:tcW w:w="1417" w:type="dxa"/>
            <w:tcBorders>
              <w:bottom w:val="single" w:sz="4" w:space="0" w:color="000000"/>
            </w:tcBorders>
            <w:shd w:val="clear" w:color="auto" w:fill="D9D9D9"/>
          </w:tcPr>
          <w:p w14:paraId="40F9415C"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Purpose</w:t>
            </w:r>
          </w:p>
        </w:tc>
        <w:tc>
          <w:tcPr>
            <w:tcW w:w="7938" w:type="dxa"/>
          </w:tcPr>
          <w:p w14:paraId="40F9415D" w14:textId="77777777" w:rsidR="005B2630" w:rsidRPr="005B2630" w:rsidRDefault="005B2630" w:rsidP="005B2630">
            <w:pPr>
              <w:spacing w:after="0" w:line="240" w:lineRule="auto"/>
              <w:rPr>
                <w:rFonts w:ascii="Arial" w:eastAsia="Arial" w:hAnsi="Arial" w:cs="Arial"/>
                <w:sz w:val="18"/>
                <w:szCs w:val="18"/>
              </w:rPr>
            </w:pPr>
            <w:r w:rsidRPr="005B2630">
              <w:rPr>
                <w:rFonts w:ascii="Arial" w:eastAsia="Arial" w:hAnsi="Arial" w:cs="Arial"/>
                <w:sz w:val="18"/>
                <w:szCs w:val="18"/>
              </w:rPr>
              <w:t xml:space="preserve">Inhaled corticosteroids (ICS) are commonly prescribed for patients with COPD and asthma, although the risk of systemic side effects is greater when higher doses are used. </w:t>
            </w:r>
          </w:p>
          <w:p w14:paraId="40F9415E" w14:textId="77777777" w:rsidR="005B2630" w:rsidRDefault="005B2630" w:rsidP="005B2630">
            <w:pPr>
              <w:spacing w:after="0" w:line="240" w:lineRule="auto"/>
              <w:rPr>
                <w:rFonts w:ascii="Arial" w:eastAsia="Arial" w:hAnsi="Arial" w:cs="Arial"/>
                <w:sz w:val="18"/>
                <w:szCs w:val="18"/>
              </w:rPr>
            </w:pPr>
          </w:p>
          <w:p w14:paraId="40F9415F" w14:textId="77777777" w:rsidR="005B2630" w:rsidRPr="005B2630" w:rsidRDefault="005B2630" w:rsidP="005B2630">
            <w:pPr>
              <w:spacing w:after="0" w:line="240" w:lineRule="auto"/>
              <w:rPr>
                <w:rFonts w:ascii="Arial" w:eastAsia="Arial" w:hAnsi="Arial" w:cs="Arial"/>
                <w:sz w:val="18"/>
                <w:szCs w:val="18"/>
              </w:rPr>
            </w:pPr>
            <w:r w:rsidRPr="005B2630">
              <w:rPr>
                <w:rFonts w:ascii="Arial" w:eastAsia="Arial" w:hAnsi="Arial" w:cs="Arial"/>
                <w:sz w:val="18"/>
                <w:szCs w:val="18"/>
              </w:rPr>
              <w:t xml:space="preserve">Sometimes it is appropriate to continue this high dose long-term, but often patients can be ‘stepped-down’ again if clinically appropriate. </w:t>
            </w:r>
          </w:p>
          <w:p w14:paraId="40F94160" w14:textId="77777777" w:rsidR="005B2630" w:rsidRDefault="005B2630" w:rsidP="005B2630">
            <w:pPr>
              <w:spacing w:after="0" w:line="240" w:lineRule="auto"/>
              <w:rPr>
                <w:rFonts w:ascii="Arial" w:eastAsia="Arial" w:hAnsi="Arial" w:cs="Arial"/>
                <w:sz w:val="18"/>
                <w:szCs w:val="18"/>
              </w:rPr>
            </w:pPr>
          </w:p>
          <w:p w14:paraId="40F94161" w14:textId="77777777" w:rsidR="00810077" w:rsidRDefault="005B2630" w:rsidP="005B2630">
            <w:pPr>
              <w:spacing w:after="0" w:line="240" w:lineRule="auto"/>
              <w:rPr>
                <w:rFonts w:ascii="Arial" w:eastAsia="Arial" w:hAnsi="Arial" w:cs="Arial"/>
                <w:sz w:val="18"/>
                <w:szCs w:val="18"/>
              </w:rPr>
            </w:pPr>
            <w:r w:rsidRPr="005B2630">
              <w:rPr>
                <w:rFonts w:ascii="Arial" w:eastAsia="Arial" w:hAnsi="Arial" w:cs="Arial"/>
                <w:sz w:val="18"/>
                <w:szCs w:val="18"/>
              </w:rPr>
              <w:t>This metric highlights the variation in the number of patients in each CCG / GP practice who are prescribed a high dose steroid, allowing commissioners and prescribers to see how much variation exists.</w:t>
            </w:r>
          </w:p>
          <w:p w14:paraId="40F94162" w14:textId="77777777" w:rsidR="00810077" w:rsidRDefault="00810077">
            <w:pPr>
              <w:spacing w:after="0" w:line="240" w:lineRule="auto"/>
              <w:rPr>
                <w:rFonts w:ascii="Arial" w:eastAsia="Arial" w:hAnsi="Arial" w:cs="Arial"/>
                <w:sz w:val="18"/>
                <w:szCs w:val="18"/>
              </w:rPr>
            </w:pPr>
          </w:p>
        </w:tc>
      </w:tr>
      <w:tr w:rsidR="00810077" w14:paraId="40F94168" w14:textId="77777777" w:rsidTr="005B2630">
        <w:tc>
          <w:tcPr>
            <w:tcW w:w="534" w:type="dxa"/>
            <w:shd w:val="clear" w:color="auto" w:fill="auto"/>
          </w:tcPr>
          <w:p w14:paraId="40F94164"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2.2</w:t>
            </w:r>
          </w:p>
          <w:p w14:paraId="40F94165" w14:textId="77777777" w:rsidR="00810077" w:rsidRDefault="00810077">
            <w:pPr>
              <w:spacing w:after="0" w:line="240" w:lineRule="auto"/>
              <w:rPr>
                <w:rFonts w:ascii="Arial" w:eastAsia="Arial" w:hAnsi="Arial" w:cs="Arial"/>
                <w:sz w:val="18"/>
                <w:szCs w:val="18"/>
              </w:rPr>
            </w:pPr>
          </w:p>
        </w:tc>
        <w:tc>
          <w:tcPr>
            <w:tcW w:w="1417" w:type="dxa"/>
            <w:shd w:val="clear" w:color="auto" w:fill="D9D9D9"/>
          </w:tcPr>
          <w:p w14:paraId="40F94166"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Evidence and Policy Base</w:t>
            </w:r>
          </w:p>
        </w:tc>
        <w:tc>
          <w:tcPr>
            <w:tcW w:w="7938" w:type="dxa"/>
          </w:tcPr>
          <w:p w14:paraId="40F94167" w14:textId="77777777" w:rsidR="00810077" w:rsidRDefault="005B2630">
            <w:pPr>
              <w:spacing w:after="0" w:line="240" w:lineRule="auto"/>
              <w:jc w:val="both"/>
              <w:rPr>
                <w:rFonts w:ascii="Arial" w:eastAsia="Arial" w:hAnsi="Arial" w:cs="Arial"/>
                <w:sz w:val="18"/>
                <w:szCs w:val="18"/>
              </w:rPr>
            </w:pPr>
            <w:r w:rsidRPr="005B2630">
              <w:rPr>
                <w:rFonts w:ascii="Arial" w:eastAsia="Arial" w:hAnsi="Arial" w:cs="Arial"/>
                <w:sz w:val="18"/>
                <w:szCs w:val="18"/>
              </w:rPr>
              <w:t>National guidelines from NICE and BTS for asthma and COPD state that the patient should be maintained on the lowest effective dose of ICS.</w:t>
            </w:r>
          </w:p>
        </w:tc>
      </w:tr>
    </w:tbl>
    <w:p w14:paraId="40F94169" w14:textId="77777777" w:rsidR="006A0B56" w:rsidRDefault="006A0B56">
      <w:pPr>
        <w:pStyle w:val="Heading2"/>
      </w:pPr>
    </w:p>
    <w:p w14:paraId="40F9416A" w14:textId="77777777" w:rsidR="006A0B56" w:rsidRDefault="006A0B56">
      <w:pPr>
        <w:rPr>
          <w:rFonts w:ascii="Arial" w:eastAsia="Arial" w:hAnsi="Arial" w:cs="Arial"/>
          <w:b/>
          <w:sz w:val="20"/>
          <w:szCs w:val="20"/>
        </w:rPr>
      </w:pPr>
      <w:r>
        <w:br w:type="page"/>
      </w:r>
    </w:p>
    <w:p w14:paraId="40F9416B" w14:textId="77777777" w:rsidR="00810077" w:rsidRDefault="005B2630">
      <w:pPr>
        <w:pStyle w:val="Heading2"/>
      </w:pPr>
      <w:bookmarkStart w:id="21" w:name="_Toc89761261"/>
      <w:r w:rsidRPr="005B2630">
        <w:lastRenderedPageBreak/>
        <w:t>Inhaled steroid prevention including ICS LABA</w:t>
      </w:r>
      <w:bookmarkEnd w:id="21"/>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417"/>
        <w:gridCol w:w="7938"/>
      </w:tblGrid>
      <w:tr w:rsidR="00810077" w14:paraId="40F9416D" w14:textId="77777777">
        <w:tc>
          <w:tcPr>
            <w:tcW w:w="9889" w:type="dxa"/>
            <w:gridSpan w:val="3"/>
            <w:shd w:val="clear" w:color="auto" w:fill="D9D9D9"/>
          </w:tcPr>
          <w:p w14:paraId="40F9416C" w14:textId="77777777" w:rsidR="00810077" w:rsidRDefault="00855C24">
            <w:pPr>
              <w:spacing w:after="0" w:line="240" w:lineRule="auto"/>
              <w:rPr>
                <w:rFonts w:ascii="Arial" w:eastAsia="Arial" w:hAnsi="Arial" w:cs="Arial"/>
                <w:sz w:val="18"/>
                <w:szCs w:val="18"/>
                <w:highlight w:val="yellow"/>
              </w:rPr>
            </w:pPr>
            <w:r>
              <w:rPr>
                <w:rFonts w:ascii="Arial" w:eastAsia="Arial" w:hAnsi="Arial" w:cs="Arial"/>
                <w:b/>
                <w:sz w:val="18"/>
                <w:szCs w:val="18"/>
              </w:rPr>
              <w:t>Section 1: Introduction / Overview</w:t>
            </w:r>
          </w:p>
        </w:tc>
      </w:tr>
      <w:tr w:rsidR="00810077" w14:paraId="40F94171" w14:textId="77777777">
        <w:tc>
          <w:tcPr>
            <w:tcW w:w="534" w:type="dxa"/>
            <w:shd w:val="clear" w:color="auto" w:fill="auto"/>
          </w:tcPr>
          <w:p w14:paraId="40F9416E"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1.1</w:t>
            </w:r>
          </w:p>
        </w:tc>
        <w:tc>
          <w:tcPr>
            <w:tcW w:w="1417" w:type="dxa"/>
            <w:tcBorders>
              <w:bottom w:val="single" w:sz="4" w:space="0" w:color="000000"/>
            </w:tcBorders>
            <w:shd w:val="clear" w:color="auto" w:fill="D9D9D9"/>
          </w:tcPr>
          <w:p w14:paraId="40F9416F"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Title</w:t>
            </w:r>
          </w:p>
        </w:tc>
        <w:tc>
          <w:tcPr>
            <w:tcW w:w="7938" w:type="dxa"/>
          </w:tcPr>
          <w:p w14:paraId="40F94170" w14:textId="77777777" w:rsidR="00810077" w:rsidRDefault="005B2630">
            <w:pPr>
              <w:spacing w:after="0" w:line="240" w:lineRule="auto"/>
              <w:rPr>
                <w:rFonts w:ascii="Arial" w:eastAsia="Arial" w:hAnsi="Arial" w:cs="Arial"/>
                <w:sz w:val="18"/>
                <w:szCs w:val="18"/>
              </w:rPr>
            </w:pPr>
            <w:r w:rsidRPr="005B2630">
              <w:rPr>
                <w:rFonts w:ascii="Arial" w:eastAsia="Arial" w:hAnsi="Arial" w:cs="Arial"/>
                <w:sz w:val="18"/>
                <w:szCs w:val="18"/>
              </w:rPr>
              <w:t>Inhaled steroid prevention including ICS LABA</w:t>
            </w:r>
          </w:p>
        </w:tc>
      </w:tr>
      <w:tr w:rsidR="00810077" w14:paraId="40F94175" w14:textId="77777777">
        <w:tc>
          <w:tcPr>
            <w:tcW w:w="534" w:type="dxa"/>
            <w:shd w:val="clear" w:color="auto" w:fill="auto"/>
          </w:tcPr>
          <w:p w14:paraId="40F94172"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1.2</w:t>
            </w:r>
          </w:p>
        </w:tc>
        <w:tc>
          <w:tcPr>
            <w:tcW w:w="1417" w:type="dxa"/>
            <w:tcBorders>
              <w:top w:val="single" w:sz="4" w:space="0" w:color="000000"/>
              <w:bottom w:val="single" w:sz="4" w:space="0" w:color="000000"/>
            </w:tcBorders>
            <w:shd w:val="clear" w:color="auto" w:fill="D9D9D9"/>
          </w:tcPr>
          <w:p w14:paraId="40F94173"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Definition</w:t>
            </w:r>
          </w:p>
        </w:tc>
        <w:tc>
          <w:tcPr>
            <w:tcW w:w="7938" w:type="dxa"/>
          </w:tcPr>
          <w:p w14:paraId="40F94174" w14:textId="77777777" w:rsidR="00810077" w:rsidRDefault="00855C24" w:rsidP="005B2630">
            <w:pPr>
              <w:spacing w:after="0" w:line="240" w:lineRule="auto"/>
              <w:jc w:val="both"/>
              <w:rPr>
                <w:rFonts w:ascii="Arial" w:eastAsia="Arial" w:hAnsi="Arial" w:cs="Arial"/>
                <w:sz w:val="18"/>
                <w:szCs w:val="18"/>
              </w:rPr>
            </w:pPr>
            <w:r>
              <w:rPr>
                <w:rFonts w:ascii="Arial" w:eastAsia="Arial" w:hAnsi="Arial" w:cs="Arial"/>
                <w:sz w:val="18"/>
                <w:szCs w:val="18"/>
              </w:rPr>
              <w:t xml:space="preserve">Identifying the proportion of patients receiving 5 or fewer </w:t>
            </w:r>
            <w:r w:rsidR="005B2630">
              <w:rPr>
                <w:rFonts w:ascii="Arial" w:eastAsia="Arial" w:hAnsi="Arial" w:cs="Arial"/>
                <w:sz w:val="18"/>
                <w:szCs w:val="18"/>
              </w:rPr>
              <w:t>steroid inhalers including</w:t>
            </w:r>
            <w:r>
              <w:rPr>
                <w:rFonts w:ascii="Arial" w:eastAsia="Arial" w:hAnsi="Arial" w:cs="Arial"/>
                <w:sz w:val="18"/>
                <w:szCs w:val="18"/>
              </w:rPr>
              <w:t xml:space="preserve"> ICS LABA products. Figures are reported for a rolling </w:t>
            </w:r>
            <w:proofErr w:type="gramStart"/>
            <w:r>
              <w:rPr>
                <w:rFonts w:ascii="Arial" w:eastAsia="Arial" w:hAnsi="Arial" w:cs="Arial"/>
                <w:sz w:val="18"/>
                <w:szCs w:val="18"/>
              </w:rPr>
              <w:t>12 month</w:t>
            </w:r>
            <w:proofErr w:type="gramEnd"/>
            <w:r>
              <w:rPr>
                <w:rFonts w:ascii="Arial" w:eastAsia="Arial" w:hAnsi="Arial" w:cs="Arial"/>
                <w:sz w:val="18"/>
                <w:szCs w:val="18"/>
              </w:rPr>
              <w:t xml:space="preserve"> period.</w:t>
            </w:r>
          </w:p>
        </w:tc>
      </w:tr>
      <w:tr w:rsidR="00810077" w14:paraId="40F94179" w14:textId="77777777">
        <w:trPr>
          <w:trHeight w:val="440"/>
        </w:trPr>
        <w:tc>
          <w:tcPr>
            <w:tcW w:w="534" w:type="dxa"/>
            <w:shd w:val="clear" w:color="auto" w:fill="auto"/>
          </w:tcPr>
          <w:p w14:paraId="40F94176"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1.3</w:t>
            </w:r>
          </w:p>
        </w:tc>
        <w:tc>
          <w:tcPr>
            <w:tcW w:w="1417" w:type="dxa"/>
            <w:tcBorders>
              <w:top w:val="single" w:sz="4" w:space="0" w:color="000000"/>
              <w:bottom w:val="single" w:sz="4" w:space="0" w:color="000000"/>
            </w:tcBorders>
            <w:shd w:val="clear" w:color="auto" w:fill="D9D9D9"/>
          </w:tcPr>
          <w:p w14:paraId="40F94177"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Reporting Level</w:t>
            </w:r>
          </w:p>
        </w:tc>
        <w:tc>
          <w:tcPr>
            <w:tcW w:w="7938" w:type="dxa"/>
          </w:tcPr>
          <w:p w14:paraId="40F94178"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Practice level (aggregated to CCG).</w:t>
            </w:r>
          </w:p>
        </w:tc>
      </w:tr>
      <w:tr w:rsidR="00810077" w14:paraId="40F9417F" w14:textId="77777777" w:rsidTr="001620B8">
        <w:trPr>
          <w:trHeight w:hRule="exact" w:val="1134"/>
        </w:trPr>
        <w:tc>
          <w:tcPr>
            <w:tcW w:w="534" w:type="dxa"/>
            <w:shd w:val="clear" w:color="auto" w:fill="auto"/>
          </w:tcPr>
          <w:p w14:paraId="40F9417A"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1.4</w:t>
            </w:r>
          </w:p>
        </w:tc>
        <w:tc>
          <w:tcPr>
            <w:tcW w:w="1417" w:type="dxa"/>
            <w:tcBorders>
              <w:top w:val="single" w:sz="4" w:space="0" w:color="000000"/>
              <w:bottom w:val="single" w:sz="4" w:space="0" w:color="000000"/>
            </w:tcBorders>
            <w:shd w:val="clear" w:color="auto" w:fill="D9D9D9"/>
          </w:tcPr>
          <w:p w14:paraId="40F9417B"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Numerator</w:t>
            </w:r>
          </w:p>
        </w:tc>
        <w:tc>
          <w:tcPr>
            <w:tcW w:w="7938" w:type="dxa"/>
          </w:tcPr>
          <w:p w14:paraId="40F9417C" w14:textId="77777777" w:rsidR="00810077" w:rsidRDefault="00855C24">
            <w:pPr>
              <w:spacing w:after="0" w:line="240" w:lineRule="auto"/>
              <w:jc w:val="both"/>
              <w:rPr>
                <w:rFonts w:ascii="Arial" w:eastAsia="Arial" w:hAnsi="Arial" w:cs="Arial"/>
                <w:sz w:val="18"/>
                <w:szCs w:val="18"/>
              </w:rPr>
            </w:pPr>
            <w:r>
              <w:rPr>
                <w:rFonts w:ascii="Arial" w:eastAsia="Arial" w:hAnsi="Arial" w:cs="Arial"/>
                <w:sz w:val="18"/>
                <w:szCs w:val="18"/>
              </w:rPr>
              <w:t xml:space="preserve">Number of patients receiving 5 or fewer </w:t>
            </w:r>
            <w:r w:rsidR="005B2630">
              <w:rPr>
                <w:rFonts w:ascii="Arial" w:eastAsia="Arial" w:hAnsi="Arial" w:cs="Arial"/>
                <w:sz w:val="18"/>
                <w:szCs w:val="18"/>
              </w:rPr>
              <w:t>steroid inhalers</w:t>
            </w:r>
            <w:r>
              <w:rPr>
                <w:rFonts w:ascii="Arial" w:eastAsia="Arial" w:hAnsi="Arial" w:cs="Arial"/>
                <w:sz w:val="18"/>
                <w:szCs w:val="18"/>
              </w:rPr>
              <w:t xml:space="preserve"> </w:t>
            </w:r>
            <w:r w:rsidR="005B2630">
              <w:rPr>
                <w:rFonts w:ascii="Arial" w:eastAsia="Arial" w:hAnsi="Arial" w:cs="Arial"/>
                <w:sz w:val="18"/>
                <w:szCs w:val="18"/>
              </w:rPr>
              <w:t>including</w:t>
            </w:r>
            <w:r>
              <w:rPr>
                <w:rFonts w:ascii="Arial" w:eastAsia="Arial" w:hAnsi="Arial" w:cs="Arial"/>
                <w:sz w:val="18"/>
                <w:szCs w:val="18"/>
              </w:rPr>
              <w:t xml:space="preserve"> ICS LABA products within a rolling </w:t>
            </w:r>
            <w:proofErr w:type="gramStart"/>
            <w:r>
              <w:rPr>
                <w:rFonts w:ascii="Arial" w:eastAsia="Arial" w:hAnsi="Arial" w:cs="Arial"/>
                <w:sz w:val="18"/>
                <w:szCs w:val="18"/>
              </w:rPr>
              <w:t>12 month</w:t>
            </w:r>
            <w:proofErr w:type="gramEnd"/>
            <w:r>
              <w:rPr>
                <w:rFonts w:ascii="Arial" w:eastAsia="Arial" w:hAnsi="Arial" w:cs="Arial"/>
                <w:sz w:val="18"/>
                <w:szCs w:val="18"/>
              </w:rPr>
              <w:t xml:space="preserve"> period.</w:t>
            </w:r>
          </w:p>
          <w:p w14:paraId="40F9417D" w14:textId="77777777" w:rsidR="00810077" w:rsidRDefault="00810077">
            <w:pPr>
              <w:spacing w:after="0" w:line="240" w:lineRule="auto"/>
              <w:jc w:val="both"/>
              <w:rPr>
                <w:rFonts w:ascii="Arial" w:eastAsia="Arial" w:hAnsi="Arial" w:cs="Arial"/>
                <w:sz w:val="18"/>
                <w:szCs w:val="18"/>
              </w:rPr>
            </w:pPr>
          </w:p>
          <w:p w14:paraId="40F9417E" w14:textId="77777777" w:rsidR="00810077" w:rsidRDefault="009F5668" w:rsidP="001620B8">
            <w:pPr>
              <w:spacing w:after="0" w:line="240" w:lineRule="auto"/>
              <w:rPr>
                <w:rFonts w:ascii="Arial" w:eastAsia="Arial" w:hAnsi="Arial" w:cs="Arial"/>
                <w:sz w:val="18"/>
                <w:szCs w:val="18"/>
              </w:rPr>
            </w:pPr>
            <w:r>
              <w:rPr>
                <w:rFonts w:ascii="Arial" w:eastAsia="Arial" w:hAnsi="Arial" w:cs="Arial"/>
                <w:sz w:val="18"/>
                <w:szCs w:val="18"/>
              </w:rPr>
              <w:t xml:space="preserve">Please refer to </w:t>
            </w:r>
            <w:r w:rsidRPr="001620B8">
              <w:rPr>
                <w:rFonts w:ascii="Arial" w:eastAsia="Arial" w:hAnsi="Arial" w:cs="Arial"/>
                <w:b/>
                <w:sz w:val="18"/>
                <w:szCs w:val="18"/>
              </w:rPr>
              <w:t>Appendix 2</w:t>
            </w:r>
            <w:r>
              <w:rPr>
                <w:rFonts w:ascii="Arial" w:eastAsia="Arial" w:hAnsi="Arial" w:cs="Arial"/>
                <w:sz w:val="18"/>
                <w:szCs w:val="18"/>
              </w:rPr>
              <w:t xml:space="preserve"> </w:t>
            </w:r>
            <w:r w:rsidR="00AE2A4F">
              <w:rPr>
                <w:rFonts w:ascii="Arial" w:eastAsia="Arial" w:hAnsi="Arial" w:cs="Arial"/>
                <w:sz w:val="18"/>
                <w:szCs w:val="18"/>
              </w:rPr>
              <w:t xml:space="preserve">(provided in a separate document) </w:t>
            </w:r>
            <w:r>
              <w:rPr>
                <w:rFonts w:ascii="Arial" w:eastAsia="Arial" w:hAnsi="Arial" w:cs="Arial"/>
                <w:sz w:val="18"/>
                <w:szCs w:val="18"/>
              </w:rPr>
              <w:t>for the drug list for this numerator.</w:t>
            </w:r>
          </w:p>
        </w:tc>
      </w:tr>
      <w:tr w:rsidR="00810077" w14:paraId="40F94184" w14:textId="77777777">
        <w:trPr>
          <w:trHeight w:val="460"/>
        </w:trPr>
        <w:tc>
          <w:tcPr>
            <w:tcW w:w="534" w:type="dxa"/>
            <w:shd w:val="clear" w:color="auto" w:fill="auto"/>
          </w:tcPr>
          <w:p w14:paraId="40F94180"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1.5</w:t>
            </w:r>
          </w:p>
        </w:tc>
        <w:tc>
          <w:tcPr>
            <w:tcW w:w="1417" w:type="dxa"/>
            <w:tcBorders>
              <w:top w:val="single" w:sz="4" w:space="0" w:color="000000"/>
              <w:bottom w:val="single" w:sz="4" w:space="0" w:color="000000"/>
            </w:tcBorders>
            <w:shd w:val="clear" w:color="auto" w:fill="D9D9D9"/>
          </w:tcPr>
          <w:p w14:paraId="40F94181"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Denominator</w:t>
            </w:r>
          </w:p>
        </w:tc>
        <w:tc>
          <w:tcPr>
            <w:tcW w:w="7938" w:type="dxa"/>
          </w:tcPr>
          <w:p w14:paraId="40F94182"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 xml:space="preserve">Total number of patients receiving any prescription items for </w:t>
            </w:r>
            <w:r w:rsidR="005B2630">
              <w:rPr>
                <w:rFonts w:ascii="Arial" w:eastAsia="Arial" w:hAnsi="Arial" w:cs="Arial"/>
                <w:sz w:val="18"/>
                <w:szCs w:val="18"/>
              </w:rPr>
              <w:t xml:space="preserve">steroid inhalers including </w:t>
            </w:r>
            <w:r>
              <w:rPr>
                <w:rFonts w:ascii="Arial" w:eastAsia="Arial" w:hAnsi="Arial" w:cs="Arial"/>
                <w:sz w:val="18"/>
                <w:szCs w:val="18"/>
              </w:rPr>
              <w:t>ICS LABA products</w:t>
            </w:r>
            <w:r w:rsidR="005B2630">
              <w:rPr>
                <w:rFonts w:ascii="Arial" w:eastAsia="Arial" w:hAnsi="Arial" w:cs="Arial"/>
                <w:sz w:val="18"/>
                <w:szCs w:val="18"/>
              </w:rPr>
              <w:t xml:space="preserve"> (see numerator for list)</w:t>
            </w:r>
            <w:r>
              <w:rPr>
                <w:rFonts w:ascii="Arial" w:eastAsia="Arial" w:hAnsi="Arial" w:cs="Arial"/>
                <w:sz w:val="18"/>
                <w:szCs w:val="18"/>
              </w:rPr>
              <w:t xml:space="preserve"> within a rolling </w:t>
            </w:r>
            <w:proofErr w:type="gramStart"/>
            <w:r>
              <w:rPr>
                <w:rFonts w:ascii="Arial" w:eastAsia="Arial" w:hAnsi="Arial" w:cs="Arial"/>
                <w:sz w:val="18"/>
                <w:szCs w:val="18"/>
              </w:rPr>
              <w:t>12 month</w:t>
            </w:r>
            <w:proofErr w:type="gramEnd"/>
            <w:r>
              <w:rPr>
                <w:rFonts w:ascii="Arial" w:eastAsia="Arial" w:hAnsi="Arial" w:cs="Arial"/>
                <w:sz w:val="18"/>
                <w:szCs w:val="18"/>
              </w:rPr>
              <w:t xml:space="preserve"> period.</w:t>
            </w:r>
          </w:p>
          <w:p w14:paraId="40F94183" w14:textId="77777777" w:rsidR="00810077" w:rsidRDefault="00810077">
            <w:pPr>
              <w:spacing w:after="0" w:line="240" w:lineRule="auto"/>
              <w:rPr>
                <w:rFonts w:ascii="Arial" w:eastAsia="Arial" w:hAnsi="Arial" w:cs="Arial"/>
                <w:sz w:val="18"/>
                <w:szCs w:val="18"/>
              </w:rPr>
            </w:pPr>
          </w:p>
        </w:tc>
      </w:tr>
      <w:tr w:rsidR="00810077" w14:paraId="40F94189" w14:textId="77777777">
        <w:tc>
          <w:tcPr>
            <w:tcW w:w="534" w:type="dxa"/>
            <w:shd w:val="clear" w:color="auto" w:fill="auto"/>
          </w:tcPr>
          <w:p w14:paraId="40F94185"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1.7</w:t>
            </w:r>
          </w:p>
        </w:tc>
        <w:tc>
          <w:tcPr>
            <w:tcW w:w="1417" w:type="dxa"/>
            <w:tcBorders>
              <w:top w:val="single" w:sz="4" w:space="0" w:color="000000"/>
            </w:tcBorders>
            <w:shd w:val="clear" w:color="auto" w:fill="D9D9D9"/>
          </w:tcPr>
          <w:p w14:paraId="40F94186"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Methodology</w:t>
            </w:r>
          </w:p>
        </w:tc>
        <w:tc>
          <w:tcPr>
            <w:tcW w:w="7938" w:type="dxa"/>
          </w:tcPr>
          <w:p w14:paraId="40F94187" w14:textId="77777777" w:rsidR="00810077" w:rsidRDefault="00855C24">
            <w:pPr>
              <w:spacing w:after="0" w:line="240" w:lineRule="auto"/>
              <w:rPr>
                <w:rFonts w:ascii="Arial" w:eastAsia="Arial" w:hAnsi="Arial" w:cs="Arial"/>
                <w:sz w:val="18"/>
                <w:szCs w:val="18"/>
                <w:highlight w:val="yellow"/>
              </w:rPr>
            </w:pPr>
            <w:r>
              <w:rPr>
                <w:rFonts w:ascii="Arial" w:eastAsia="Arial" w:hAnsi="Arial" w:cs="Arial"/>
                <w:sz w:val="18"/>
                <w:szCs w:val="18"/>
              </w:rPr>
              <w:t>Numerator divided by denominator</w:t>
            </w:r>
            <w:r w:rsidR="005B2630">
              <w:rPr>
                <w:rFonts w:ascii="Arial" w:eastAsia="Arial" w:hAnsi="Arial" w:cs="Arial"/>
                <w:sz w:val="18"/>
                <w:szCs w:val="18"/>
              </w:rPr>
              <w:t>, p</w:t>
            </w:r>
            <w:r>
              <w:rPr>
                <w:rFonts w:ascii="Arial" w:eastAsia="Arial" w:hAnsi="Arial" w:cs="Arial"/>
                <w:sz w:val="18"/>
                <w:szCs w:val="18"/>
              </w:rPr>
              <w:t>resented as a percentage</w:t>
            </w:r>
          </w:p>
          <w:p w14:paraId="40F94188" w14:textId="77777777" w:rsidR="00810077" w:rsidRDefault="00810077">
            <w:pPr>
              <w:spacing w:after="0" w:line="240" w:lineRule="auto"/>
              <w:rPr>
                <w:rFonts w:ascii="Arial" w:eastAsia="Arial" w:hAnsi="Arial" w:cs="Arial"/>
                <w:sz w:val="18"/>
                <w:szCs w:val="18"/>
              </w:rPr>
            </w:pPr>
          </w:p>
        </w:tc>
      </w:tr>
      <w:tr w:rsidR="00810077" w14:paraId="40F9418B" w14:textId="77777777">
        <w:tc>
          <w:tcPr>
            <w:tcW w:w="9889" w:type="dxa"/>
            <w:gridSpan w:val="3"/>
            <w:shd w:val="clear" w:color="auto" w:fill="D9D9D9"/>
          </w:tcPr>
          <w:p w14:paraId="40F9418A" w14:textId="77777777" w:rsidR="00810077" w:rsidRDefault="00855C24">
            <w:pPr>
              <w:spacing w:after="0" w:line="240" w:lineRule="auto"/>
              <w:rPr>
                <w:rFonts w:ascii="Arial" w:eastAsia="Arial" w:hAnsi="Arial" w:cs="Arial"/>
                <w:sz w:val="18"/>
                <w:szCs w:val="18"/>
                <w:highlight w:val="yellow"/>
              </w:rPr>
            </w:pPr>
            <w:r>
              <w:rPr>
                <w:rFonts w:ascii="Arial" w:eastAsia="Arial" w:hAnsi="Arial" w:cs="Arial"/>
                <w:b/>
                <w:sz w:val="18"/>
                <w:szCs w:val="18"/>
              </w:rPr>
              <w:t>Section 2: Rationale</w:t>
            </w:r>
          </w:p>
        </w:tc>
      </w:tr>
      <w:tr w:rsidR="00810077" w14:paraId="40F94190" w14:textId="77777777">
        <w:trPr>
          <w:trHeight w:val="1220"/>
        </w:trPr>
        <w:tc>
          <w:tcPr>
            <w:tcW w:w="534" w:type="dxa"/>
            <w:shd w:val="clear" w:color="auto" w:fill="auto"/>
          </w:tcPr>
          <w:p w14:paraId="40F9418C"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2.1</w:t>
            </w:r>
          </w:p>
          <w:p w14:paraId="40F9418D" w14:textId="77777777" w:rsidR="00810077" w:rsidRDefault="00810077">
            <w:pPr>
              <w:spacing w:after="0" w:line="240" w:lineRule="auto"/>
              <w:rPr>
                <w:rFonts w:ascii="Arial" w:eastAsia="Arial" w:hAnsi="Arial" w:cs="Arial"/>
                <w:sz w:val="18"/>
                <w:szCs w:val="18"/>
              </w:rPr>
            </w:pPr>
          </w:p>
        </w:tc>
        <w:tc>
          <w:tcPr>
            <w:tcW w:w="1417" w:type="dxa"/>
            <w:tcBorders>
              <w:bottom w:val="single" w:sz="4" w:space="0" w:color="000000"/>
            </w:tcBorders>
            <w:shd w:val="clear" w:color="auto" w:fill="D9D9D9"/>
          </w:tcPr>
          <w:p w14:paraId="40F9418E"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Purpose</w:t>
            </w:r>
          </w:p>
        </w:tc>
        <w:tc>
          <w:tcPr>
            <w:tcW w:w="7938" w:type="dxa"/>
          </w:tcPr>
          <w:p w14:paraId="40F9418F" w14:textId="77777777" w:rsidR="00810077" w:rsidRDefault="005B2630">
            <w:pPr>
              <w:spacing w:after="0" w:line="240" w:lineRule="auto"/>
              <w:rPr>
                <w:rFonts w:ascii="Arial" w:eastAsia="Arial" w:hAnsi="Arial" w:cs="Arial"/>
                <w:sz w:val="18"/>
                <w:szCs w:val="18"/>
              </w:rPr>
            </w:pPr>
            <w:r w:rsidRPr="005B2630">
              <w:rPr>
                <w:rFonts w:ascii="Arial" w:eastAsia="Arial" w:hAnsi="Arial" w:cs="Arial"/>
                <w:sz w:val="18"/>
                <w:szCs w:val="18"/>
              </w:rPr>
              <w:t>Steroid-containing inhalers are used as maintenance therapy for COPD and asthma.  They are most likely to be effective if taken regularly. This metric shows the number of patients who have collected 5 or fewer prescriptions for preventer medication, and who might benefit from a medication review with respect to adherence.</w:t>
            </w:r>
          </w:p>
        </w:tc>
      </w:tr>
      <w:tr w:rsidR="00810077" w14:paraId="40F94194" w14:textId="77777777">
        <w:trPr>
          <w:trHeight w:val="400"/>
        </w:trPr>
        <w:tc>
          <w:tcPr>
            <w:tcW w:w="534" w:type="dxa"/>
            <w:shd w:val="clear" w:color="auto" w:fill="auto"/>
          </w:tcPr>
          <w:p w14:paraId="40F94191"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2.2</w:t>
            </w:r>
          </w:p>
        </w:tc>
        <w:tc>
          <w:tcPr>
            <w:tcW w:w="1417" w:type="dxa"/>
            <w:tcBorders>
              <w:bottom w:val="single" w:sz="4" w:space="0" w:color="000000"/>
            </w:tcBorders>
            <w:shd w:val="clear" w:color="auto" w:fill="D9D9D9"/>
          </w:tcPr>
          <w:p w14:paraId="40F94192"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Evidence and Policy Base</w:t>
            </w:r>
          </w:p>
        </w:tc>
        <w:tc>
          <w:tcPr>
            <w:tcW w:w="7938" w:type="dxa"/>
          </w:tcPr>
          <w:p w14:paraId="40F94193" w14:textId="77777777" w:rsidR="00810077" w:rsidRDefault="005B2630">
            <w:pPr>
              <w:rPr>
                <w:rFonts w:ascii="Arial" w:eastAsia="Arial" w:hAnsi="Arial" w:cs="Arial"/>
                <w:sz w:val="18"/>
                <w:szCs w:val="18"/>
              </w:rPr>
            </w:pPr>
            <w:r w:rsidRPr="005B2630">
              <w:rPr>
                <w:rFonts w:ascii="Arial" w:eastAsia="Arial" w:hAnsi="Arial" w:cs="Arial"/>
                <w:sz w:val="18"/>
                <w:szCs w:val="18"/>
              </w:rPr>
              <w:t>Regular maintenance treatment is recommended by both NICE and BTS.</w:t>
            </w:r>
          </w:p>
        </w:tc>
      </w:tr>
    </w:tbl>
    <w:p w14:paraId="40F94195" w14:textId="77777777" w:rsidR="00810077" w:rsidRDefault="00810077">
      <w:pPr>
        <w:pStyle w:val="Heading2"/>
      </w:pPr>
      <w:bookmarkStart w:id="22" w:name="_35nkun2" w:colFirst="0" w:colLast="0"/>
      <w:bookmarkEnd w:id="22"/>
    </w:p>
    <w:p w14:paraId="40F94196" w14:textId="77777777" w:rsidR="00810077" w:rsidRDefault="00855C24">
      <w:pPr>
        <w:pStyle w:val="Heading2"/>
      </w:pPr>
      <w:r>
        <w:br w:type="page"/>
      </w:r>
      <w:bookmarkStart w:id="23" w:name="_Toc89761262"/>
      <w:r w:rsidR="005B2630" w:rsidRPr="005B2630">
        <w:lastRenderedPageBreak/>
        <w:t>Prescribing of montelukast</w:t>
      </w:r>
      <w:bookmarkEnd w:id="23"/>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417"/>
        <w:gridCol w:w="7938"/>
      </w:tblGrid>
      <w:tr w:rsidR="00810077" w14:paraId="40F94198" w14:textId="77777777">
        <w:tc>
          <w:tcPr>
            <w:tcW w:w="9889" w:type="dxa"/>
            <w:gridSpan w:val="3"/>
            <w:shd w:val="clear" w:color="auto" w:fill="D9D9D9"/>
          </w:tcPr>
          <w:p w14:paraId="40F94197" w14:textId="77777777" w:rsidR="00810077" w:rsidRDefault="00855C24">
            <w:pPr>
              <w:spacing w:after="0" w:line="240" w:lineRule="auto"/>
              <w:rPr>
                <w:rFonts w:ascii="Arial" w:eastAsia="Arial" w:hAnsi="Arial" w:cs="Arial"/>
                <w:sz w:val="18"/>
                <w:szCs w:val="18"/>
                <w:highlight w:val="yellow"/>
              </w:rPr>
            </w:pPr>
            <w:r>
              <w:rPr>
                <w:rFonts w:ascii="Arial" w:eastAsia="Arial" w:hAnsi="Arial" w:cs="Arial"/>
                <w:b/>
                <w:sz w:val="18"/>
                <w:szCs w:val="18"/>
              </w:rPr>
              <w:t>Section 1: Introduction / Overview</w:t>
            </w:r>
          </w:p>
        </w:tc>
      </w:tr>
      <w:tr w:rsidR="00810077" w14:paraId="40F9419D" w14:textId="77777777">
        <w:tc>
          <w:tcPr>
            <w:tcW w:w="534" w:type="dxa"/>
            <w:shd w:val="clear" w:color="auto" w:fill="auto"/>
          </w:tcPr>
          <w:p w14:paraId="40F94199"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1.1</w:t>
            </w:r>
          </w:p>
          <w:p w14:paraId="40F9419A" w14:textId="77777777" w:rsidR="00810077" w:rsidRDefault="00810077">
            <w:pPr>
              <w:spacing w:after="0" w:line="240" w:lineRule="auto"/>
              <w:rPr>
                <w:rFonts w:ascii="Arial" w:eastAsia="Arial" w:hAnsi="Arial" w:cs="Arial"/>
                <w:sz w:val="18"/>
                <w:szCs w:val="18"/>
              </w:rPr>
            </w:pPr>
          </w:p>
        </w:tc>
        <w:tc>
          <w:tcPr>
            <w:tcW w:w="1417" w:type="dxa"/>
            <w:tcBorders>
              <w:bottom w:val="single" w:sz="4" w:space="0" w:color="000000"/>
            </w:tcBorders>
            <w:shd w:val="clear" w:color="auto" w:fill="D9D9D9"/>
          </w:tcPr>
          <w:p w14:paraId="40F9419B"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Title</w:t>
            </w:r>
          </w:p>
        </w:tc>
        <w:tc>
          <w:tcPr>
            <w:tcW w:w="7938" w:type="dxa"/>
          </w:tcPr>
          <w:p w14:paraId="40F9419C" w14:textId="77777777" w:rsidR="00810077" w:rsidRPr="00EB07B3" w:rsidRDefault="005B2630" w:rsidP="00EB07B3">
            <w:pPr>
              <w:spacing w:after="0" w:line="240" w:lineRule="auto"/>
              <w:rPr>
                <w:rFonts w:ascii="Arial" w:eastAsia="Arial" w:hAnsi="Arial" w:cs="Arial"/>
                <w:sz w:val="18"/>
                <w:szCs w:val="18"/>
                <w:highlight w:val="yellow"/>
              </w:rPr>
            </w:pPr>
            <w:r w:rsidRPr="00EB07B3">
              <w:rPr>
                <w:rFonts w:ascii="Arial" w:eastAsia="Arial" w:hAnsi="Arial" w:cs="Arial"/>
                <w:sz w:val="18"/>
                <w:szCs w:val="18"/>
              </w:rPr>
              <w:t xml:space="preserve">Prescribing of </w:t>
            </w:r>
            <w:r w:rsidR="00EB07B3">
              <w:rPr>
                <w:rFonts w:ascii="Arial" w:eastAsia="Arial" w:hAnsi="Arial" w:cs="Arial"/>
                <w:sz w:val="18"/>
                <w:szCs w:val="18"/>
              </w:rPr>
              <w:t>M</w:t>
            </w:r>
            <w:r w:rsidRPr="00EB07B3">
              <w:rPr>
                <w:rFonts w:ascii="Arial" w:eastAsia="Arial" w:hAnsi="Arial" w:cs="Arial"/>
                <w:sz w:val="18"/>
                <w:szCs w:val="18"/>
              </w:rPr>
              <w:t>ontelukast</w:t>
            </w:r>
          </w:p>
        </w:tc>
      </w:tr>
      <w:tr w:rsidR="00810077" w14:paraId="40F941A1" w14:textId="77777777">
        <w:tc>
          <w:tcPr>
            <w:tcW w:w="534" w:type="dxa"/>
            <w:shd w:val="clear" w:color="auto" w:fill="auto"/>
          </w:tcPr>
          <w:p w14:paraId="40F9419E"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1.2</w:t>
            </w:r>
          </w:p>
        </w:tc>
        <w:tc>
          <w:tcPr>
            <w:tcW w:w="1417" w:type="dxa"/>
            <w:tcBorders>
              <w:top w:val="single" w:sz="4" w:space="0" w:color="000000"/>
              <w:bottom w:val="single" w:sz="4" w:space="0" w:color="000000"/>
            </w:tcBorders>
            <w:shd w:val="clear" w:color="auto" w:fill="D9D9D9"/>
          </w:tcPr>
          <w:p w14:paraId="40F9419F"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Definition</w:t>
            </w:r>
          </w:p>
        </w:tc>
        <w:tc>
          <w:tcPr>
            <w:tcW w:w="7938" w:type="dxa"/>
          </w:tcPr>
          <w:p w14:paraId="40F941A0" w14:textId="77777777" w:rsidR="00810077" w:rsidRPr="00EB07B3" w:rsidRDefault="00EB07B3" w:rsidP="005B2630">
            <w:pPr>
              <w:spacing w:after="0" w:line="240" w:lineRule="auto"/>
              <w:rPr>
                <w:rFonts w:ascii="Arial" w:eastAsia="Arial" w:hAnsi="Arial" w:cs="Arial"/>
                <w:sz w:val="18"/>
                <w:szCs w:val="18"/>
                <w:highlight w:val="yellow"/>
              </w:rPr>
            </w:pPr>
            <w:r w:rsidRPr="00EB07B3">
              <w:rPr>
                <w:rFonts w:ascii="Arial" w:hAnsi="Arial" w:cs="Arial"/>
                <w:sz w:val="18"/>
                <w:szCs w:val="21"/>
                <w:shd w:val="clear" w:color="auto" w:fill="FFFFFF"/>
              </w:rPr>
              <w:t>Identifying the proportion of prescribing for Montelukast in relation to the number of patients identified on the asthma register</w:t>
            </w:r>
            <w:r w:rsidR="005B2630" w:rsidRPr="00EB07B3">
              <w:rPr>
                <w:rFonts w:ascii="Arial" w:eastAsia="Arial" w:hAnsi="Arial" w:cs="Arial"/>
                <w:sz w:val="18"/>
                <w:szCs w:val="18"/>
              </w:rPr>
              <w:t>, based on the data available via QOF (AST003).</w:t>
            </w:r>
          </w:p>
        </w:tc>
      </w:tr>
      <w:tr w:rsidR="00810077" w14:paraId="40F941A6" w14:textId="77777777">
        <w:trPr>
          <w:trHeight w:val="420"/>
        </w:trPr>
        <w:tc>
          <w:tcPr>
            <w:tcW w:w="534" w:type="dxa"/>
            <w:shd w:val="clear" w:color="auto" w:fill="auto"/>
          </w:tcPr>
          <w:p w14:paraId="40F941A2"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1.3</w:t>
            </w:r>
          </w:p>
        </w:tc>
        <w:tc>
          <w:tcPr>
            <w:tcW w:w="1417" w:type="dxa"/>
            <w:tcBorders>
              <w:top w:val="single" w:sz="4" w:space="0" w:color="000000"/>
              <w:bottom w:val="single" w:sz="4" w:space="0" w:color="000000"/>
            </w:tcBorders>
            <w:shd w:val="clear" w:color="auto" w:fill="D9D9D9"/>
          </w:tcPr>
          <w:p w14:paraId="40F941A3"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Reporting Level</w:t>
            </w:r>
          </w:p>
        </w:tc>
        <w:tc>
          <w:tcPr>
            <w:tcW w:w="7938" w:type="dxa"/>
          </w:tcPr>
          <w:p w14:paraId="40F941A4" w14:textId="77777777" w:rsidR="00810077" w:rsidRDefault="00855C24">
            <w:pPr>
              <w:spacing w:after="0" w:line="240" w:lineRule="auto"/>
              <w:jc w:val="both"/>
              <w:rPr>
                <w:rFonts w:ascii="Arial" w:eastAsia="Arial" w:hAnsi="Arial" w:cs="Arial"/>
                <w:sz w:val="18"/>
                <w:szCs w:val="18"/>
              </w:rPr>
            </w:pPr>
            <w:r>
              <w:rPr>
                <w:rFonts w:ascii="Arial" w:eastAsia="Arial" w:hAnsi="Arial" w:cs="Arial"/>
                <w:sz w:val="18"/>
                <w:szCs w:val="18"/>
              </w:rPr>
              <w:t>Practice level (aggregated to CCG).</w:t>
            </w:r>
          </w:p>
          <w:p w14:paraId="40F941A5" w14:textId="77777777" w:rsidR="00810077" w:rsidRDefault="00810077">
            <w:pPr>
              <w:spacing w:after="0" w:line="240" w:lineRule="auto"/>
              <w:jc w:val="both"/>
              <w:rPr>
                <w:rFonts w:ascii="Arial" w:eastAsia="Arial" w:hAnsi="Arial" w:cs="Arial"/>
                <w:sz w:val="18"/>
                <w:szCs w:val="18"/>
                <w:highlight w:val="yellow"/>
              </w:rPr>
            </w:pPr>
          </w:p>
        </w:tc>
      </w:tr>
      <w:tr w:rsidR="00810077" w14:paraId="40F941AD" w14:textId="77777777">
        <w:trPr>
          <w:trHeight w:val="780"/>
        </w:trPr>
        <w:tc>
          <w:tcPr>
            <w:tcW w:w="534" w:type="dxa"/>
            <w:shd w:val="clear" w:color="auto" w:fill="auto"/>
          </w:tcPr>
          <w:p w14:paraId="40F941A7"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1.4</w:t>
            </w:r>
          </w:p>
        </w:tc>
        <w:tc>
          <w:tcPr>
            <w:tcW w:w="1417" w:type="dxa"/>
            <w:tcBorders>
              <w:top w:val="single" w:sz="4" w:space="0" w:color="000000"/>
              <w:bottom w:val="single" w:sz="4" w:space="0" w:color="000000"/>
            </w:tcBorders>
            <w:shd w:val="clear" w:color="auto" w:fill="D9D9D9"/>
          </w:tcPr>
          <w:p w14:paraId="40F941A8"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Numerator</w:t>
            </w:r>
          </w:p>
        </w:tc>
        <w:tc>
          <w:tcPr>
            <w:tcW w:w="7938" w:type="dxa"/>
          </w:tcPr>
          <w:p w14:paraId="40F941A9" w14:textId="77777777" w:rsidR="00810077" w:rsidRDefault="00EB07B3">
            <w:pPr>
              <w:spacing w:after="0" w:line="240" w:lineRule="auto"/>
              <w:rPr>
                <w:rFonts w:ascii="Arial" w:eastAsia="Arial" w:hAnsi="Arial" w:cs="Arial"/>
                <w:sz w:val="18"/>
                <w:szCs w:val="18"/>
              </w:rPr>
            </w:pPr>
            <w:r>
              <w:rPr>
                <w:rFonts w:ascii="Arial" w:eastAsia="Arial" w:hAnsi="Arial" w:cs="Arial"/>
                <w:sz w:val="18"/>
                <w:szCs w:val="18"/>
              </w:rPr>
              <w:t>Number</w:t>
            </w:r>
            <w:r w:rsidRPr="00EB07B3">
              <w:rPr>
                <w:rFonts w:ascii="Arial" w:eastAsia="Arial" w:hAnsi="Arial" w:cs="Arial"/>
                <w:sz w:val="18"/>
                <w:szCs w:val="18"/>
              </w:rPr>
              <w:t xml:space="preserve"> of patients prescribed any Montelukast presentations</w:t>
            </w:r>
            <w:r w:rsidR="00855C24">
              <w:rPr>
                <w:rFonts w:ascii="Arial" w:eastAsia="Arial" w:hAnsi="Arial" w:cs="Arial"/>
                <w:sz w:val="18"/>
                <w:szCs w:val="18"/>
              </w:rPr>
              <w:t>.</w:t>
            </w:r>
          </w:p>
          <w:p w14:paraId="40F941AA" w14:textId="77777777" w:rsidR="00810077" w:rsidRDefault="00810077">
            <w:pPr>
              <w:spacing w:after="0" w:line="240" w:lineRule="auto"/>
              <w:rPr>
                <w:rFonts w:ascii="Arial" w:eastAsia="Arial" w:hAnsi="Arial" w:cs="Arial"/>
                <w:sz w:val="18"/>
                <w:szCs w:val="18"/>
              </w:rPr>
            </w:pPr>
          </w:p>
          <w:p w14:paraId="40F941AB" w14:textId="77777777" w:rsidR="009F5668" w:rsidRDefault="009F5668">
            <w:pPr>
              <w:spacing w:after="0" w:line="240" w:lineRule="auto"/>
              <w:rPr>
                <w:rFonts w:ascii="Arial" w:eastAsia="Arial" w:hAnsi="Arial" w:cs="Arial"/>
                <w:sz w:val="18"/>
                <w:szCs w:val="18"/>
              </w:rPr>
            </w:pPr>
            <w:r>
              <w:rPr>
                <w:rFonts w:ascii="Arial" w:eastAsia="Arial" w:hAnsi="Arial" w:cs="Arial"/>
                <w:sz w:val="18"/>
                <w:szCs w:val="18"/>
              </w:rPr>
              <w:t xml:space="preserve">Please refer to </w:t>
            </w:r>
            <w:r w:rsidRPr="001620B8">
              <w:rPr>
                <w:rFonts w:ascii="Arial" w:eastAsia="Arial" w:hAnsi="Arial" w:cs="Arial"/>
                <w:b/>
                <w:sz w:val="18"/>
                <w:szCs w:val="18"/>
              </w:rPr>
              <w:t>Appendix 2</w:t>
            </w:r>
            <w:r w:rsidR="00AE2A4F">
              <w:rPr>
                <w:rFonts w:ascii="Arial" w:eastAsia="Arial" w:hAnsi="Arial" w:cs="Arial"/>
                <w:b/>
                <w:sz w:val="18"/>
                <w:szCs w:val="18"/>
              </w:rPr>
              <w:t xml:space="preserve"> </w:t>
            </w:r>
            <w:r w:rsidR="00AE2A4F">
              <w:rPr>
                <w:rFonts w:ascii="Arial" w:eastAsia="Arial" w:hAnsi="Arial" w:cs="Arial"/>
                <w:sz w:val="18"/>
                <w:szCs w:val="18"/>
              </w:rPr>
              <w:t>(provided in a separate document)</w:t>
            </w:r>
            <w:r>
              <w:rPr>
                <w:rFonts w:ascii="Arial" w:eastAsia="Arial" w:hAnsi="Arial" w:cs="Arial"/>
                <w:sz w:val="18"/>
                <w:szCs w:val="18"/>
              </w:rPr>
              <w:t xml:space="preserve"> for the drug list for this numerator.</w:t>
            </w:r>
          </w:p>
          <w:p w14:paraId="40F941AC" w14:textId="77777777" w:rsidR="00810077" w:rsidRDefault="00810077">
            <w:pPr>
              <w:spacing w:after="0" w:line="240" w:lineRule="auto"/>
              <w:rPr>
                <w:rFonts w:ascii="Arial" w:eastAsia="Arial" w:hAnsi="Arial" w:cs="Arial"/>
                <w:sz w:val="18"/>
                <w:szCs w:val="18"/>
                <w:highlight w:val="yellow"/>
              </w:rPr>
            </w:pPr>
          </w:p>
        </w:tc>
      </w:tr>
      <w:tr w:rsidR="00810077" w14:paraId="40F941B6" w14:textId="77777777">
        <w:trPr>
          <w:trHeight w:val="820"/>
        </w:trPr>
        <w:tc>
          <w:tcPr>
            <w:tcW w:w="534" w:type="dxa"/>
            <w:shd w:val="clear" w:color="auto" w:fill="auto"/>
          </w:tcPr>
          <w:p w14:paraId="40F941AE"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1.5</w:t>
            </w:r>
          </w:p>
        </w:tc>
        <w:tc>
          <w:tcPr>
            <w:tcW w:w="1417" w:type="dxa"/>
            <w:tcBorders>
              <w:top w:val="single" w:sz="4" w:space="0" w:color="000000"/>
              <w:bottom w:val="single" w:sz="4" w:space="0" w:color="000000"/>
            </w:tcBorders>
            <w:shd w:val="clear" w:color="auto" w:fill="D9D9D9"/>
          </w:tcPr>
          <w:p w14:paraId="40F941AF"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Denominator</w:t>
            </w:r>
          </w:p>
        </w:tc>
        <w:tc>
          <w:tcPr>
            <w:tcW w:w="7938" w:type="dxa"/>
          </w:tcPr>
          <w:p w14:paraId="40F941B0" w14:textId="77777777" w:rsidR="005B2630" w:rsidRDefault="005B2630">
            <w:pPr>
              <w:spacing w:after="0" w:line="240" w:lineRule="auto"/>
              <w:rPr>
                <w:rFonts w:ascii="Arial" w:eastAsia="Arial" w:hAnsi="Arial" w:cs="Arial"/>
                <w:sz w:val="18"/>
                <w:szCs w:val="18"/>
              </w:rPr>
            </w:pPr>
            <w:r>
              <w:rPr>
                <w:rFonts w:ascii="Arial" w:eastAsia="Arial" w:hAnsi="Arial" w:cs="Arial"/>
                <w:sz w:val="18"/>
                <w:szCs w:val="18"/>
              </w:rPr>
              <w:t xml:space="preserve">Number of patients on the asthma register, based on figures available from </w:t>
            </w:r>
            <w:proofErr w:type="spellStart"/>
            <w:r>
              <w:rPr>
                <w:rFonts w:ascii="Arial" w:eastAsia="Arial" w:hAnsi="Arial" w:cs="Arial"/>
                <w:sz w:val="18"/>
                <w:szCs w:val="18"/>
              </w:rPr>
              <w:t>QoF</w:t>
            </w:r>
            <w:proofErr w:type="spellEnd"/>
            <w:r>
              <w:rPr>
                <w:rFonts w:ascii="Arial" w:eastAsia="Arial" w:hAnsi="Arial" w:cs="Arial"/>
                <w:sz w:val="18"/>
                <w:szCs w:val="18"/>
              </w:rPr>
              <w:t xml:space="preserve"> (AST003).</w:t>
            </w:r>
          </w:p>
          <w:p w14:paraId="40F941B1" w14:textId="77777777" w:rsidR="005B2630" w:rsidRDefault="005B2630">
            <w:pPr>
              <w:spacing w:after="0" w:line="240" w:lineRule="auto"/>
              <w:rPr>
                <w:rFonts w:ascii="Arial" w:eastAsia="Arial" w:hAnsi="Arial" w:cs="Arial"/>
                <w:sz w:val="18"/>
                <w:szCs w:val="18"/>
              </w:rPr>
            </w:pPr>
          </w:p>
          <w:p w14:paraId="40F941B2" w14:textId="77777777" w:rsidR="00A55577" w:rsidRDefault="00A55577" w:rsidP="00A55577">
            <w:pPr>
              <w:spacing w:after="0" w:line="240" w:lineRule="auto"/>
              <w:rPr>
                <w:rFonts w:ascii="Arial" w:eastAsia="Arial" w:hAnsi="Arial" w:cs="Arial"/>
                <w:sz w:val="18"/>
                <w:szCs w:val="18"/>
              </w:rPr>
            </w:pPr>
            <w:r>
              <w:rPr>
                <w:rFonts w:ascii="Arial" w:eastAsia="Arial" w:hAnsi="Arial" w:cs="Arial"/>
                <w:sz w:val="18"/>
                <w:szCs w:val="18"/>
              </w:rPr>
              <w:t xml:space="preserve">Data for the denominator is only available as a figure for a complete financial year and is published annually in November.  As the comparator is reported </w:t>
            </w:r>
            <w:proofErr w:type="gramStart"/>
            <w:r>
              <w:rPr>
                <w:rFonts w:ascii="Arial" w:eastAsia="Arial" w:hAnsi="Arial" w:cs="Arial"/>
                <w:sz w:val="18"/>
                <w:szCs w:val="18"/>
              </w:rPr>
              <w:t>on a monthly basis</w:t>
            </w:r>
            <w:proofErr w:type="gramEnd"/>
            <w:r>
              <w:rPr>
                <w:rFonts w:ascii="Arial" w:eastAsia="Arial" w:hAnsi="Arial" w:cs="Arial"/>
                <w:sz w:val="18"/>
                <w:szCs w:val="18"/>
              </w:rPr>
              <w:t>, the same figure is used for each month within the financial year.  The latest available data will be reported until a new QOF dataset is published at which point the figures will be retrospectively adjusted accordingly.</w:t>
            </w:r>
          </w:p>
          <w:p w14:paraId="40F941B3" w14:textId="77777777" w:rsidR="00A55577" w:rsidRDefault="00A55577" w:rsidP="00A55577">
            <w:pPr>
              <w:spacing w:after="0" w:line="240" w:lineRule="auto"/>
              <w:rPr>
                <w:rFonts w:ascii="Arial" w:eastAsia="Arial" w:hAnsi="Arial" w:cs="Arial"/>
                <w:sz w:val="18"/>
                <w:szCs w:val="18"/>
              </w:rPr>
            </w:pPr>
          </w:p>
          <w:p w14:paraId="40F941B4" w14:textId="77777777" w:rsidR="00810077" w:rsidRDefault="00A55577">
            <w:pPr>
              <w:spacing w:after="0" w:line="240" w:lineRule="auto"/>
              <w:rPr>
                <w:rFonts w:ascii="Arial" w:eastAsia="Arial" w:hAnsi="Arial" w:cs="Arial"/>
                <w:sz w:val="18"/>
                <w:szCs w:val="18"/>
              </w:rPr>
            </w:pPr>
            <w:r>
              <w:rPr>
                <w:rFonts w:ascii="Arial" w:eastAsia="Arial" w:hAnsi="Arial" w:cs="Arial"/>
                <w:sz w:val="18"/>
                <w:szCs w:val="18"/>
              </w:rPr>
              <w:t xml:space="preserve">For example, the dashboard figures for Apr-17 to Mar-18 will use the QOF figures for 2016/17 until the November 2018 QOF publication at which point the figures will then be amended based on the latest available results. </w:t>
            </w:r>
          </w:p>
          <w:p w14:paraId="40F941B5" w14:textId="77777777" w:rsidR="00A55577" w:rsidRPr="00A55577" w:rsidRDefault="00A55577">
            <w:pPr>
              <w:spacing w:after="0" w:line="240" w:lineRule="auto"/>
              <w:rPr>
                <w:rFonts w:ascii="Arial" w:eastAsia="Arial" w:hAnsi="Arial" w:cs="Arial"/>
                <w:sz w:val="18"/>
                <w:szCs w:val="18"/>
              </w:rPr>
            </w:pPr>
          </w:p>
        </w:tc>
      </w:tr>
      <w:tr w:rsidR="00810077" w14:paraId="40F941BC" w14:textId="77777777">
        <w:tc>
          <w:tcPr>
            <w:tcW w:w="534" w:type="dxa"/>
            <w:shd w:val="clear" w:color="auto" w:fill="auto"/>
          </w:tcPr>
          <w:p w14:paraId="40F941B7"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1.6</w:t>
            </w:r>
          </w:p>
        </w:tc>
        <w:tc>
          <w:tcPr>
            <w:tcW w:w="1417" w:type="dxa"/>
            <w:tcBorders>
              <w:top w:val="single" w:sz="4" w:space="0" w:color="000000"/>
            </w:tcBorders>
            <w:shd w:val="clear" w:color="auto" w:fill="D9D9D9"/>
          </w:tcPr>
          <w:p w14:paraId="40F941B8"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Methodology</w:t>
            </w:r>
          </w:p>
        </w:tc>
        <w:tc>
          <w:tcPr>
            <w:tcW w:w="7938" w:type="dxa"/>
          </w:tcPr>
          <w:p w14:paraId="40F941B9"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Numerator divided by denominator</w:t>
            </w:r>
            <w:r w:rsidR="001A5748">
              <w:rPr>
                <w:rFonts w:ascii="Arial" w:eastAsia="Arial" w:hAnsi="Arial" w:cs="Arial"/>
                <w:sz w:val="18"/>
                <w:szCs w:val="18"/>
              </w:rPr>
              <w:t xml:space="preserve"> multiplied by 1,000.</w:t>
            </w:r>
          </w:p>
          <w:p w14:paraId="40F941BA" w14:textId="77777777" w:rsidR="001A5748" w:rsidRDefault="001A5748">
            <w:pPr>
              <w:spacing w:after="0" w:line="240" w:lineRule="auto"/>
              <w:rPr>
                <w:rFonts w:ascii="Arial" w:eastAsia="Arial" w:hAnsi="Arial" w:cs="Arial"/>
                <w:sz w:val="18"/>
                <w:szCs w:val="18"/>
              </w:rPr>
            </w:pPr>
            <w:r>
              <w:rPr>
                <w:rFonts w:ascii="Arial" w:eastAsia="Arial" w:hAnsi="Arial" w:cs="Arial"/>
                <w:sz w:val="18"/>
                <w:szCs w:val="18"/>
              </w:rPr>
              <w:t>Presented as number of patients prescribed montelukast per 1,000 patients on the asthma register.</w:t>
            </w:r>
          </w:p>
          <w:p w14:paraId="40F941BB"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 xml:space="preserve"> </w:t>
            </w:r>
          </w:p>
        </w:tc>
      </w:tr>
      <w:tr w:rsidR="00810077" w14:paraId="40F941BE" w14:textId="77777777">
        <w:tc>
          <w:tcPr>
            <w:tcW w:w="9889" w:type="dxa"/>
            <w:gridSpan w:val="3"/>
            <w:shd w:val="clear" w:color="auto" w:fill="D9D9D9"/>
          </w:tcPr>
          <w:p w14:paraId="40F941BD" w14:textId="77777777" w:rsidR="00810077" w:rsidRDefault="00855C24">
            <w:pPr>
              <w:spacing w:after="0" w:line="240" w:lineRule="auto"/>
              <w:rPr>
                <w:rFonts w:ascii="Arial" w:eastAsia="Arial" w:hAnsi="Arial" w:cs="Arial"/>
                <w:sz w:val="18"/>
                <w:szCs w:val="18"/>
                <w:highlight w:val="yellow"/>
              </w:rPr>
            </w:pPr>
            <w:r>
              <w:rPr>
                <w:rFonts w:ascii="Arial" w:eastAsia="Arial" w:hAnsi="Arial" w:cs="Arial"/>
                <w:b/>
                <w:sz w:val="18"/>
                <w:szCs w:val="18"/>
              </w:rPr>
              <w:t>Section 2: Rationale</w:t>
            </w:r>
          </w:p>
        </w:tc>
      </w:tr>
      <w:tr w:rsidR="00810077" w14:paraId="40F941C3" w14:textId="77777777" w:rsidTr="001A5748">
        <w:trPr>
          <w:trHeight w:val="654"/>
        </w:trPr>
        <w:tc>
          <w:tcPr>
            <w:tcW w:w="534" w:type="dxa"/>
            <w:shd w:val="clear" w:color="auto" w:fill="auto"/>
          </w:tcPr>
          <w:p w14:paraId="40F941BF"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2.1</w:t>
            </w:r>
          </w:p>
          <w:p w14:paraId="40F941C0" w14:textId="77777777" w:rsidR="00810077" w:rsidRDefault="00810077">
            <w:pPr>
              <w:spacing w:after="0" w:line="240" w:lineRule="auto"/>
              <w:rPr>
                <w:rFonts w:ascii="Arial" w:eastAsia="Arial" w:hAnsi="Arial" w:cs="Arial"/>
                <w:sz w:val="18"/>
                <w:szCs w:val="18"/>
              </w:rPr>
            </w:pPr>
          </w:p>
        </w:tc>
        <w:tc>
          <w:tcPr>
            <w:tcW w:w="1417" w:type="dxa"/>
            <w:tcBorders>
              <w:bottom w:val="single" w:sz="4" w:space="0" w:color="000000"/>
            </w:tcBorders>
            <w:shd w:val="clear" w:color="auto" w:fill="D9D9D9"/>
          </w:tcPr>
          <w:p w14:paraId="40F941C1"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Purpose</w:t>
            </w:r>
          </w:p>
        </w:tc>
        <w:tc>
          <w:tcPr>
            <w:tcW w:w="7938" w:type="dxa"/>
          </w:tcPr>
          <w:p w14:paraId="40F941C2" w14:textId="77777777" w:rsidR="00810077" w:rsidRDefault="001A5748">
            <w:pPr>
              <w:spacing w:after="0" w:line="240" w:lineRule="auto"/>
              <w:rPr>
                <w:rFonts w:ascii="Arial" w:eastAsia="Arial" w:hAnsi="Arial" w:cs="Arial"/>
                <w:sz w:val="18"/>
                <w:szCs w:val="18"/>
              </w:rPr>
            </w:pPr>
            <w:r w:rsidRPr="001A5748">
              <w:rPr>
                <w:rFonts w:ascii="Arial" w:eastAsia="Arial" w:hAnsi="Arial" w:cs="Arial"/>
                <w:sz w:val="18"/>
                <w:szCs w:val="18"/>
              </w:rPr>
              <w:t xml:space="preserve">NICE recommends an early </w:t>
            </w:r>
            <w:proofErr w:type="gramStart"/>
            <w:r w:rsidRPr="001A5748">
              <w:rPr>
                <w:rFonts w:ascii="Arial" w:eastAsia="Arial" w:hAnsi="Arial" w:cs="Arial"/>
                <w:sz w:val="18"/>
                <w:szCs w:val="18"/>
              </w:rPr>
              <w:t>4-8 week</w:t>
            </w:r>
            <w:proofErr w:type="gramEnd"/>
            <w:r w:rsidRPr="001A5748">
              <w:rPr>
                <w:rFonts w:ascii="Arial" w:eastAsia="Arial" w:hAnsi="Arial" w:cs="Arial"/>
                <w:sz w:val="18"/>
                <w:szCs w:val="18"/>
              </w:rPr>
              <w:t xml:space="preserve"> trial of montelukast plus low dose ICS if newly diagnosed asthma is not controlled by a low dose ICS inhaler alone (before adding a LABA).</w:t>
            </w:r>
          </w:p>
        </w:tc>
      </w:tr>
      <w:tr w:rsidR="00810077" w14:paraId="40F941C8" w14:textId="77777777">
        <w:tc>
          <w:tcPr>
            <w:tcW w:w="534" w:type="dxa"/>
            <w:shd w:val="clear" w:color="auto" w:fill="auto"/>
          </w:tcPr>
          <w:p w14:paraId="40F941C4"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2.2</w:t>
            </w:r>
          </w:p>
          <w:p w14:paraId="40F941C5" w14:textId="77777777" w:rsidR="00810077" w:rsidRDefault="00810077">
            <w:pPr>
              <w:spacing w:after="0" w:line="240" w:lineRule="auto"/>
              <w:rPr>
                <w:rFonts w:ascii="Arial" w:eastAsia="Arial" w:hAnsi="Arial" w:cs="Arial"/>
                <w:sz w:val="18"/>
                <w:szCs w:val="18"/>
              </w:rPr>
            </w:pPr>
          </w:p>
        </w:tc>
        <w:tc>
          <w:tcPr>
            <w:tcW w:w="1417" w:type="dxa"/>
            <w:tcBorders>
              <w:bottom w:val="single" w:sz="4" w:space="0" w:color="000000"/>
            </w:tcBorders>
            <w:shd w:val="clear" w:color="auto" w:fill="D9D9D9"/>
          </w:tcPr>
          <w:p w14:paraId="40F941C6"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Evidence and Policy Base</w:t>
            </w:r>
          </w:p>
        </w:tc>
        <w:tc>
          <w:tcPr>
            <w:tcW w:w="7938" w:type="dxa"/>
          </w:tcPr>
          <w:p w14:paraId="40F941C7" w14:textId="77777777" w:rsidR="00810077" w:rsidRDefault="005B2630">
            <w:pPr>
              <w:rPr>
                <w:rFonts w:ascii="Arial" w:eastAsia="Arial" w:hAnsi="Arial" w:cs="Arial"/>
                <w:sz w:val="18"/>
                <w:szCs w:val="18"/>
              </w:rPr>
            </w:pPr>
            <w:r w:rsidRPr="005B2630">
              <w:rPr>
                <w:rFonts w:ascii="Arial" w:eastAsia="Arial" w:hAnsi="Arial" w:cs="Arial"/>
                <w:sz w:val="18"/>
                <w:szCs w:val="18"/>
              </w:rPr>
              <w:t>NICE guideline for asthma</w:t>
            </w:r>
          </w:p>
        </w:tc>
      </w:tr>
    </w:tbl>
    <w:p w14:paraId="40F941C9" w14:textId="77777777" w:rsidR="00810077" w:rsidRDefault="00855C24">
      <w:pPr>
        <w:pStyle w:val="Heading2"/>
      </w:pPr>
      <w:r>
        <w:br w:type="page"/>
      </w:r>
      <w:bookmarkStart w:id="24" w:name="_Toc89761263"/>
      <w:r w:rsidR="001A5748">
        <w:lastRenderedPageBreak/>
        <w:t>Prescribing frequency of prednisolone 5mg t</w:t>
      </w:r>
      <w:r>
        <w:t>ablets</w:t>
      </w:r>
      <w:bookmarkEnd w:id="24"/>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417"/>
        <w:gridCol w:w="7938"/>
      </w:tblGrid>
      <w:tr w:rsidR="00810077" w14:paraId="40F941CB" w14:textId="77777777" w:rsidTr="001620B8">
        <w:tc>
          <w:tcPr>
            <w:tcW w:w="9889" w:type="dxa"/>
            <w:gridSpan w:val="3"/>
            <w:shd w:val="clear" w:color="auto" w:fill="D9D9D9" w:themeFill="background1" w:themeFillShade="D9"/>
          </w:tcPr>
          <w:p w14:paraId="40F941CA" w14:textId="77777777" w:rsidR="00810077" w:rsidRDefault="00855C24" w:rsidP="001620B8">
            <w:pPr>
              <w:shd w:val="clear" w:color="auto" w:fill="D9D9D9" w:themeFill="background1" w:themeFillShade="D9"/>
              <w:rPr>
                <w:rFonts w:ascii="Arial" w:eastAsia="Arial" w:hAnsi="Arial" w:cs="Arial"/>
                <w:sz w:val="18"/>
                <w:szCs w:val="18"/>
                <w:highlight w:val="yellow"/>
              </w:rPr>
            </w:pPr>
            <w:r>
              <w:rPr>
                <w:rFonts w:ascii="Arial" w:eastAsia="Arial" w:hAnsi="Arial" w:cs="Arial"/>
                <w:b/>
                <w:sz w:val="18"/>
                <w:szCs w:val="18"/>
              </w:rPr>
              <w:t>Section 1: Introduction / Overview</w:t>
            </w:r>
          </w:p>
        </w:tc>
      </w:tr>
      <w:tr w:rsidR="00810077" w14:paraId="40F941CF" w14:textId="77777777">
        <w:trPr>
          <w:trHeight w:val="440"/>
        </w:trPr>
        <w:tc>
          <w:tcPr>
            <w:tcW w:w="534" w:type="dxa"/>
            <w:shd w:val="clear" w:color="auto" w:fill="auto"/>
          </w:tcPr>
          <w:p w14:paraId="40F941CC" w14:textId="77777777" w:rsidR="00810077" w:rsidRDefault="00855C24">
            <w:pPr>
              <w:rPr>
                <w:rFonts w:ascii="Arial" w:eastAsia="Arial" w:hAnsi="Arial" w:cs="Arial"/>
                <w:sz w:val="18"/>
                <w:szCs w:val="18"/>
              </w:rPr>
            </w:pPr>
            <w:r>
              <w:rPr>
                <w:rFonts w:ascii="Arial" w:eastAsia="Arial" w:hAnsi="Arial" w:cs="Arial"/>
                <w:sz w:val="18"/>
                <w:szCs w:val="18"/>
              </w:rPr>
              <w:t>1.1</w:t>
            </w:r>
          </w:p>
        </w:tc>
        <w:tc>
          <w:tcPr>
            <w:tcW w:w="1417" w:type="dxa"/>
            <w:tcBorders>
              <w:bottom w:val="single" w:sz="4" w:space="0" w:color="000000"/>
            </w:tcBorders>
            <w:shd w:val="clear" w:color="auto" w:fill="D9D9D9"/>
          </w:tcPr>
          <w:p w14:paraId="40F941CD" w14:textId="77777777" w:rsidR="00810077" w:rsidRDefault="00855C24">
            <w:pPr>
              <w:rPr>
                <w:rFonts w:ascii="Arial" w:eastAsia="Arial" w:hAnsi="Arial" w:cs="Arial"/>
                <w:sz w:val="18"/>
                <w:szCs w:val="18"/>
              </w:rPr>
            </w:pPr>
            <w:r>
              <w:rPr>
                <w:rFonts w:ascii="Arial" w:eastAsia="Arial" w:hAnsi="Arial" w:cs="Arial"/>
                <w:b/>
                <w:sz w:val="18"/>
                <w:szCs w:val="18"/>
              </w:rPr>
              <w:t>Title</w:t>
            </w:r>
          </w:p>
        </w:tc>
        <w:tc>
          <w:tcPr>
            <w:tcW w:w="7938" w:type="dxa"/>
          </w:tcPr>
          <w:p w14:paraId="40F941CE" w14:textId="77777777" w:rsidR="00810077" w:rsidRDefault="00855C24" w:rsidP="001A5748">
            <w:pPr>
              <w:spacing w:after="0"/>
              <w:rPr>
                <w:rFonts w:ascii="Arial" w:eastAsia="Arial" w:hAnsi="Arial" w:cs="Arial"/>
                <w:sz w:val="18"/>
                <w:szCs w:val="18"/>
              </w:rPr>
            </w:pPr>
            <w:r>
              <w:rPr>
                <w:rFonts w:ascii="Arial" w:eastAsia="Arial" w:hAnsi="Arial" w:cs="Arial"/>
                <w:sz w:val="18"/>
                <w:szCs w:val="18"/>
              </w:rPr>
              <w:t xml:space="preserve">Prescribing </w:t>
            </w:r>
            <w:r w:rsidR="001A5748">
              <w:rPr>
                <w:rFonts w:ascii="Arial" w:eastAsia="Arial" w:hAnsi="Arial" w:cs="Arial"/>
                <w:sz w:val="18"/>
                <w:szCs w:val="18"/>
              </w:rPr>
              <w:t>frequency of p</w:t>
            </w:r>
            <w:r>
              <w:rPr>
                <w:rFonts w:ascii="Arial" w:eastAsia="Arial" w:hAnsi="Arial" w:cs="Arial"/>
                <w:sz w:val="18"/>
                <w:szCs w:val="18"/>
              </w:rPr>
              <w:t>r</w:t>
            </w:r>
            <w:r w:rsidR="001A5748">
              <w:rPr>
                <w:rFonts w:ascii="Arial" w:eastAsia="Arial" w:hAnsi="Arial" w:cs="Arial"/>
                <w:sz w:val="18"/>
                <w:szCs w:val="18"/>
              </w:rPr>
              <w:t>ednisolone 5mg t</w:t>
            </w:r>
            <w:r>
              <w:rPr>
                <w:rFonts w:ascii="Arial" w:eastAsia="Arial" w:hAnsi="Arial" w:cs="Arial"/>
                <w:sz w:val="18"/>
                <w:szCs w:val="18"/>
              </w:rPr>
              <w:t>ablets</w:t>
            </w:r>
          </w:p>
        </w:tc>
      </w:tr>
      <w:tr w:rsidR="00810077" w14:paraId="40F941D5" w14:textId="77777777">
        <w:trPr>
          <w:trHeight w:val="940"/>
        </w:trPr>
        <w:tc>
          <w:tcPr>
            <w:tcW w:w="534" w:type="dxa"/>
            <w:shd w:val="clear" w:color="auto" w:fill="auto"/>
          </w:tcPr>
          <w:p w14:paraId="40F941D0" w14:textId="77777777" w:rsidR="00810077" w:rsidRDefault="00855C24">
            <w:pPr>
              <w:rPr>
                <w:rFonts w:ascii="Arial" w:eastAsia="Arial" w:hAnsi="Arial" w:cs="Arial"/>
                <w:sz w:val="18"/>
                <w:szCs w:val="18"/>
              </w:rPr>
            </w:pPr>
            <w:r>
              <w:rPr>
                <w:rFonts w:ascii="Arial" w:eastAsia="Arial" w:hAnsi="Arial" w:cs="Arial"/>
                <w:sz w:val="18"/>
                <w:szCs w:val="18"/>
              </w:rPr>
              <w:t>1.2</w:t>
            </w:r>
          </w:p>
        </w:tc>
        <w:tc>
          <w:tcPr>
            <w:tcW w:w="1417" w:type="dxa"/>
            <w:tcBorders>
              <w:top w:val="single" w:sz="4" w:space="0" w:color="000000"/>
              <w:bottom w:val="single" w:sz="4" w:space="0" w:color="000000"/>
            </w:tcBorders>
            <w:shd w:val="clear" w:color="auto" w:fill="D9D9D9"/>
          </w:tcPr>
          <w:p w14:paraId="40F941D1" w14:textId="77777777" w:rsidR="00810077" w:rsidRDefault="00855C24">
            <w:pPr>
              <w:rPr>
                <w:rFonts w:ascii="Arial" w:eastAsia="Arial" w:hAnsi="Arial" w:cs="Arial"/>
                <w:sz w:val="18"/>
                <w:szCs w:val="18"/>
              </w:rPr>
            </w:pPr>
            <w:r>
              <w:rPr>
                <w:rFonts w:ascii="Arial" w:eastAsia="Arial" w:hAnsi="Arial" w:cs="Arial"/>
                <w:b/>
                <w:sz w:val="18"/>
                <w:szCs w:val="18"/>
              </w:rPr>
              <w:t>Definition</w:t>
            </w:r>
          </w:p>
        </w:tc>
        <w:tc>
          <w:tcPr>
            <w:tcW w:w="7938" w:type="dxa"/>
          </w:tcPr>
          <w:p w14:paraId="40F941D2" w14:textId="77777777" w:rsidR="001A5748" w:rsidRPr="001A5748" w:rsidRDefault="001A5748" w:rsidP="001A5748">
            <w:pPr>
              <w:tabs>
                <w:tab w:val="left" w:pos="1026"/>
              </w:tabs>
              <w:spacing w:after="0"/>
              <w:rPr>
                <w:rFonts w:ascii="Arial" w:eastAsia="Arial" w:hAnsi="Arial" w:cs="Arial"/>
                <w:sz w:val="18"/>
                <w:szCs w:val="18"/>
              </w:rPr>
            </w:pPr>
            <w:r w:rsidRPr="001A5748">
              <w:rPr>
                <w:rFonts w:ascii="Arial" w:eastAsia="Arial" w:hAnsi="Arial" w:cs="Arial"/>
                <w:sz w:val="18"/>
                <w:szCs w:val="18"/>
              </w:rPr>
              <w:t xml:space="preserve">Prescribing of Prednisolone 5mg tablets, to patients receiving medication to treat asthma or COPD, where the quantity prescribed per item was less than or equal to 60 tablets. </w:t>
            </w:r>
          </w:p>
          <w:p w14:paraId="40F941D3" w14:textId="77777777" w:rsidR="001A5748" w:rsidRPr="001A5748" w:rsidRDefault="001A5748" w:rsidP="001A5748">
            <w:pPr>
              <w:tabs>
                <w:tab w:val="left" w:pos="1026"/>
              </w:tabs>
              <w:spacing w:after="0"/>
              <w:rPr>
                <w:rFonts w:ascii="Arial" w:eastAsia="Arial" w:hAnsi="Arial" w:cs="Arial"/>
                <w:sz w:val="18"/>
                <w:szCs w:val="18"/>
              </w:rPr>
            </w:pPr>
          </w:p>
          <w:p w14:paraId="40F941D4" w14:textId="77777777" w:rsidR="00810077" w:rsidRDefault="001A5748" w:rsidP="001A5748">
            <w:pPr>
              <w:tabs>
                <w:tab w:val="left" w:pos="1026"/>
              </w:tabs>
              <w:spacing w:after="0"/>
              <w:rPr>
                <w:rFonts w:ascii="Arial" w:eastAsia="Arial" w:hAnsi="Arial" w:cs="Arial"/>
                <w:sz w:val="18"/>
                <w:szCs w:val="18"/>
              </w:rPr>
            </w:pPr>
            <w:r w:rsidRPr="001A5748">
              <w:rPr>
                <w:rFonts w:ascii="Arial" w:eastAsia="Arial" w:hAnsi="Arial" w:cs="Arial"/>
                <w:sz w:val="18"/>
                <w:szCs w:val="18"/>
              </w:rPr>
              <w:t xml:space="preserve">Results identify the total number of prescription items prescribed during a rolling </w:t>
            </w:r>
            <w:proofErr w:type="gramStart"/>
            <w:r w:rsidRPr="001A5748">
              <w:rPr>
                <w:rFonts w:ascii="Arial" w:eastAsia="Arial" w:hAnsi="Arial" w:cs="Arial"/>
                <w:sz w:val="18"/>
                <w:szCs w:val="18"/>
              </w:rPr>
              <w:t>12 month</w:t>
            </w:r>
            <w:proofErr w:type="gramEnd"/>
            <w:r w:rsidRPr="001A5748">
              <w:rPr>
                <w:rFonts w:ascii="Arial" w:eastAsia="Arial" w:hAnsi="Arial" w:cs="Arial"/>
                <w:sz w:val="18"/>
                <w:szCs w:val="18"/>
              </w:rPr>
              <w:t xml:space="preserve"> period, with each item relating to a quantity of 60 tablets or fewer.</w:t>
            </w:r>
          </w:p>
        </w:tc>
      </w:tr>
      <w:tr w:rsidR="00810077" w14:paraId="40F941D9" w14:textId="77777777">
        <w:trPr>
          <w:trHeight w:val="440"/>
        </w:trPr>
        <w:tc>
          <w:tcPr>
            <w:tcW w:w="534" w:type="dxa"/>
            <w:shd w:val="clear" w:color="auto" w:fill="auto"/>
          </w:tcPr>
          <w:p w14:paraId="40F941D6" w14:textId="77777777" w:rsidR="00810077" w:rsidRDefault="00855C24">
            <w:pPr>
              <w:rPr>
                <w:rFonts w:ascii="Arial" w:eastAsia="Arial" w:hAnsi="Arial" w:cs="Arial"/>
                <w:sz w:val="18"/>
                <w:szCs w:val="18"/>
              </w:rPr>
            </w:pPr>
            <w:r>
              <w:rPr>
                <w:rFonts w:ascii="Arial" w:eastAsia="Arial" w:hAnsi="Arial" w:cs="Arial"/>
                <w:sz w:val="18"/>
                <w:szCs w:val="18"/>
              </w:rPr>
              <w:t>1.3</w:t>
            </w:r>
          </w:p>
        </w:tc>
        <w:tc>
          <w:tcPr>
            <w:tcW w:w="1417" w:type="dxa"/>
            <w:tcBorders>
              <w:top w:val="single" w:sz="4" w:space="0" w:color="000000"/>
              <w:bottom w:val="single" w:sz="4" w:space="0" w:color="000000"/>
            </w:tcBorders>
            <w:shd w:val="clear" w:color="auto" w:fill="D9D9D9"/>
          </w:tcPr>
          <w:p w14:paraId="40F941D7" w14:textId="77777777" w:rsidR="00810077" w:rsidRDefault="00855C24">
            <w:pPr>
              <w:rPr>
                <w:rFonts w:ascii="Arial" w:eastAsia="Arial" w:hAnsi="Arial" w:cs="Arial"/>
                <w:sz w:val="18"/>
                <w:szCs w:val="18"/>
              </w:rPr>
            </w:pPr>
            <w:r>
              <w:rPr>
                <w:rFonts w:ascii="Arial" w:eastAsia="Arial" w:hAnsi="Arial" w:cs="Arial"/>
                <w:b/>
                <w:sz w:val="18"/>
                <w:szCs w:val="18"/>
              </w:rPr>
              <w:t>Reporting Level</w:t>
            </w:r>
          </w:p>
        </w:tc>
        <w:tc>
          <w:tcPr>
            <w:tcW w:w="7938" w:type="dxa"/>
          </w:tcPr>
          <w:p w14:paraId="40F941D8" w14:textId="77777777" w:rsidR="00810077" w:rsidRDefault="00855C24">
            <w:pPr>
              <w:spacing w:after="0" w:line="240" w:lineRule="auto"/>
              <w:jc w:val="both"/>
              <w:rPr>
                <w:rFonts w:ascii="Arial" w:eastAsia="Arial" w:hAnsi="Arial" w:cs="Arial"/>
                <w:sz w:val="18"/>
                <w:szCs w:val="18"/>
              </w:rPr>
            </w:pPr>
            <w:r>
              <w:rPr>
                <w:rFonts w:ascii="Arial" w:eastAsia="Arial" w:hAnsi="Arial" w:cs="Arial"/>
                <w:sz w:val="18"/>
                <w:szCs w:val="18"/>
              </w:rPr>
              <w:t>Practice level (aggregated to CCG).</w:t>
            </w:r>
          </w:p>
        </w:tc>
      </w:tr>
      <w:tr w:rsidR="00810077" w14:paraId="40F941E0" w14:textId="77777777">
        <w:trPr>
          <w:trHeight w:val="1460"/>
        </w:trPr>
        <w:tc>
          <w:tcPr>
            <w:tcW w:w="534" w:type="dxa"/>
            <w:shd w:val="clear" w:color="auto" w:fill="auto"/>
          </w:tcPr>
          <w:p w14:paraId="40F941DA" w14:textId="77777777" w:rsidR="00810077" w:rsidRDefault="00855C24">
            <w:pPr>
              <w:rPr>
                <w:rFonts w:ascii="Arial" w:eastAsia="Arial" w:hAnsi="Arial" w:cs="Arial"/>
                <w:sz w:val="18"/>
                <w:szCs w:val="18"/>
              </w:rPr>
            </w:pPr>
            <w:r>
              <w:rPr>
                <w:rFonts w:ascii="Arial" w:eastAsia="Arial" w:hAnsi="Arial" w:cs="Arial"/>
                <w:sz w:val="18"/>
                <w:szCs w:val="18"/>
              </w:rPr>
              <w:t>1.4</w:t>
            </w:r>
          </w:p>
        </w:tc>
        <w:tc>
          <w:tcPr>
            <w:tcW w:w="1417" w:type="dxa"/>
            <w:tcBorders>
              <w:top w:val="single" w:sz="4" w:space="0" w:color="000000"/>
              <w:bottom w:val="single" w:sz="4" w:space="0" w:color="000000"/>
            </w:tcBorders>
            <w:shd w:val="clear" w:color="auto" w:fill="D9D9D9"/>
          </w:tcPr>
          <w:p w14:paraId="40F941DB" w14:textId="77777777" w:rsidR="00810077" w:rsidRDefault="00855C24">
            <w:pPr>
              <w:rPr>
                <w:rFonts w:ascii="Arial" w:eastAsia="Arial" w:hAnsi="Arial" w:cs="Arial"/>
                <w:sz w:val="18"/>
                <w:szCs w:val="18"/>
              </w:rPr>
            </w:pPr>
            <w:r>
              <w:rPr>
                <w:rFonts w:ascii="Arial" w:eastAsia="Arial" w:hAnsi="Arial" w:cs="Arial"/>
                <w:b/>
                <w:sz w:val="18"/>
                <w:szCs w:val="18"/>
              </w:rPr>
              <w:t>Numerator</w:t>
            </w:r>
          </w:p>
        </w:tc>
        <w:tc>
          <w:tcPr>
            <w:tcW w:w="7938" w:type="dxa"/>
          </w:tcPr>
          <w:p w14:paraId="40F941DC" w14:textId="77777777" w:rsidR="00810077" w:rsidRDefault="00855C24">
            <w:pPr>
              <w:spacing w:after="0"/>
              <w:rPr>
                <w:rFonts w:ascii="Arial" w:eastAsia="Arial" w:hAnsi="Arial" w:cs="Arial"/>
                <w:sz w:val="18"/>
                <w:szCs w:val="18"/>
              </w:rPr>
            </w:pPr>
            <w:r>
              <w:rPr>
                <w:rFonts w:ascii="Arial" w:eastAsia="Arial" w:hAnsi="Arial" w:cs="Arial"/>
                <w:sz w:val="18"/>
                <w:szCs w:val="18"/>
              </w:rPr>
              <w:t>Number of patients receiving “x” (</w:t>
            </w:r>
            <w:proofErr w:type="gramStart"/>
            <w:r>
              <w:rPr>
                <w:rFonts w:ascii="Arial" w:eastAsia="Arial" w:hAnsi="Arial" w:cs="Arial"/>
                <w:sz w:val="18"/>
                <w:szCs w:val="18"/>
              </w:rPr>
              <w:t>i.e.</w:t>
            </w:r>
            <w:proofErr w:type="gramEnd"/>
            <w:r>
              <w:rPr>
                <w:rFonts w:ascii="Arial" w:eastAsia="Arial" w:hAnsi="Arial" w:cs="Arial"/>
                <w:sz w:val="18"/>
                <w:szCs w:val="18"/>
              </w:rPr>
              <w:t xml:space="preserve"> 1, 2,3…13+) number of prescription items for Prednisolone 5mg tablets over a rolling 12 month period.  Prescription items are only included where the quantity prescribed was less than or equal to 60 tablets.</w:t>
            </w:r>
            <w:r w:rsidR="001A5748">
              <w:rPr>
                <w:rFonts w:ascii="Arial" w:eastAsia="Arial" w:hAnsi="Arial" w:cs="Arial"/>
                <w:sz w:val="18"/>
                <w:szCs w:val="18"/>
              </w:rPr>
              <w:t xml:space="preserve">  Patients have only been included where they have also been prescribed medication to treat asthma or COPD during the reported period.</w:t>
            </w:r>
          </w:p>
          <w:p w14:paraId="40F941DD" w14:textId="77777777" w:rsidR="009F5668" w:rsidRDefault="009F5668">
            <w:pPr>
              <w:spacing w:after="0"/>
              <w:rPr>
                <w:rFonts w:ascii="Arial" w:eastAsia="Arial" w:hAnsi="Arial" w:cs="Arial"/>
                <w:sz w:val="18"/>
                <w:szCs w:val="18"/>
              </w:rPr>
            </w:pPr>
          </w:p>
          <w:p w14:paraId="40F941DE" w14:textId="77777777" w:rsidR="009F5668" w:rsidRDefault="009F5668" w:rsidP="009F5668">
            <w:pPr>
              <w:spacing w:after="0" w:line="240" w:lineRule="auto"/>
              <w:rPr>
                <w:rFonts w:ascii="Arial" w:eastAsia="Arial" w:hAnsi="Arial" w:cs="Arial"/>
                <w:sz w:val="18"/>
                <w:szCs w:val="18"/>
              </w:rPr>
            </w:pPr>
            <w:r>
              <w:rPr>
                <w:rFonts w:ascii="Arial" w:eastAsia="Arial" w:hAnsi="Arial" w:cs="Arial"/>
                <w:sz w:val="18"/>
                <w:szCs w:val="18"/>
              </w:rPr>
              <w:t xml:space="preserve">Please refer to </w:t>
            </w:r>
            <w:r w:rsidRPr="001620B8">
              <w:rPr>
                <w:rFonts w:ascii="Arial" w:eastAsia="Arial" w:hAnsi="Arial" w:cs="Arial"/>
                <w:b/>
                <w:sz w:val="18"/>
                <w:szCs w:val="18"/>
              </w:rPr>
              <w:t>Appendix 2</w:t>
            </w:r>
            <w:r w:rsidR="00AE2A4F">
              <w:rPr>
                <w:rFonts w:ascii="Arial" w:eastAsia="Arial" w:hAnsi="Arial" w:cs="Arial"/>
                <w:b/>
                <w:sz w:val="18"/>
                <w:szCs w:val="18"/>
              </w:rPr>
              <w:t xml:space="preserve"> </w:t>
            </w:r>
            <w:r w:rsidR="00AE2A4F">
              <w:rPr>
                <w:rFonts w:ascii="Arial" w:eastAsia="Arial" w:hAnsi="Arial" w:cs="Arial"/>
                <w:sz w:val="18"/>
                <w:szCs w:val="18"/>
              </w:rPr>
              <w:t>(provided in a separate document)</w:t>
            </w:r>
            <w:r>
              <w:rPr>
                <w:rFonts w:ascii="Arial" w:eastAsia="Arial" w:hAnsi="Arial" w:cs="Arial"/>
                <w:sz w:val="18"/>
                <w:szCs w:val="18"/>
              </w:rPr>
              <w:t xml:space="preserve"> for the drug lists for this numerator.</w:t>
            </w:r>
          </w:p>
          <w:p w14:paraId="40F941DF" w14:textId="77777777" w:rsidR="00810077" w:rsidRDefault="00810077">
            <w:pPr>
              <w:spacing w:after="0"/>
              <w:rPr>
                <w:rFonts w:ascii="Arial" w:eastAsia="Arial" w:hAnsi="Arial" w:cs="Arial"/>
                <w:sz w:val="18"/>
                <w:szCs w:val="18"/>
              </w:rPr>
            </w:pPr>
          </w:p>
        </w:tc>
      </w:tr>
      <w:tr w:rsidR="00810077" w14:paraId="40F941E4" w14:textId="77777777">
        <w:trPr>
          <w:trHeight w:val="780"/>
        </w:trPr>
        <w:tc>
          <w:tcPr>
            <w:tcW w:w="534" w:type="dxa"/>
            <w:shd w:val="clear" w:color="auto" w:fill="auto"/>
          </w:tcPr>
          <w:p w14:paraId="40F941E1" w14:textId="77777777" w:rsidR="00810077" w:rsidRDefault="00345F75">
            <w:pPr>
              <w:rPr>
                <w:rFonts w:ascii="Arial" w:eastAsia="Arial" w:hAnsi="Arial" w:cs="Arial"/>
                <w:sz w:val="18"/>
                <w:szCs w:val="18"/>
              </w:rPr>
            </w:pPr>
            <w:r>
              <w:rPr>
                <w:rFonts w:ascii="Arial" w:eastAsia="Arial" w:hAnsi="Arial" w:cs="Arial"/>
                <w:sz w:val="18"/>
                <w:szCs w:val="18"/>
              </w:rPr>
              <w:tab/>
            </w:r>
            <w:r w:rsidR="00855C24">
              <w:rPr>
                <w:rFonts w:ascii="Arial" w:eastAsia="Arial" w:hAnsi="Arial" w:cs="Arial"/>
                <w:sz w:val="18"/>
                <w:szCs w:val="18"/>
              </w:rPr>
              <w:t>1.5</w:t>
            </w:r>
          </w:p>
        </w:tc>
        <w:tc>
          <w:tcPr>
            <w:tcW w:w="1417" w:type="dxa"/>
            <w:tcBorders>
              <w:top w:val="single" w:sz="4" w:space="0" w:color="000000"/>
              <w:bottom w:val="single" w:sz="4" w:space="0" w:color="000000"/>
            </w:tcBorders>
            <w:shd w:val="clear" w:color="auto" w:fill="D9D9D9"/>
          </w:tcPr>
          <w:p w14:paraId="40F941E2" w14:textId="77777777" w:rsidR="00810077" w:rsidRDefault="00855C24">
            <w:pPr>
              <w:rPr>
                <w:rFonts w:ascii="Arial" w:eastAsia="Arial" w:hAnsi="Arial" w:cs="Arial"/>
                <w:sz w:val="18"/>
                <w:szCs w:val="18"/>
              </w:rPr>
            </w:pPr>
            <w:r>
              <w:rPr>
                <w:rFonts w:ascii="Arial" w:eastAsia="Arial" w:hAnsi="Arial" w:cs="Arial"/>
                <w:b/>
                <w:sz w:val="18"/>
                <w:szCs w:val="18"/>
              </w:rPr>
              <w:t>Denominator</w:t>
            </w:r>
          </w:p>
        </w:tc>
        <w:tc>
          <w:tcPr>
            <w:tcW w:w="7938" w:type="dxa"/>
          </w:tcPr>
          <w:p w14:paraId="40F941E3" w14:textId="77777777" w:rsidR="00810077" w:rsidRDefault="00855C24">
            <w:pPr>
              <w:spacing w:after="0"/>
              <w:rPr>
                <w:rFonts w:ascii="Arial" w:eastAsia="Arial" w:hAnsi="Arial" w:cs="Arial"/>
                <w:sz w:val="18"/>
                <w:szCs w:val="18"/>
              </w:rPr>
            </w:pPr>
            <w:r>
              <w:rPr>
                <w:rFonts w:ascii="Arial" w:eastAsia="Arial" w:hAnsi="Arial" w:cs="Arial"/>
                <w:sz w:val="18"/>
                <w:szCs w:val="18"/>
              </w:rPr>
              <w:t>n/a</w:t>
            </w:r>
          </w:p>
        </w:tc>
      </w:tr>
      <w:tr w:rsidR="00810077" w14:paraId="40F941E8" w14:textId="77777777">
        <w:trPr>
          <w:trHeight w:val="520"/>
        </w:trPr>
        <w:tc>
          <w:tcPr>
            <w:tcW w:w="534" w:type="dxa"/>
            <w:shd w:val="clear" w:color="auto" w:fill="auto"/>
          </w:tcPr>
          <w:p w14:paraId="40F941E5" w14:textId="77777777" w:rsidR="00810077" w:rsidRDefault="00855C24">
            <w:pPr>
              <w:rPr>
                <w:rFonts w:ascii="Arial" w:eastAsia="Arial" w:hAnsi="Arial" w:cs="Arial"/>
                <w:sz w:val="18"/>
                <w:szCs w:val="18"/>
              </w:rPr>
            </w:pPr>
            <w:r>
              <w:rPr>
                <w:rFonts w:ascii="Arial" w:eastAsia="Arial" w:hAnsi="Arial" w:cs="Arial"/>
                <w:sz w:val="18"/>
                <w:szCs w:val="18"/>
              </w:rPr>
              <w:t>1.6</w:t>
            </w:r>
          </w:p>
        </w:tc>
        <w:tc>
          <w:tcPr>
            <w:tcW w:w="1417" w:type="dxa"/>
            <w:tcBorders>
              <w:top w:val="single" w:sz="4" w:space="0" w:color="000000"/>
            </w:tcBorders>
            <w:shd w:val="clear" w:color="auto" w:fill="D9D9D9"/>
          </w:tcPr>
          <w:p w14:paraId="40F941E6" w14:textId="77777777" w:rsidR="00810077" w:rsidRDefault="00855C24">
            <w:pPr>
              <w:rPr>
                <w:rFonts w:ascii="Arial" w:eastAsia="Arial" w:hAnsi="Arial" w:cs="Arial"/>
                <w:sz w:val="18"/>
                <w:szCs w:val="18"/>
              </w:rPr>
            </w:pPr>
            <w:r>
              <w:rPr>
                <w:rFonts w:ascii="Arial" w:eastAsia="Arial" w:hAnsi="Arial" w:cs="Arial"/>
                <w:b/>
                <w:sz w:val="18"/>
                <w:szCs w:val="18"/>
              </w:rPr>
              <w:t>Methodology</w:t>
            </w:r>
          </w:p>
        </w:tc>
        <w:tc>
          <w:tcPr>
            <w:tcW w:w="7938" w:type="dxa"/>
          </w:tcPr>
          <w:p w14:paraId="40F941E7" w14:textId="77777777" w:rsidR="00810077" w:rsidRDefault="00855C24">
            <w:pPr>
              <w:spacing w:after="0"/>
              <w:rPr>
                <w:rFonts w:ascii="Arial" w:eastAsia="Arial" w:hAnsi="Arial" w:cs="Arial"/>
                <w:sz w:val="18"/>
                <w:szCs w:val="18"/>
              </w:rPr>
            </w:pPr>
            <w:r>
              <w:rPr>
                <w:rFonts w:ascii="Arial" w:eastAsia="Arial" w:hAnsi="Arial" w:cs="Arial"/>
                <w:sz w:val="18"/>
                <w:szCs w:val="18"/>
              </w:rPr>
              <w:t>There is no denominator for this comparator with results simply being reported based on the numerator.</w:t>
            </w:r>
          </w:p>
        </w:tc>
      </w:tr>
      <w:tr w:rsidR="00810077" w14:paraId="40F941EA" w14:textId="77777777">
        <w:trPr>
          <w:trHeight w:val="260"/>
        </w:trPr>
        <w:tc>
          <w:tcPr>
            <w:tcW w:w="9889" w:type="dxa"/>
            <w:gridSpan w:val="3"/>
            <w:shd w:val="clear" w:color="auto" w:fill="D9D9D9"/>
          </w:tcPr>
          <w:p w14:paraId="40F941E9" w14:textId="77777777" w:rsidR="00810077" w:rsidRDefault="00855C24">
            <w:pPr>
              <w:tabs>
                <w:tab w:val="left" w:pos="2257"/>
              </w:tabs>
              <w:spacing w:after="0"/>
              <w:rPr>
                <w:rFonts w:ascii="Arial" w:eastAsia="Arial" w:hAnsi="Arial" w:cs="Arial"/>
                <w:sz w:val="18"/>
                <w:szCs w:val="18"/>
                <w:highlight w:val="yellow"/>
              </w:rPr>
            </w:pPr>
            <w:r>
              <w:rPr>
                <w:rFonts w:ascii="Arial" w:eastAsia="Arial" w:hAnsi="Arial" w:cs="Arial"/>
                <w:b/>
                <w:sz w:val="18"/>
                <w:szCs w:val="18"/>
              </w:rPr>
              <w:t>Section 2: Rationale</w:t>
            </w:r>
            <w:r>
              <w:rPr>
                <w:rFonts w:ascii="Arial" w:eastAsia="Arial" w:hAnsi="Arial" w:cs="Arial"/>
                <w:b/>
                <w:sz w:val="18"/>
                <w:szCs w:val="18"/>
              </w:rPr>
              <w:tab/>
            </w:r>
          </w:p>
        </w:tc>
      </w:tr>
      <w:tr w:rsidR="00810077" w14:paraId="40F941F1" w14:textId="77777777">
        <w:trPr>
          <w:trHeight w:val="880"/>
        </w:trPr>
        <w:tc>
          <w:tcPr>
            <w:tcW w:w="534" w:type="dxa"/>
            <w:shd w:val="clear" w:color="auto" w:fill="auto"/>
          </w:tcPr>
          <w:p w14:paraId="40F941EB" w14:textId="77777777" w:rsidR="00810077" w:rsidRDefault="00855C24">
            <w:pPr>
              <w:rPr>
                <w:rFonts w:ascii="Arial" w:eastAsia="Arial" w:hAnsi="Arial" w:cs="Arial"/>
                <w:sz w:val="18"/>
                <w:szCs w:val="18"/>
              </w:rPr>
            </w:pPr>
            <w:r>
              <w:rPr>
                <w:rFonts w:ascii="Arial" w:eastAsia="Arial" w:hAnsi="Arial" w:cs="Arial"/>
                <w:sz w:val="18"/>
                <w:szCs w:val="18"/>
              </w:rPr>
              <w:t>2.1</w:t>
            </w:r>
          </w:p>
          <w:p w14:paraId="40F941EC" w14:textId="77777777" w:rsidR="00810077" w:rsidRDefault="00810077">
            <w:pPr>
              <w:rPr>
                <w:rFonts w:ascii="Arial" w:eastAsia="Arial" w:hAnsi="Arial" w:cs="Arial"/>
                <w:sz w:val="18"/>
                <w:szCs w:val="18"/>
              </w:rPr>
            </w:pPr>
          </w:p>
        </w:tc>
        <w:tc>
          <w:tcPr>
            <w:tcW w:w="1417" w:type="dxa"/>
            <w:tcBorders>
              <w:bottom w:val="single" w:sz="4" w:space="0" w:color="000000"/>
            </w:tcBorders>
            <w:shd w:val="clear" w:color="auto" w:fill="D9D9D9"/>
          </w:tcPr>
          <w:p w14:paraId="40F941ED" w14:textId="77777777" w:rsidR="00810077" w:rsidRDefault="00855C24">
            <w:pPr>
              <w:rPr>
                <w:rFonts w:ascii="Arial" w:eastAsia="Arial" w:hAnsi="Arial" w:cs="Arial"/>
                <w:sz w:val="18"/>
                <w:szCs w:val="18"/>
              </w:rPr>
            </w:pPr>
            <w:r>
              <w:rPr>
                <w:rFonts w:ascii="Arial" w:eastAsia="Arial" w:hAnsi="Arial" w:cs="Arial"/>
                <w:b/>
                <w:sz w:val="18"/>
                <w:szCs w:val="18"/>
              </w:rPr>
              <w:t>Purpose</w:t>
            </w:r>
          </w:p>
        </w:tc>
        <w:tc>
          <w:tcPr>
            <w:tcW w:w="7938" w:type="dxa"/>
          </w:tcPr>
          <w:p w14:paraId="40F941EE" w14:textId="759D3485" w:rsidR="00A55577" w:rsidRDefault="00A55577" w:rsidP="00A55577">
            <w:pPr>
              <w:spacing w:after="0" w:line="240" w:lineRule="auto"/>
              <w:rPr>
                <w:rFonts w:ascii="Arial" w:eastAsia="Arial" w:hAnsi="Arial" w:cs="Arial"/>
                <w:sz w:val="18"/>
                <w:szCs w:val="18"/>
              </w:rPr>
            </w:pPr>
            <w:r w:rsidRPr="00A55577">
              <w:rPr>
                <w:rFonts w:ascii="Arial" w:eastAsia="Arial" w:hAnsi="Arial" w:cs="Arial"/>
                <w:sz w:val="18"/>
                <w:szCs w:val="18"/>
              </w:rPr>
              <w:t xml:space="preserve">Rescue therapy for COPD and asthma usually includes an oral steroid. This metric shows the number </w:t>
            </w:r>
            <w:r w:rsidR="00A2687B">
              <w:rPr>
                <w:rFonts w:ascii="Arial" w:eastAsia="Arial" w:hAnsi="Arial" w:cs="Arial"/>
                <w:sz w:val="18"/>
                <w:szCs w:val="18"/>
              </w:rPr>
              <w:t xml:space="preserve">of </w:t>
            </w:r>
            <w:r w:rsidRPr="00A55577">
              <w:rPr>
                <w:rFonts w:ascii="Arial" w:eastAsia="Arial" w:hAnsi="Arial" w:cs="Arial"/>
                <w:sz w:val="18"/>
                <w:szCs w:val="18"/>
              </w:rPr>
              <w:t xml:space="preserve">patients using an inhaler who have received a prescription for a short course of prednisolone over the last 12 months, and groups them together by the number of prescriptions received. </w:t>
            </w:r>
          </w:p>
          <w:p w14:paraId="40F941EF" w14:textId="77777777" w:rsidR="00A55577" w:rsidRPr="00A55577" w:rsidRDefault="00A55577" w:rsidP="00A55577">
            <w:pPr>
              <w:spacing w:after="0" w:line="240" w:lineRule="auto"/>
              <w:rPr>
                <w:rFonts w:ascii="Arial" w:eastAsia="Arial" w:hAnsi="Arial" w:cs="Arial"/>
                <w:sz w:val="18"/>
                <w:szCs w:val="18"/>
              </w:rPr>
            </w:pPr>
          </w:p>
          <w:p w14:paraId="40F941F0" w14:textId="77777777" w:rsidR="00A55577" w:rsidRDefault="00A55577" w:rsidP="00A55577">
            <w:pPr>
              <w:spacing w:after="0" w:line="240" w:lineRule="auto"/>
              <w:rPr>
                <w:rFonts w:ascii="Arial" w:eastAsia="Arial" w:hAnsi="Arial" w:cs="Arial"/>
                <w:sz w:val="18"/>
                <w:szCs w:val="18"/>
              </w:rPr>
            </w:pPr>
            <w:r>
              <w:rPr>
                <w:rFonts w:ascii="Arial" w:eastAsia="Arial" w:hAnsi="Arial" w:cs="Arial"/>
                <w:sz w:val="18"/>
                <w:szCs w:val="18"/>
              </w:rPr>
              <w:t xml:space="preserve">NB: </w:t>
            </w:r>
            <w:r w:rsidRPr="00A55577">
              <w:rPr>
                <w:rFonts w:ascii="Arial" w:eastAsia="Arial" w:hAnsi="Arial" w:cs="Arial"/>
                <w:sz w:val="18"/>
                <w:szCs w:val="18"/>
              </w:rPr>
              <w:t xml:space="preserve">not all prescriptions for short courses of prednisolone are for rescue therapy. </w:t>
            </w:r>
            <w:r>
              <w:rPr>
                <w:rFonts w:ascii="Arial" w:eastAsia="Arial" w:hAnsi="Arial" w:cs="Arial"/>
                <w:sz w:val="18"/>
                <w:szCs w:val="18"/>
              </w:rPr>
              <w:t xml:space="preserve"> </w:t>
            </w:r>
            <w:r w:rsidRPr="00A55577">
              <w:rPr>
                <w:rFonts w:ascii="Arial" w:eastAsia="Arial" w:hAnsi="Arial" w:cs="Arial"/>
                <w:sz w:val="18"/>
                <w:szCs w:val="18"/>
              </w:rPr>
              <w:t>Some of the results of this will be for the acute treatment of other medical conditions.</w:t>
            </w:r>
          </w:p>
        </w:tc>
      </w:tr>
      <w:tr w:rsidR="00810077" w14:paraId="40F941F6" w14:textId="77777777">
        <w:tc>
          <w:tcPr>
            <w:tcW w:w="534" w:type="dxa"/>
            <w:shd w:val="clear" w:color="auto" w:fill="auto"/>
          </w:tcPr>
          <w:p w14:paraId="40F941F2" w14:textId="77777777" w:rsidR="00810077" w:rsidRDefault="00855C24">
            <w:pPr>
              <w:rPr>
                <w:rFonts w:ascii="Arial" w:eastAsia="Arial" w:hAnsi="Arial" w:cs="Arial"/>
                <w:sz w:val="18"/>
                <w:szCs w:val="18"/>
              </w:rPr>
            </w:pPr>
            <w:r>
              <w:rPr>
                <w:rFonts w:ascii="Arial" w:eastAsia="Arial" w:hAnsi="Arial" w:cs="Arial"/>
                <w:sz w:val="18"/>
                <w:szCs w:val="18"/>
              </w:rPr>
              <w:t>2.2</w:t>
            </w:r>
          </w:p>
          <w:p w14:paraId="40F941F3" w14:textId="77777777" w:rsidR="00810077" w:rsidRDefault="00810077">
            <w:pPr>
              <w:rPr>
                <w:rFonts w:ascii="Arial" w:eastAsia="Arial" w:hAnsi="Arial" w:cs="Arial"/>
                <w:sz w:val="18"/>
                <w:szCs w:val="18"/>
              </w:rPr>
            </w:pPr>
          </w:p>
        </w:tc>
        <w:tc>
          <w:tcPr>
            <w:tcW w:w="1417" w:type="dxa"/>
            <w:tcBorders>
              <w:bottom w:val="single" w:sz="4" w:space="0" w:color="000000"/>
            </w:tcBorders>
            <w:shd w:val="clear" w:color="auto" w:fill="D9D9D9"/>
          </w:tcPr>
          <w:p w14:paraId="40F941F4" w14:textId="77777777" w:rsidR="00810077" w:rsidRDefault="00855C24">
            <w:pPr>
              <w:rPr>
                <w:rFonts w:ascii="Arial" w:eastAsia="Arial" w:hAnsi="Arial" w:cs="Arial"/>
                <w:sz w:val="18"/>
                <w:szCs w:val="18"/>
              </w:rPr>
            </w:pPr>
            <w:r>
              <w:rPr>
                <w:rFonts w:ascii="Arial" w:eastAsia="Arial" w:hAnsi="Arial" w:cs="Arial"/>
                <w:b/>
                <w:sz w:val="18"/>
                <w:szCs w:val="18"/>
              </w:rPr>
              <w:t>Evidence and Policy Base</w:t>
            </w:r>
          </w:p>
        </w:tc>
        <w:tc>
          <w:tcPr>
            <w:tcW w:w="7938" w:type="dxa"/>
          </w:tcPr>
          <w:p w14:paraId="40F941F5" w14:textId="77777777" w:rsidR="00810077" w:rsidRPr="00A55577" w:rsidRDefault="00A55577">
            <w:pPr>
              <w:spacing w:after="0" w:line="240" w:lineRule="auto"/>
              <w:rPr>
                <w:rFonts w:ascii="Arial" w:eastAsia="Arial" w:hAnsi="Arial" w:cs="Arial"/>
                <w:sz w:val="18"/>
                <w:szCs w:val="18"/>
              </w:rPr>
            </w:pPr>
            <w:r w:rsidRPr="00A55577">
              <w:rPr>
                <w:rFonts w:ascii="Arial" w:eastAsia="Arial" w:hAnsi="Arial" w:cs="Arial"/>
                <w:sz w:val="18"/>
                <w:szCs w:val="18"/>
              </w:rPr>
              <w:t>This comparator is based on NICE guidelines for COPD and asthma and expert opinion.</w:t>
            </w:r>
          </w:p>
        </w:tc>
      </w:tr>
    </w:tbl>
    <w:p w14:paraId="1679C6E3" w14:textId="77777777" w:rsidR="00A2687B" w:rsidRDefault="00A2687B">
      <w:pPr>
        <w:pStyle w:val="Heading2"/>
      </w:pPr>
    </w:p>
    <w:p w14:paraId="3162DD1F" w14:textId="77777777" w:rsidR="00A2687B" w:rsidRDefault="00A2687B">
      <w:pPr>
        <w:rPr>
          <w:rFonts w:ascii="Arial" w:eastAsia="Arial" w:hAnsi="Arial" w:cs="Arial"/>
          <w:b/>
          <w:sz w:val="20"/>
          <w:szCs w:val="20"/>
        </w:rPr>
      </w:pPr>
      <w:r>
        <w:br w:type="page"/>
      </w:r>
    </w:p>
    <w:p w14:paraId="7BE00671" w14:textId="77777777" w:rsidR="00A2687B" w:rsidRDefault="00A2687B">
      <w:pPr>
        <w:pStyle w:val="Heading2"/>
      </w:pPr>
      <w:bookmarkStart w:id="25" w:name="_Toc89761264"/>
      <w:r>
        <w:lastRenderedPageBreak/>
        <w:t>Prescribing volume of prednisolone tablets</w:t>
      </w:r>
      <w:bookmarkEnd w:id="25"/>
      <w:r>
        <w:t xml:space="preserve">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417"/>
        <w:gridCol w:w="7938"/>
      </w:tblGrid>
      <w:tr w:rsidR="00A2687B" w14:paraId="32F4BA52" w14:textId="77777777" w:rsidTr="00C92CA9">
        <w:tc>
          <w:tcPr>
            <w:tcW w:w="9889" w:type="dxa"/>
            <w:gridSpan w:val="3"/>
            <w:shd w:val="clear" w:color="auto" w:fill="D9D9D9" w:themeFill="background1" w:themeFillShade="D9"/>
          </w:tcPr>
          <w:p w14:paraId="44EF7F55" w14:textId="77777777" w:rsidR="00A2687B" w:rsidRDefault="00A2687B" w:rsidP="00C92CA9">
            <w:pPr>
              <w:shd w:val="clear" w:color="auto" w:fill="D9D9D9" w:themeFill="background1" w:themeFillShade="D9"/>
              <w:rPr>
                <w:rFonts w:ascii="Arial" w:eastAsia="Arial" w:hAnsi="Arial" w:cs="Arial"/>
                <w:sz w:val="18"/>
                <w:szCs w:val="18"/>
                <w:highlight w:val="yellow"/>
              </w:rPr>
            </w:pPr>
            <w:r>
              <w:rPr>
                <w:rFonts w:ascii="Arial" w:eastAsia="Arial" w:hAnsi="Arial" w:cs="Arial"/>
                <w:b/>
                <w:sz w:val="18"/>
                <w:szCs w:val="18"/>
              </w:rPr>
              <w:t>Section 1: Introduction / Overview</w:t>
            </w:r>
          </w:p>
        </w:tc>
      </w:tr>
      <w:tr w:rsidR="00A2687B" w14:paraId="38E290BD" w14:textId="77777777" w:rsidTr="00C92CA9">
        <w:trPr>
          <w:trHeight w:val="440"/>
        </w:trPr>
        <w:tc>
          <w:tcPr>
            <w:tcW w:w="534" w:type="dxa"/>
            <w:shd w:val="clear" w:color="auto" w:fill="auto"/>
          </w:tcPr>
          <w:p w14:paraId="719C987A" w14:textId="77777777" w:rsidR="00A2687B" w:rsidRDefault="00A2687B" w:rsidP="00C92CA9">
            <w:pPr>
              <w:rPr>
                <w:rFonts w:ascii="Arial" w:eastAsia="Arial" w:hAnsi="Arial" w:cs="Arial"/>
                <w:sz w:val="18"/>
                <w:szCs w:val="18"/>
              </w:rPr>
            </w:pPr>
            <w:r>
              <w:rPr>
                <w:rFonts w:ascii="Arial" w:eastAsia="Arial" w:hAnsi="Arial" w:cs="Arial"/>
                <w:sz w:val="18"/>
                <w:szCs w:val="18"/>
              </w:rPr>
              <w:t>1.1</w:t>
            </w:r>
          </w:p>
        </w:tc>
        <w:tc>
          <w:tcPr>
            <w:tcW w:w="1417" w:type="dxa"/>
            <w:tcBorders>
              <w:bottom w:val="single" w:sz="4" w:space="0" w:color="000000"/>
            </w:tcBorders>
            <w:shd w:val="clear" w:color="auto" w:fill="D9D9D9"/>
          </w:tcPr>
          <w:p w14:paraId="1F928578" w14:textId="77777777" w:rsidR="00A2687B" w:rsidRDefault="00A2687B" w:rsidP="00C92CA9">
            <w:pPr>
              <w:rPr>
                <w:rFonts w:ascii="Arial" w:eastAsia="Arial" w:hAnsi="Arial" w:cs="Arial"/>
                <w:sz w:val="18"/>
                <w:szCs w:val="18"/>
              </w:rPr>
            </w:pPr>
            <w:r>
              <w:rPr>
                <w:rFonts w:ascii="Arial" w:eastAsia="Arial" w:hAnsi="Arial" w:cs="Arial"/>
                <w:b/>
                <w:sz w:val="18"/>
                <w:szCs w:val="18"/>
              </w:rPr>
              <w:t>Title</w:t>
            </w:r>
          </w:p>
        </w:tc>
        <w:tc>
          <w:tcPr>
            <w:tcW w:w="7938" w:type="dxa"/>
          </w:tcPr>
          <w:p w14:paraId="53171DE4" w14:textId="3A38139A" w:rsidR="00A2687B" w:rsidRDefault="00A2687B" w:rsidP="00C92CA9">
            <w:pPr>
              <w:spacing w:after="0"/>
              <w:rPr>
                <w:rFonts w:ascii="Arial" w:eastAsia="Arial" w:hAnsi="Arial" w:cs="Arial"/>
                <w:sz w:val="18"/>
                <w:szCs w:val="18"/>
              </w:rPr>
            </w:pPr>
            <w:r>
              <w:rPr>
                <w:rFonts w:ascii="Arial" w:eastAsia="Arial" w:hAnsi="Arial" w:cs="Arial"/>
                <w:sz w:val="18"/>
                <w:szCs w:val="18"/>
              </w:rPr>
              <w:t>Prescribing volume of prednisolone tablets</w:t>
            </w:r>
          </w:p>
        </w:tc>
      </w:tr>
      <w:tr w:rsidR="00A2687B" w14:paraId="4F7DFE2B" w14:textId="77777777" w:rsidTr="00C92CA9">
        <w:trPr>
          <w:trHeight w:val="940"/>
        </w:trPr>
        <w:tc>
          <w:tcPr>
            <w:tcW w:w="534" w:type="dxa"/>
            <w:shd w:val="clear" w:color="auto" w:fill="auto"/>
          </w:tcPr>
          <w:p w14:paraId="66D7857D" w14:textId="77777777" w:rsidR="00A2687B" w:rsidRDefault="00A2687B" w:rsidP="00C92CA9">
            <w:pPr>
              <w:rPr>
                <w:rFonts w:ascii="Arial" w:eastAsia="Arial" w:hAnsi="Arial" w:cs="Arial"/>
                <w:sz w:val="18"/>
                <w:szCs w:val="18"/>
              </w:rPr>
            </w:pPr>
            <w:r>
              <w:rPr>
                <w:rFonts w:ascii="Arial" w:eastAsia="Arial" w:hAnsi="Arial" w:cs="Arial"/>
                <w:sz w:val="18"/>
                <w:szCs w:val="18"/>
              </w:rPr>
              <w:t>1.2</w:t>
            </w:r>
          </w:p>
        </w:tc>
        <w:tc>
          <w:tcPr>
            <w:tcW w:w="1417" w:type="dxa"/>
            <w:tcBorders>
              <w:top w:val="single" w:sz="4" w:space="0" w:color="000000"/>
              <w:bottom w:val="single" w:sz="4" w:space="0" w:color="000000"/>
            </w:tcBorders>
            <w:shd w:val="clear" w:color="auto" w:fill="D9D9D9"/>
          </w:tcPr>
          <w:p w14:paraId="7528FCA6" w14:textId="77777777" w:rsidR="00A2687B" w:rsidRDefault="00A2687B" w:rsidP="00C92CA9">
            <w:pPr>
              <w:rPr>
                <w:rFonts w:ascii="Arial" w:eastAsia="Arial" w:hAnsi="Arial" w:cs="Arial"/>
                <w:sz w:val="18"/>
                <w:szCs w:val="18"/>
              </w:rPr>
            </w:pPr>
            <w:r>
              <w:rPr>
                <w:rFonts w:ascii="Arial" w:eastAsia="Arial" w:hAnsi="Arial" w:cs="Arial"/>
                <w:b/>
                <w:sz w:val="18"/>
                <w:szCs w:val="18"/>
              </w:rPr>
              <w:t>Definition</w:t>
            </w:r>
          </w:p>
        </w:tc>
        <w:tc>
          <w:tcPr>
            <w:tcW w:w="7938" w:type="dxa"/>
          </w:tcPr>
          <w:p w14:paraId="40717041" w14:textId="26A9D3A1" w:rsidR="00A2687B" w:rsidRPr="001A5748" w:rsidRDefault="00A2687B" w:rsidP="00C92CA9">
            <w:pPr>
              <w:tabs>
                <w:tab w:val="left" w:pos="1026"/>
              </w:tabs>
              <w:spacing w:after="0"/>
              <w:rPr>
                <w:rFonts w:ascii="Arial" w:eastAsia="Arial" w:hAnsi="Arial" w:cs="Arial"/>
                <w:sz w:val="18"/>
                <w:szCs w:val="18"/>
              </w:rPr>
            </w:pPr>
            <w:r>
              <w:rPr>
                <w:rFonts w:ascii="Arial" w:eastAsia="Arial" w:hAnsi="Arial" w:cs="Arial"/>
                <w:sz w:val="18"/>
                <w:szCs w:val="18"/>
              </w:rPr>
              <w:t>The total volume of prednisolone prescribed based on p</w:t>
            </w:r>
            <w:r w:rsidRPr="001A5748">
              <w:rPr>
                <w:rFonts w:ascii="Arial" w:eastAsia="Arial" w:hAnsi="Arial" w:cs="Arial"/>
                <w:sz w:val="18"/>
                <w:szCs w:val="18"/>
              </w:rPr>
              <w:t xml:space="preserve">rescribing of </w:t>
            </w:r>
            <w:r>
              <w:rPr>
                <w:rFonts w:ascii="Arial" w:eastAsia="Arial" w:hAnsi="Arial" w:cs="Arial"/>
                <w:sz w:val="18"/>
                <w:szCs w:val="18"/>
              </w:rPr>
              <w:t>p</w:t>
            </w:r>
            <w:r w:rsidRPr="001A5748">
              <w:rPr>
                <w:rFonts w:ascii="Arial" w:eastAsia="Arial" w:hAnsi="Arial" w:cs="Arial"/>
                <w:sz w:val="18"/>
                <w:szCs w:val="18"/>
              </w:rPr>
              <w:t>rednisolone tablets</w:t>
            </w:r>
            <w:r>
              <w:rPr>
                <w:rFonts w:ascii="Arial" w:eastAsia="Arial" w:hAnsi="Arial" w:cs="Arial"/>
                <w:sz w:val="18"/>
                <w:szCs w:val="18"/>
              </w:rPr>
              <w:t xml:space="preserve"> (of any strength)</w:t>
            </w:r>
            <w:r w:rsidRPr="001A5748">
              <w:rPr>
                <w:rFonts w:ascii="Arial" w:eastAsia="Arial" w:hAnsi="Arial" w:cs="Arial"/>
                <w:sz w:val="18"/>
                <w:szCs w:val="18"/>
              </w:rPr>
              <w:t xml:space="preserve">, to patients receiving </w:t>
            </w:r>
            <w:r w:rsidR="00F25CAE">
              <w:rPr>
                <w:rFonts w:ascii="Arial" w:eastAsia="Arial" w:hAnsi="Arial" w:cs="Arial"/>
                <w:sz w:val="18"/>
                <w:szCs w:val="18"/>
              </w:rPr>
              <w:t xml:space="preserve">an inhalation </w:t>
            </w:r>
            <w:r w:rsidRPr="001A5748">
              <w:rPr>
                <w:rFonts w:ascii="Arial" w:eastAsia="Arial" w:hAnsi="Arial" w:cs="Arial"/>
                <w:sz w:val="18"/>
                <w:szCs w:val="18"/>
              </w:rPr>
              <w:t>medication to treat asthma or COPD</w:t>
            </w:r>
            <w:r w:rsidR="00862C05">
              <w:rPr>
                <w:rFonts w:ascii="Arial" w:eastAsia="Arial" w:hAnsi="Arial" w:cs="Arial"/>
                <w:sz w:val="18"/>
                <w:szCs w:val="18"/>
              </w:rPr>
              <w:t xml:space="preserve"> (prescribing of non-inhalers is excluded from the analysis)</w:t>
            </w:r>
            <w:r>
              <w:rPr>
                <w:rFonts w:ascii="Arial" w:eastAsia="Arial" w:hAnsi="Arial" w:cs="Arial"/>
                <w:sz w:val="18"/>
                <w:szCs w:val="18"/>
              </w:rPr>
              <w:t>.</w:t>
            </w:r>
          </w:p>
          <w:p w14:paraId="5AEC4281" w14:textId="77777777" w:rsidR="00A2687B" w:rsidRPr="001A5748" w:rsidRDefault="00A2687B" w:rsidP="00C92CA9">
            <w:pPr>
              <w:tabs>
                <w:tab w:val="left" w:pos="1026"/>
              </w:tabs>
              <w:spacing w:after="0"/>
              <w:rPr>
                <w:rFonts w:ascii="Arial" w:eastAsia="Arial" w:hAnsi="Arial" w:cs="Arial"/>
                <w:sz w:val="18"/>
                <w:szCs w:val="18"/>
              </w:rPr>
            </w:pPr>
          </w:p>
          <w:p w14:paraId="34C04759" w14:textId="43EFD2C9" w:rsidR="00A2687B" w:rsidRDefault="00A2687B" w:rsidP="00C92CA9">
            <w:pPr>
              <w:tabs>
                <w:tab w:val="left" w:pos="1026"/>
              </w:tabs>
              <w:spacing w:after="0"/>
              <w:rPr>
                <w:rFonts w:ascii="Arial" w:eastAsia="Arial" w:hAnsi="Arial" w:cs="Arial"/>
                <w:sz w:val="18"/>
                <w:szCs w:val="18"/>
              </w:rPr>
            </w:pPr>
            <w:r w:rsidRPr="001A5748">
              <w:rPr>
                <w:rFonts w:ascii="Arial" w:eastAsia="Arial" w:hAnsi="Arial" w:cs="Arial"/>
                <w:sz w:val="18"/>
                <w:szCs w:val="18"/>
              </w:rPr>
              <w:t xml:space="preserve">Results identify the total number of </w:t>
            </w:r>
            <w:r w:rsidR="003C6112">
              <w:rPr>
                <w:rFonts w:ascii="Arial" w:eastAsia="Arial" w:hAnsi="Arial" w:cs="Arial"/>
                <w:sz w:val="18"/>
                <w:szCs w:val="18"/>
              </w:rPr>
              <w:t>identified patients</w:t>
            </w:r>
            <w:r w:rsidRPr="001A5748">
              <w:rPr>
                <w:rFonts w:ascii="Arial" w:eastAsia="Arial" w:hAnsi="Arial" w:cs="Arial"/>
                <w:sz w:val="18"/>
                <w:szCs w:val="18"/>
              </w:rPr>
              <w:t xml:space="preserve"> during a rolling </w:t>
            </w:r>
            <w:r w:rsidR="00DB3127" w:rsidRPr="001A5748">
              <w:rPr>
                <w:rFonts w:ascii="Arial" w:eastAsia="Arial" w:hAnsi="Arial" w:cs="Arial"/>
                <w:sz w:val="18"/>
                <w:szCs w:val="18"/>
              </w:rPr>
              <w:t>12-month</w:t>
            </w:r>
            <w:r w:rsidRPr="001A5748">
              <w:rPr>
                <w:rFonts w:ascii="Arial" w:eastAsia="Arial" w:hAnsi="Arial" w:cs="Arial"/>
                <w:sz w:val="18"/>
                <w:szCs w:val="18"/>
              </w:rPr>
              <w:t xml:space="preserve"> period, </w:t>
            </w:r>
            <w:r>
              <w:rPr>
                <w:rFonts w:ascii="Arial" w:eastAsia="Arial" w:hAnsi="Arial" w:cs="Arial"/>
                <w:sz w:val="18"/>
                <w:szCs w:val="18"/>
              </w:rPr>
              <w:t>where the total volume of prednisolone falls into the bandings described below.</w:t>
            </w:r>
          </w:p>
        </w:tc>
      </w:tr>
      <w:tr w:rsidR="00A2687B" w14:paraId="5ADEB861" w14:textId="77777777" w:rsidTr="00C92CA9">
        <w:trPr>
          <w:trHeight w:val="440"/>
        </w:trPr>
        <w:tc>
          <w:tcPr>
            <w:tcW w:w="534" w:type="dxa"/>
            <w:shd w:val="clear" w:color="auto" w:fill="auto"/>
          </w:tcPr>
          <w:p w14:paraId="2F8C937C" w14:textId="77777777" w:rsidR="00A2687B" w:rsidRDefault="00A2687B" w:rsidP="00C92CA9">
            <w:pPr>
              <w:rPr>
                <w:rFonts w:ascii="Arial" w:eastAsia="Arial" w:hAnsi="Arial" w:cs="Arial"/>
                <w:sz w:val="18"/>
                <w:szCs w:val="18"/>
              </w:rPr>
            </w:pPr>
            <w:r>
              <w:rPr>
                <w:rFonts w:ascii="Arial" w:eastAsia="Arial" w:hAnsi="Arial" w:cs="Arial"/>
                <w:sz w:val="18"/>
                <w:szCs w:val="18"/>
              </w:rPr>
              <w:t>1.3</w:t>
            </w:r>
          </w:p>
        </w:tc>
        <w:tc>
          <w:tcPr>
            <w:tcW w:w="1417" w:type="dxa"/>
            <w:tcBorders>
              <w:top w:val="single" w:sz="4" w:space="0" w:color="000000"/>
              <w:bottom w:val="single" w:sz="4" w:space="0" w:color="000000"/>
            </w:tcBorders>
            <w:shd w:val="clear" w:color="auto" w:fill="D9D9D9"/>
          </w:tcPr>
          <w:p w14:paraId="3F02CA0C" w14:textId="77777777" w:rsidR="00A2687B" w:rsidRDefault="00A2687B" w:rsidP="00C92CA9">
            <w:pPr>
              <w:rPr>
                <w:rFonts w:ascii="Arial" w:eastAsia="Arial" w:hAnsi="Arial" w:cs="Arial"/>
                <w:sz w:val="18"/>
                <w:szCs w:val="18"/>
              </w:rPr>
            </w:pPr>
            <w:r>
              <w:rPr>
                <w:rFonts w:ascii="Arial" w:eastAsia="Arial" w:hAnsi="Arial" w:cs="Arial"/>
                <w:b/>
                <w:sz w:val="18"/>
                <w:szCs w:val="18"/>
              </w:rPr>
              <w:t>Reporting Level</w:t>
            </w:r>
          </w:p>
        </w:tc>
        <w:tc>
          <w:tcPr>
            <w:tcW w:w="7938" w:type="dxa"/>
          </w:tcPr>
          <w:p w14:paraId="690E0B91" w14:textId="4046D97B" w:rsidR="00A2687B" w:rsidRDefault="00DB3127" w:rsidP="00C92CA9">
            <w:pPr>
              <w:spacing w:after="0" w:line="240" w:lineRule="auto"/>
              <w:jc w:val="both"/>
              <w:rPr>
                <w:rFonts w:ascii="Arial" w:eastAsia="Arial" w:hAnsi="Arial" w:cs="Arial"/>
                <w:sz w:val="18"/>
                <w:szCs w:val="18"/>
              </w:rPr>
            </w:pPr>
            <w:r>
              <w:rPr>
                <w:rFonts w:ascii="Arial" w:eastAsia="Arial" w:hAnsi="Arial" w:cs="Arial"/>
                <w:sz w:val="18"/>
                <w:szCs w:val="18"/>
              </w:rPr>
              <w:t>Data is calculated and reported at p</w:t>
            </w:r>
            <w:r w:rsidR="00A2687B">
              <w:rPr>
                <w:rFonts w:ascii="Arial" w:eastAsia="Arial" w:hAnsi="Arial" w:cs="Arial"/>
                <w:sz w:val="18"/>
                <w:szCs w:val="18"/>
              </w:rPr>
              <w:t xml:space="preserve">ractice level </w:t>
            </w:r>
            <w:r>
              <w:rPr>
                <w:rFonts w:ascii="Arial" w:eastAsia="Arial" w:hAnsi="Arial" w:cs="Arial"/>
                <w:sz w:val="18"/>
                <w:szCs w:val="18"/>
              </w:rPr>
              <w:t>as well as aggregated to PCN and CCG.</w:t>
            </w:r>
          </w:p>
        </w:tc>
      </w:tr>
      <w:tr w:rsidR="00A2687B" w14:paraId="25D85967" w14:textId="77777777" w:rsidTr="00C92CA9">
        <w:trPr>
          <w:trHeight w:val="1460"/>
        </w:trPr>
        <w:tc>
          <w:tcPr>
            <w:tcW w:w="534" w:type="dxa"/>
            <w:shd w:val="clear" w:color="auto" w:fill="auto"/>
          </w:tcPr>
          <w:p w14:paraId="2D544100" w14:textId="77777777" w:rsidR="00A2687B" w:rsidRDefault="00A2687B" w:rsidP="00C92CA9">
            <w:pPr>
              <w:rPr>
                <w:rFonts w:ascii="Arial" w:eastAsia="Arial" w:hAnsi="Arial" w:cs="Arial"/>
                <w:sz w:val="18"/>
                <w:szCs w:val="18"/>
              </w:rPr>
            </w:pPr>
            <w:r>
              <w:rPr>
                <w:rFonts w:ascii="Arial" w:eastAsia="Arial" w:hAnsi="Arial" w:cs="Arial"/>
                <w:sz w:val="18"/>
                <w:szCs w:val="18"/>
              </w:rPr>
              <w:t>1.4</w:t>
            </w:r>
          </w:p>
        </w:tc>
        <w:tc>
          <w:tcPr>
            <w:tcW w:w="1417" w:type="dxa"/>
            <w:tcBorders>
              <w:top w:val="single" w:sz="4" w:space="0" w:color="000000"/>
              <w:bottom w:val="single" w:sz="4" w:space="0" w:color="000000"/>
            </w:tcBorders>
            <w:shd w:val="clear" w:color="auto" w:fill="D9D9D9"/>
          </w:tcPr>
          <w:p w14:paraId="144E55B9" w14:textId="77777777" w:rsidR="00A2687B" w:rsidRDefault="00A2687B" w:rsidP="00C92CA9">
            <w:pPr>
              <w:rPr>
                <w:rFonts w:ascii="Arial" w:eastAsia="Arial" w:hAnsi="Arial" w:cs="Arial"/>
                <w:sz w:val="18"/>
                <w:szCs w:val="18"/>
              </w:rPr>
            </w:pPr>
            <w:r>
              <w:rPr>
                <w:rFonts w:ascii="Arial" w:eastAsia="Arial" w:hAnsi="Arial" w:cs="Arial"/>
                <w:b/>
                <w:sz w:val="18"/>
                <w:szCs w:val="18"/>
              </w:rPr>
              <w:t>Numerator</w:t>
            </w:r>
          </w:p>
        </w:tc>
        <w:tc>
          <w:tcPr>
            <w:tcW w:w="7938" w:type="dxa"/>
          </w:tcPr>
          <w:p w14:paraId="246E1407" w14:textId="3FECB8C6" w:rsidR="00A2687B" w:rsidRDefault="00A2687B" w:rsidP="00C92CA9">
            <w:pPr>
              <w:spacing w:after="0"/>
              <w:rPr>
                <w:rFonts w:ascii="Arial" w:eastAsia="Arial" w:hAnsi="Arial" w:cs="Arial"/>
                <w:sz w:val="18"/>
                <w:szCs w:val="18"/>
              </w:rPr>
            </w:pPr>
            <w:r>
              <w:rPr>
                <w:rFonts w:ascii="Arial" w:eastAsia="Arial" w:hAnsi="Arial" w:cs="Arial"/>
                <w:sz w:val="18"/>
                <w:szCs w:val="18"/>
              </w:rPr>
              <w:t xml:space="preserve">Number of patients who have been prescribed </w:t>
            </w:r>
            <w:r w:rsidR="00CF6183">
              <w:rPr>
                <w:rFonts w:ascii="Arial" w:eastAsia="Arial" w:hAnsi="Arial" w:cs="Arial"/>
                <w:sz w:val="18"/>
                <w:szCs w:val="18"/>
              </w:rPr>
              <w:t>the</w:t>
            </w:r>
            <w:r>
              <w:rPr>
                <w:rFonts w:ascii="Arial" w:eastAsia="Arial" w:hAnsi="Arial" w:cs="Arial"/>
                <w:sz w:val="18"/>
                <w:szCs w:val="18"/>
              </w:rPr>
              <w:t xml:space="preserve"> total volume of prednisolone over a rolling 12-month period, in the following volume bandings:</w:t>
            </w:r>
          </w:p>
          <w:p w14:paraId="32C600DF" w14:textId="711C2CCC" w:rsidR="00A2687B" w:rsidRDefault="00A2687B" w:rsidP="00C92CA9">
            <w:pPr>
              <w:spacing w:after="0"/>
              <w:rPr>
                <w:rFonts w:ascii="Arial" w:eastAsia="Arial" w:hAnsi="Arial" w:cs="Arial"/>
                <w:sz w:val="18"/>
                <w:szCs w:val="18"/>
              </w:rPr>
            </w:pPr>
          </w:p>
          <w:p w14:paraId="60EF7A61" w14:textId="330CD303" w:rsidR="00A2687B" w:rsidRDefault="00A2687B" w:rsidP="00C92CA9">
            <w:pPr>
              <w:spacing w:after="0"/>
              <w:rPr>
                <w:rFonts w:ascii="Arial" w:eastAsia="Arial" w:hAnsi="Arial" w:cs="Arial"/>
                <w:sz w:val="18"/>
                <w:szCs w:val="18"/>
              </w:rPr>
            </w:pPr>
            <w:r>
              <w:rPr>
                <w:rFonts w:ascii="Arial" w:eastAsia="Arial" w:hAnsi="Arial" w:cs="Arial"/>
                <w:sz w:val="18"/>
                <w:szCs w:val="18"/>
              </w:rPr>
              <w:t>1-249mg</w:t>
            </w:r>
          </w:p>
          <w:p w14:paraId="0E07DB5B" w14:textId="67F73770" w:rsidR="00A2687B" w:rsidRDefault="00A2687B" w:rsidP="00C92CA9">
            <w:pPr>
              <w:spacing w:after="0"/>
              <w:rPr>
                <w:rFonts w:ascii="Arial" w:eastAsia="Arial" w:hAnsi="Arial" w:cs="Arial"/>
                <w:sz w:val="18"/>
                <w:szCs w:val="18"/>
              </w:rPr>
            </w:pPr>
            <w:r>
              <w:rPr>
                <w:rFonts w:ascii="Arial" w:eastAsia="Arial" w:hAnsi="Arial" w:cs="Arial"/>
                <w:sz w:val="18"/>
                <w:szCs w:val="18"/>
              </w:rPr>
              <w:t>250-499mg</w:t>
            </w:r>
          </w:p>
          <w:p w14:paraId="1216AEB0" w14:textId="5987AA9D" w:rsidR="00A2687B" w:rsidRDefault="00A2687B" w:rsidP="00C92CA9">
            <w:pPr>
              <w:spacing w:after="0"/>
              <w:rPr>
                <w:rFonts w:ascii="Arial" w:eastAsia="Arial" w:hAnsi="Arial" w:cs="Arial"/>
                <w:sz w:val="18"/>
                <w:szCs w:val="18"/>
              </w:rPr>
            </w:pPr>
            <w:r>
              <w:rPr>
                <w:rFonts w:ascii="Arial" w:eastAsia="Arial" w:hAnsi="Arial" w:cs="Arial"/>
                <w:sz w:val="18"/>
                <w:szCs w:val="18"/>
              </w:rPr>
              <w:t>500-999mg</w:t>
            </w:r>
          </w:p>
          <w:p w14:paraId="44A92AAB" w14:textId="3687F0A7" w:rsidR="00A2687B" w:rsidRDefault="00A2687B" w:rsidP="00C92CA9">
            <w:pPr>
              <w:spacing w:after="0"/>
              <w:rPr>
                <w:rFonts w:ascii="Arial" w:eastAsia="Arial" w:hAnsi="Arial" w:cs="Arial"/>
                <w:sz w:val="18"/>
                <w:szCs w:val="18"/>
              </w:rPr>
            </w:pPr>
            <w:r>
              <w:rPr>
                <w:rFonts w:ascii="Arial" w:eastAsia="Arial" w:hAnsi="Arial" w:cs="Arial"/>
                <w:sz w:val="18"/>
                <w:szCs w:val="18"/>
              </w:rPr>
              <w:t>1000-1999mg</w:t>
            </w:r>
          </w:p>
          <w:p w14:paraId="1827F4B6" w14:textId="5A74D600" w:rsidR="00A2687B" w:rsidRDefault="00A2687B" w:rsidP="00C92CA9">
            <w:pPr>
              <w:spacing w:after="0"/>
              <w:rPr>
                <w:rFonts w:ascii="Arial" w:eastAsia="Arial" w:hAnsi="Arial" w:cs="Arial"/>
                <w:sz w:val="18"/>
                <w:szCs w:val="18"/>
              </w:rPr>
            </w:pPr>
            <w:r>
              <w:rPr>
                <w:rFonts w:ascii="Arial" w:eastAsia="Arial" w:hAnsi="Arial" w:cs="Arial"/>
                <w:sz w:val="18"/>
                <w:szCs w:val="18"/>
              </w:rPr>
              <w:t>2000-2999mg</w:t>
            </w:r>
          </w:p>
          <w:p w14:paraId="349D009F" w14:textId="4423B43B" w:rsidR="00A2687B" w:rsidRDefault="00A2687B" w:rsidP="00C92CA9">
            <w:pPr>
              <w:spacing w:after="0"/>
              <w:rPr>
                <w:rFonts w:ascii="Arial" w:eastAsia="Arial" w:hAnsi="Arial" w:cs="Arial"/>
                <w:sz w:val="18"/>
                <w:szCs w:val="18"/>
              </w:rPr>
            </w:pPr>
            <w:r>
              <w:rPr>
                <w:rFonts w:ascii="Arial" w:eastAsia="Arial" w:hAnsi="Arial" w:cs="Arial"/>
                <w:sz w:val="18"/>
                <w:szCs w:val="18"/>
              </w:rPr>
              <w:t>3000mg and over.</w:t>
            </w:r>
          </w:p>
          <w:p w14:paraId="1F13D985" w14:textId="77777777" w:rsidR="00A2687B" w:rsidRDefault="00A2687B" w:rsidP="00C92CA9">
            <w:pPr>
              <w:spacing w:after="0"/>
              <w:rPr>
                <w:rFonts w:ascii="Arial" w:eastAsia="Arial" w:hAnsi="Arial" w:cs="Arial"/>
                <w:sz w:val="18"/>
                <w:szCs w:val="18"/>
              </w:rPr>
            </w:pPr>
          </w:p>
          <w:p w14:paraId="1C3B60F1" w14:textId="03B224AD" w:rsidR="00A2687B" w:rsidRDefault="00A2687B" w:rsidP="00C92CA9">
            <w:pPr>
              <w:spacing w:after="0"/>
              <w:rPr>
                <w:rFonts w:ascii="Arial" w:eastAsia="Arial" w:hAnsi="Arial" w:cs="Arial"/>
                <w:sz w:val="18"/>
                <w:szCs w:val="18"/>
              </w:rPr>
            </w:pPr>
            <w:r>
              <w:rPr>
                <w:rFonts w:ascii="Arial" w:eastAsia="Arial" w:hAnsi="Arial" w:cs="Arial"/>
                <w:sz w:val="18"/>
                <w:szCs w:val="18"/>
              </w:rPr>
              <w:t xml:space="preserve">Patients have only been included where they have also been prescribed </w:t>
            </w:r>
            <w:r w:rsidR="00862C05">
              <w:rPr>
                <w:rFonts w:ascii="Arial" w:eastAsia="Arial" w:hAnsi="Arial" w:cs="Arial"/>
                <w:sz w:val="18"/>
                <w:szCs w:val="18"/>
              </w:rPr>
              <w:t xml:space="preserve">an inhalation </w:t>
            </w:r>
            <w:r>
              <w:rPr>
                <w:rFonts w:ascii="Arial" w:eastAsia="Arial" w:hAnsi="Arial" w:cs="Arial"/>
                <w:sz w:val="18"/>
                <w:szCs w:val="18"/>
              </w:rPr>
              <w:t>medication to treat asthma or COPD during the reported period.</w:t>
            </w:r>
          </w:p>
          <w:p w14:paraId="520591C8" w14:textId="3AB68E42" w:rsidR="00A2687B" w:rsidRDefault="00A2687B" w:rsidP="00C92CA9">
            <w:pPr>
              <w:spacing w:after="0"/>
              <w:rPr>
                <w:rFonts w:ascii="Arial" w:eastAsia="Arial" w:hAnsi="Arial" w:cs="Arial"/>
                <w:sz w:val="18"/>
                <w:szCs w:val="18"/>
              </w:rPr>
            </w:pPr>
          </w:p>
          <w:p w14:paraId="087C4356" w14:textId="25FA079E" w:rsidR="00A2687B" w:rsidRDefault="00A2687B" w:rsidP="00C92CA9">
            <w:pPr>
              <w:spacing w:after="0"/>
              <w:rPr>
                <w:rFonts w:ascii="Arial" w:eastAsia="Arial" w:hAnsi="Arial" w:cs="Arial"/>
                <w:sz w:val="18"/>
                <w:szCs w:val="18"/>
              </w:rPr>
            </w:pPr>
            <w:r>
              <w:rPr>
                <w:rFonts w:ascii="Arial" w:eastAsia="Arial" w:hAnsi="Arial" w:cs="Arial"/>
                <w:sz w:val="18"/>
                <w:szCs w:val="18"/>
              </w:rPr>
              <w:t>Patients are reported in the following age bands:</w:t>
            </w:r>
          </w:p>
          <w:p w14:paraId="0402F385" w14:textId="0044F4DC" w:rsidR="00A2687B" w:rsidRDefault="00A2687B" w:rsidP="00C92CA9">
            <w:pPr>
              <w:spacing w:after="0"/>
              <w:rPr>
                <w:rFonts w:ascii="Arial" w:eastAsia="Arial" w:hAnsi="Arial" w:cs="Arial"/>
                <w:sz w:val="18"/>
                <w:szCs w:val="18"/>
              </w:rPr>
            </w:pPr>
          </w:p>
          <w:p w14:paraId="70725098" w14:textId="0F6543E1" w:rsidR="00A2687B" w:rsidRDefault="00A2687B" w:rsidP="00C92CA9">
            <w:pPr>
              <w:spacing w:after="0"/>
              <w:rPr>
                <w:rFonts w:ascii="Arial" w:eastAsia="Arial" w:hAnsi="Arial" w:cs="Arial"/>
                <w:sz w:val="18"/>
                <w:szCs w:val="18"/>
              </w:rPr>
            </w:pPr>
            <w:r>
              <w:rPr>
                <w:rFonts w:ascii="Arial" w:eastAsia="Arial" w:hAnsi="Arial" w:cs="Arial"/>
                <w:sz w:val="18"/>
                <w:szCs w:val="18"/>
              </w:rPr>
              <w:t>0-5 years</w:t>
            </w:r>
          </w:p>
          <w:p w14:paraId="3AE9D53F" w14:textId="589EB8E3" w:rsidR="00A2687B" w:rsidRDefault="00A2687B" w:rsidP="00C92CA9">
            <w:pPr>
              <w:spacing w:after="0"/>
              <w:rPr>
                <w:rFonts w:ascii="Arial" w:eastAsia="Arial" w:hAnsi="Arial" w:cs="Arial"/>
                <w:sz w:val="18"/>
                <w:szCs w:val="18"/>
              </w:rPr>
            </w:pPr>
            <w:r>
              <w:rPr>
                <w:rFonts w:ascii="Arial" w:eastAsia="Arial" w:hAnsi="Arial" w:cs="Arial"/>
                <w:sz w:val="18"/>
                <w:szCs w:val="18"/>
              </w:rPr>
              <w:t>6-15 years</w:t>
            </w:r>
          </w:p>
          <w:p w14:paraId="5C27B002" w14:textId="28D7AD70" w:rsidR="00A2687B" w:rsidRDefault="00A2687B" w:rsidP="00C92CA9">
            <w:pPr>
              <w:spacing w:after="0"/>
              <w:rPr>
                <w:rFonts w:ascii="Arial" w:eastAsia="Arial" w:hAnsi="Arial" w:cs="Arial"/>
                <w:sz w:val="18"/>
                <w:szCs w:val="18"/>
              </w:rPr>
            </w:pPr>
            <w:r>
              <w:rPr>
                <w:rFonts w:ascii="Arial" w:eastAsia="Arial" w:hAnsi="Arial" w:cs="Arial"/>
                <w:sz w:val="18"/>
                <w:szCs w:val="18"/>
              </w:rPr>
              <w:t>16-24 years</w:t>
            </w:r>
          </w:p>
          <w:p w14:paraId="752572E8" w14:textId="2EA8FD53" w:rsidR="00A2687B" w:rsidRDefault="00A2687B" w:rsidP="00C92CA9">
            <w:pPr>
              <w:spacing w:after="0"/>
              <w:rPr>
                <w:rFonts w:ascii="Arial" w:eastAsia="Arial" w:hAnsi="Arial" w:cs="Arial"/>
                <w:sz w:val="18"/>
                <w:szCs w:val="18"/>
              </w:rPr>
            </w:pPr>
            <w:r>
              <w:rPr>
                <w:rFonts w:ascii="Arial" w:eastAsia="Arial" w:hAnsi="Arial" w:cs="Arial"/>
                <w:sz w:val="18"/>
                <w:szCs w:val="18"/>
              </w:rPr>
              <w:t>25 years and over</w:t>
            </w:r>
          </w:p>
          <w:p w14:paraId="1D2E68AA" w14:textId="1871F995" w:rsidR="00A2687B" w:rsidRDefault="00A2687B" w:rsidP="00C92CA9">
            <w:pPr>
              <w:spacing w:after="0"/>
              <w:rPr>
                <w:rFonts w:ascii="Arial" w:eastAsia="Arial" w:hAnsi="Arial" w:cs="Arial"/>
                <w:sz w:val="18"/>
                <w:szCs w:val="18"/>
              </w:rPr>
            </w:pPr>
          </w:p>
          <w:p w14:paraId="678088F7" w14:textId="174A64C0" w:rsidR="00A2687B" w:rsidRDefault="00A2687B" w:rsidP="00C92CA9">
            <w:pPr>
              <w:spacing w:after="0"/>
              <w:rPr>
                <w:rFonts w:ascii="Arial" w:eastAsia="Arial" w:hAnsi="Arial" w:cs="Arial"/>
                <w:sz w:val="18"/>
                <w:szCs w:val="18"/>
              </w:rPr>
            </w:pPr>
            <w:r w:rsidRPr="00A2687B">
              <w:rPr>
                <w:rFonts w:ascii="Arial" w:eastAsia="Arial" w:hAnsi="Arial" w:cs="Arial"/>
                <w:sz w:val="18"/>
                <w:szCs w:val="18"/>
              </w:rPr>
              <w:t>The lower age bands should be used with the lower prescribing bands to identify children prescribed an amount of prednisolone which could be problematic for their age.</w:t>
            </w:r>
          </w:p>
          <w:p w14:paraId="2D02C303" w14:textId="77777777" w:rsidR="00A2687B" w:rsidRDefault="00A2687B" w:rsidP="00C92CA9">
            <w:pPr>
              <w:spacing w:after="0"/>
              <w:rPr>
                <w:rFonts w:ascii="Arial" w:eastAsia="Arial" w:hAnsi="Arial" w:cs="Arial"/>
                <w:sz w:val="18"/>
                <w:szCs w:val="18"/>
              </w:rPr>
            </w:pPr>
          </w:p>
          <w:p w14:paraId="5E000C2D" w14:textId="20105E8F" w:rsidR="00A2687B" w:rsidRDefault="00A2687B" w:rsidP="00C92CA9">
            <w:pPr>
              <w:spacing w:after="0" w:line="240" w:lineRule="auto"/>
              <w:rPr>
                <w:rFonts w:ascii="Arial" w:eastAsia="Arial" w:hAnsi="Arial" w:cs="Arial"/>
                <w:sz w:val="18"/>
                <w:szCs w:val="18"/>
              </w:rPr>
            </w:pPr>
            <w:r>
              <w:rPr>
                <w:rFonts w:ascii="Arial" w:eastAsia="Arial" w:hAnsi="Arial" w:cs="Arial"/>
                <w:sz w:val="18"/>
                <w:szCs w:val="18"/>
              </w:rPr>
              <w:t xml:space="preserve">Please refer to </w:t>
            </w:r>
            <w:r w:rsidRPr="001620B8">
              <w:rPr>
                <w:rFonts w:ascii="Arial" w:eastAsia="Arial" w:hAnsi="Arial" w:cs="Arial"/>
                <w:b/>
                <w:sz w:val="18"/>
                <w:szCs w:val="18"/>
              </w:rPr>
              <w:t>Appendix 2</w:t>
            </w:r>
            <w:r>
              <w:rPr>
                <w:rFonts w:ascii="Arial" w:eastAsia="Arial" w:hAnsi="Arial" w:cs="Arial"/>
                <w:b/>
                <w:sz w:val="18"/>
                <w:szCs w:val="18"/>
              </w:rPr>
              <w:t xml:space="preserve"> </w:t>
            </w:r>
            <w:r>
              <w:rPr>
                <w:rFonts w:ascii="Arial" w:eastAsia="Arial" w:hAnsi="Arial" w:cs="Arial"/>
                <w:sz w:val="18"/>
                <w:szCs w:val="18"/>
              </w:rPr>
              <w:t>(provided in a separate document) for the drug lists for this numerator.</w:t>
            </w:r>
            <w:r w:rsidR="00CE0051">
              <w:rPr>
                <w:rFonts w:ascii="Arial" w:eastAsia="Arial" w:hAnsi="Arial" w:cs="Arial"/>
                <w:sz w:val="18"/>
                <w:szCs w:val="18"/>
              </w:rPr>
              <w:t xml:space="preserve">  Please note that this drug list is based on the latest information available </w:t>
            </w:r>
            <w:r w:rsidR="00FD1E0F">
              <w:rPr>
                <w:rFonts w:ascii="Arial" w:eastAsia="Arial" w:hAnsi="Arial" w:cs="Arial"/>
                <w:sz w:val="18"/>
                <w:szCs w:val="18"/>
              </w:rPr>
              <w:t>in the NHSBSA data warehouse, so may be subject to change if new respiratory medicines are introduced to market.</w:t>
            </w:r>
          </w:p>
          <w:p w14:paraId="42DFFC21" w14:textId="77777777" w:rsidR="00A2687B" w:rsidRDefault="00A2687B" w:rsidP="00C92CA9">
            <w:pPr>
              <w:spacing w:after="0"/>
              <w:rPr>
                <w:rFonts w:ascii="Arial" w:eastAsia="Arial" w:hAnsi="Arial" w:cs="Arial"/>
                <w:sz w:val="18"/>
                <w:szCs w:val="18"/>
              </w:rPr>
            </w:pPr>
          </w:p>
        </w:tc>
      </w:tr>
      <w:tr w:rsidR="00A2687B" w14:paraId="6101B957" w14:textId="77777777" w:rsidTr="00C92CA9">
        <w:trPr>
          <w:trHeight w:val="780"/>
        </w:trPr>
        <w:tc>
          <w:tcPr>
            <w:tcW w:w="534" w:type="dxa"/>
            <w:shd w:val="clear" w:color="auto" w:fill="auto"/>
          </w:tcPr>
          <w:p w14:paraId="77EA8EF8" w14:textId="77777777" w:rsidR="00A2687B" w:rsidRDefault="00A2687B" w:rsidP="00C92CA9">
            <w:pPr>
              <w:rPr>
                <w:rFonts w:ascii="Arial" w:eastAsia="Arial" w:hAnsi="Arial" w:cs="Arial"/>
                <w:sz w:val="18"/>
                <w:szCs w:val="18"/>
              </w:rPr>
            </w:pPr>
            <w:r>
              <w:rPr>
                <w:rFonts w:ascii="Arial" w:eastAsia="Arial" w:hAnsi="Arial" w:cs="Arial"/>
                <w:sz w:val="18"/>
                <w:szCs w:val="18"/>
              </w:rPr>
              <w:tab/>
              <w:t>1.5</w:t>
            </w:r>
          </w:p>
        </w:tc>
        <w:tc>
          <w:tcPr>
            <w:tcW w:w="1417" w:type="dxa"/>
            <w:tcBorders>
              <w:top w:val="single" w:sz="4" w:space="0" w:color="000000"/>
              <w:bottom w:val="single" w:sz="4" w:space="0" w:color="000000"/>
            </w:tcBorders>
            <w:shd w:val="clear" w:color="auto" w:fill="D9D9D9"/>
          </w:tcPr>
          <w:p w14:paraId="7C7BB607" w14:textId="77777777" w:rsidR="00A2687B" w:rsidRDefault="00A2687B" w:rsidP="00C92CA9">
            <w:pPr>
              <w:rPr>
                <w:rFonts w:ascii="Arial" w:eastAsia="Arial" w:hAnsi="Arial" w:cs="Arial"/>
                <w:sz w:val="18"/>
                <w:szCs w:val="18"/>
              </w:rPr>
            </w:pPr>
            <w:r>
              <w:rPr>
                <w:rFonts w:ascii="Arial" w:eastAsia="Arial" w:hAnsi="Arial" w:cs="Arial"/>
                <w:b/>
                <w:sz w:val="18"/>
                <w:szCs w:val="18"/>
              </w:rPr>
              <w:t>Denominator</w:t>
            </w:r>
          </w:p>
        </w:tc>
        <w:tc>
          <w:tcPr>
            <w:tcW w:w="7938" w:type="dxa"/>
          </w:tcPr>
          <w:p w14:paraId="31032726" w14:textId="77777777" w:rsidR="00A2687B" w:rsidRDefault="00A2687B" w:rsidP="00C92CA9">
            <w:pPr>
              <w:spacing w:after="0"/>
              <w:rPr>
                <w:rFonts w:ascii="Arial" w:eastAsia="Arial" w:hAnsi="Arial" w:cs="Arial"/>
                <w:sz w:val="18"/>
                <w:szCs w:val="18"/>
              </w:rPr>
            </w:pPr>
            <w:r>
              <w:rPr>
                <w:rFonts w:ascii="Arial" w:eastAsia="Arial" w:hAnsi="Arial" w:cs="Arial"/>
                <w:sz w:val="18"/>
                <w:szCs w:val="18"/>
              </w:rPr>
              <w:t>n/a</w:t>
            </w:r>
          </w:p>
        </w:tc>
      </w:tr>
      <w:tr w:rsidR="00A2687B" w14:paraId="10F517B1" w14:textId="77777777" w:rsidTr="00C92CA9">
        <w:trPr>
          <w:trHeight w:val="520"/>
        </w:trPr>
        <w:tc>
          <w:tcPr>
            <w:tcW w:w="534" w:type="dxa"/>
            <w:shd w:val="clear" w:color="auto" w:fill="auto"/>
          </w:tcPr>
          <w:p w14:paraId="1A3024F6" w14:textId="77777777" w:rsidR="00A2687B" w:rsidRDefault="00A2687B" w:rsidP="00C92CA9">
            <w:pPr>
              <w:rPr>
                <w:rFonts w:ascii="Arial" w:eastAsia="Arial" w:hAnsi="Arial" w:cs="Arial"/>
                <w:sz w:val="18"/>
                <w:szCs w:val="18"/>
              </w:rPr>
            </w:pPr>
            <w:r>
              <w:rPr>
                <w:rFonts w:ascii="Arial" w:eastAsia="Arial" w:hAnsi="Arial" w:cs="Arial"/>
                <w:sz w:val="18"/>
                <w:szCs w:val="18"/>
              </w:rPr>
              <w:t>1.6</w:t>
            </w:r>
          </w:p>
        </w:tc>
        <w:tc>
          <w:tcPr>
            <w:tcW w:w="1417" w:type="dxa"/>
            <w:tcBorders>
              <w:top w:val="single" w:sz="4" w:space="0" w:color="000000"/>
            </w:tcBorders>
            <w:shd w:val="clear" w:color="auto" w:fill="D9D9D9"/>
          </w:tcPr>
          <w:p w14:paraId="4406A97D" w14:textId="77777777" w:rsidR="00A2687B" w:rsidRDefault="00A2687B" w:rsidP="00C92CA9">
            <w:pPr>
              <w:rPr>
                <w:rFonts w:ascii="Arial" w:eastAsia="Arial" w:hAnsi="Arial" w:cs="Arial"/>
                <w:sz w:val="18"/>
                <w:szCs w:val="18"/>
              </w:rPr>
            </w:pPr>
            <w:r>
              <w:rPr>
                <w:rFonts w:ascii="Arial" w:eastAsia="Arial" w:hAnsi="Arial" w:cs="Arial"/>
                <w:b/>
                <w:sz w:val="18"/>
                <w:szCs w:val="18"/>
              </w:rPr>
              <w:t>Methodology</w:t>
            </w:r>
          </w:p>
        </w:tc>
        <w:tc>
          <w:tcPr>
            <w:tcW w:w="7938" w:type="dxa"/>
          </w:tcPr>
          <w:p w14:paraId="6BF00162" w14:textId="77777777" w:rsidR="00A2687B" w:rsidRDefault="00A2687B" w:rsidP="00C92CA9">
            <w:pPr>
              <w:spacing w:after="0"/>
              <w:rPr>
                <w:rFonts w:ascii="Arial" w:eastAsia="Arial" w:hAnsi="Arial" w:cs="Arial"/>
                <w:sz w:val="18"/>
                <w:szCs w:val="18"/>
              </w:rPr>
            </w:pPr>
            <w:r>
              <w:rPr>
                <w:rFonts w:ascii="Arial" w:eastAsia="Arial" w:hAnsi="Arial" w:cs="Arial"/>
                <w:sz w:val="18"/>
                <w:szCs w:val="18"/>
              </w:rPr>
              <w:t>There is no denominator for this comparator with results simply being reported based on the numerator.</w:t>
            </w:r>
            <w:r w:rsidR="0019307B">
              <w:rPr>
                <w:rFonts w:ascii="Arial" w:eastAsia="Arial" w:hAnsi="Arial" w:cs="Arial"/>
                <w:sz w:val="18"/>
                <w:szCs w:val="18"/>
              </w:rPr>
              <w:t xml:space="preserve">  </w:t>
            </w:r>
          </w:p>
          <w:p w14:paraId="3D26063E" w14:textId="77777777" w:rsidR="0019307B" w:rsidRDefault="0019307B" w:rsidP="00C92CA9">
            <w:pPr>
              <w:spacing w:after="0"/>
              <w:rPr>
                <w:rFonts w:ascii="Arial" w:eastAsia="Arial" w:hAnsi="Arial" w:cs="Arial"/>
                <w:sz w:val="18"/>
                <w:szCs w:val="18"/>
              </w:rPr>
            </w:pPr>
          </w:p>
          <w:p w14:paraId="4EA0FC1F" w14:textId="7BA3FBBA" w:rsidR="0019307B" w:rsidRDefault="0019307B" w:rsidP="00C92CA9">
            <w:pPr>
              <w:spacing w:after="0"/>
              <w:rPr>
                <w:rFonts w:ascii="Arial" w:eastAsia="Arial" w:hAnsi="Arial" w:cs="Arial"/>
                <w:sz w:val="18"/>
                <w:szCs w:val="18"/>
              </w:rPr>
            </w:pPr>
            <w:r>
              <w:rPr>
                <w:rFonts w:ascii="Arial" w:eastAsia="Arial" w:hAnsi="Arial" w:cs="Arial"/>
                <w:sz w:val="18"/>
                <w:szCs w:val="18"/>
              </w:rPr>
              <w:t>Total volume of prednisolone is calculated by multiplying the total quantity prescribed at each prescription by the strength of the presentation, summed for each patient in the 12-month period.</w:t>
            </w:r>
          </w:p>
        </w:tc>
      </w:tr>
      <w:tr w:rsidR="00A2687B" w14:paraId="3807F3EC" w14:textId="77777777" w:rsidTr="00C92CA9">
        <w:trPr>
          <w:trHeight w:val="260"/>
        </w:trPr>
        <w:tc>
          <w:tcPr>
            <w:tcW w:w="9889" w:type="dxa"/>
            <w:gridSpan w:val="3"/>
            <w:shd w:val="clear" w:color="auto" w:fill="D9D9D9"/>
          </w:tcPr>
          <w:p w14:paraId="259AA064" w14:textId="77777777" w:rsidR="00A2687B" w:rsidRDefault="00A2687B" w:rsidP="00C92CA9">
            <w:pPr>
              <w:tabs>
                <w:tab w:val="left" w:pos="2257"/>
              </w:tabs>
              <w:spacing w:after="0"/>
              <w:rPr>
                <w:rFonts w:ascii="Arial" w:eastAsia="Arial" w:hAnsi="Arial" w:cs="Arial"/>
                <w:sz w:val="18"/>
                <w:szCs w:val="18"/>
                <w:highlight w:val="yellow"/>
              </w:rPr>
            </w:pPr>
            <w:r>
              <w:rPr>
                <w:rFonts w:ascii="Arial" w:eastAsia="Arial" w:hAnsi="Arial" w:cs="Arial"/>
                <w:b/>
                <w:sz w:val="18"/>
                <w:szCs w:val="18"/>
              </w:rPr>
              <w:t>Section 2: Rationale</w:t>
            </w:r>
            <w:r>
              <w:rPr>
                <w:rFonts w:ascii="Arial" w:eastAsia="Arial" w:hAnsi="Arial" w:cs="Arial"/>
                <w:b/>
                <w:sz w:val="18"/>
                <w:szCs w:val="18"/>
              </w:rPr>
              <w:tab/>
            </w:r>
          </w:p>
        </w:tc>
      </w:tr>
      <w:tr w:rsidR="00A2687B" w14:paraId="1438603E" w14:textId="77777777" w:rsidTr="00C92CA9">
        <w:trPr>
          <w:trHeight w:val="880"/>
        </w:trPr>
        <w:tc>
          <w:tcPr>
            <w:tcW w:w="534" w:type="dxa"/>
            <w:shd w:val="clear" w:color="auto" w:fill="auto"/>
          </w:tcPr>
          <w:p w14:paraId="2425652D" w14:textId="77777777" w:rsidR="00A2687B" w:rsidRDefault="00A2687B" w:rsidP="00C92CA9">
            <w:pPr>
              <w:rPr>
                <w:rFonts w:ascii="Arial" w:eastAsia="Arial" w:hAnsi="Arial" w:cs="Arial"/>
                <w:sz w:val="18"/>
                <w:szCs w:val="18"/>
              </w:rPr>
            </w:pPr>
            <w:r>
              <w:rPr>
                <w:rFonts w:ascii="Arial" w:eastAsia="Arial" w:hAnsi="Arial" w:cs="Arial"/>
                <w:sz w:val="18"/>
                <w:szCs w:val="18"/>
              </w:rPr>
              <w:t>2.1</w:t>
            </w:r>
          </w:p>
          <w:p w14:paraId="49A72AEA" w14:textId="77777777" w:rsidR="00A2687B" w:rsidRDefault="00A2687B" w:rsidP="00C92CA9">
            <w:pPr>
              <w:rPr>
                <w:rFonts w:ascii="Arial" w:eastAsia="Arial" w:hAnsi="Arial" w:cs="Arial"/>
                <w:sz w:val="18"/>
                <w:szCs w:val="18"/>
              </w:rPr>
            </w:pPr>
          </w:p>
        </w:tc>
        <w:tc>
          <w:tcPr>
            <w:tcW w:w="1417" w:type="dxa"/>
            <w:tcBorders>
              <w:bottom w:val="single" w:sz="4" w:space="0" w:color="000000"/>
            </w:tcBorders>
            <w:shd w:val="clear" w:color="auto" w:fill="D9D9D9"/>
          </w:tcPr>
          <w:p w14:paraId="2D263C5C" w14:textId="77777777" w:rsidR="00A2687B" w:rsidRDefault="00A2687B" w:rsidP="00C92CA9">
            <w:pPr>
              <w:rPr>
                <w:rFonts w:ascii="Arial" w:eastAsia="Arial" w:hAnsi="Arial" w:cs="Arial"/>
                <w:sz w:val="18"/>
                <w:szCs w:val="18"/>
              </w:rPr>
            </w:pPr>
            <w:r>
              <w:rPr>
                <w:rFonts w:ascii="Arial" w:eastAsia="Arial" w:hAnsi="Arial" w:cs="Arial"/>
                <w:b/>
                <w:sz w:val="18"/>
                <w:szCs w:val="18"/>
              </w:rPr>
              <w:t>Purpose</w:t>
            </w:r>
          </w:p>
        </w:tc>
        <w:tc>
          <w:tcPr>
            <w:tcW w:w="7938" w:type="dxa"/>
          </w:tcPr>
          <w:p w14:paraId="4E2CB34A" w14:textId="5A3B2630" w:rsidR="0019307B" w:rsidRDefault="0019307B" w:rsidP="00C92CA9">
            <w:pPr>
              <w:spacing w:after="0" w:line="240" w:lineRule="auto"/>
              <w:rPr>
                <w:rFonts w:ascii="Arial" w:eastAsia="Arial" w:hAnsi="Arial" w:cs="Arial"/>
                <w:sz w:val="18"/>
                <w:szCs w:val="18"/>
              </w:rPr>
            </w:pPr>
            <w:r w:rsidRPr="0019307B">
              <w:rPr>
                <w:rFonts w:ascii="Arial" w:eastAsia="Arial" w:hAnsi="Arial" w:cs="Arial"/>
                <w:sz w:val="18"/>
                <w:szCs w:val="18"/>
              </w:rPr>
              <w:t xml:space="preserve">Recent studies </w:t>
            </w:r>
            <w:r>
              <w:rPr>
                <w:rFonts w:ascii="Arial" w:eastAsia="Arial" w:hAnsi="Arial" w:cs="Arial"/>
                <w:sz w:val="18"/>
                <w:szCs w:val="18"/>
              </w:rPr>
              <w:t>(</w:t>
            </w:r>
            <w:r w:rsidRPr="0019307B">
              <w:rPr>
                <w:rFonts w:ascii="Arial" w:eastAsia="Arial" w:hAnsi="Arial" w:cs="Arial"/>
                <w:sz w:val="18"/>
                <w:szCs w:val="18"/>
                <w:vertAlign w:val="superscript"/>
              </w:rPr>
              <w:t>1, 2</w:t>
            </w:r>
            <w:r>
              <w:rPr>
                <w:rFonts w:ascii="Arial" w:eastAsia="Arial" w:hAnsi="Arial" w:cs="Arial"/>
                <w:sz w:val="18"/>
                <w:szCs w:val="18"/>
              </w:rPr>
              <w:t xml:space="preserve">) </w:t>
            </w:r>
            <w:r w:rsidRPr="0019307B">
              <w:rPr>
                <w:rFonts w:ascii="Arial" w:eastAsia="Arial" w:hAnsi="Arial" w:cs="Arial"/>
                <w:sz w:val="18"/>
                <w:szCs w:val="18"/>
              </w:rPr>
              <w:t xml:space="preserve">into the effects of short course steroids </w:t>
            </w:r>
            <w:r>
              <w:rPr>
                <w:rFonts w:ascii="Arial" w:eastAsia="Arial" w:hAnsi="Arial" w:cs="Arial"/>
                <w:sz w:val="18"/>
                <w:szCs w:val="18"/>
              </w:rPr>
              <w:t xml:space="preserve">(SCS) suggest </w:t>
            </w:r>
            <w:r w:rsidRPr="0019307B">
              <w:rPr>
                <w:rFonts w:ascii="Arial" w:eastAsia="Arial" w:hAnsi="Arial" w:cs="Arial"/>
                <w:sz w:val="18"/>
                <w:szCs w:val="18"/>
              </w:rPr>
              <w:t xml:space="preserve">an association between excessing prescribing and </w:t>
            </w:r>
            <w:proofErr w:type="gramStart"/>
            <w:r w:rsidRPr="0019307B">
              <w:rPr>
                <w:rFonts w:ascii="Arial" w:eastAsia="Arial" w:hAnsi="Arial" w:cs="Arial"/>
                <w:sz w:val="18"/>
                <w:szCs w:val="18"/>
              </w:rPr>
              <w:t>a number of</w:t>
            </w:r>
            <w:proofErr w:type="gramEnd"/>
            <w:r w:rsidRPr="0019307B">
              <w:rPr>
                <w:rFonts w:ascii="Arial" w:eastAsia="Arial" w:hAnsi="Arial" w:cs="Arial"/>
                <w:sz w:val="18"/>
                <w:szCs w:val="18"/>
              </w:rPr>
              <w:t xml:space="preserve"> adverse health outcomes, including diabetes, cardiovascular conditions such as thromboembolism and myocardial infarction, mental health disorders, musculoskeletal disorders such as osteoporosis, among many others.  </w:t>
            </w:r>
          </w:p>
          <w:p w14:paraId="724F3C9F" w14:textId="77777777" w:rsidR="0019307B" w:rsidRDefault="0019307B" w:rsidP="00C92CA9">
            <w:pPr>
              <w:spacing w:after="0" w:line="240" w:lineRule="auto"/>
              <w:rPr>
                <w:rFonts w:ascii="Arial" w:eastAsia="Arial" w:hAnsi="Arial" w:cs="Arial"/>
                <w:sz w:val="18"/>
                <w:szCs w:val="18"/>
              </w:rPr>
            </w:pPr>
          </w:p>
          <w:p w14:paraId="55C0979E" w14:textId="6343414B" w:rsidR="00A2687B" w:rsidRDefault="0019307B" w:rsidP="00C92CA9">
            <w:pPr>
              <w:spacing w:after="0" w:line="240" w:lineRule="auto"/>
              <w:rPr>
                <w:rFonts w:ascii="Arial" w:eastAsia="Arial" w:hAnsi="Arial" w:cs="Arial"/>
                <w:sz w:val="18"/>
                <w:szCs w:val="18"/>
              </w:rPr>
            </w:pPr>
            <w:r w:rsidRPr="0019307B">
              <w:rPr>
                <w:rFonts w:ascii="Arial" w:eastAsia="Arial" w:hAnsi="Arial" w:cs="Arial"/>
                <w:sz w:val="18"/>
                <w:szCs w:val="18"/>
              </w:rPr>
              <w:t>The report suggests that, while the use of SCS is a crucial element in the treatment of acute respiratory illness, clinicians should aim to identify patients who have significant cumulative exposure to SCS as alternative therapies or clinical strategies may be indicated.</w:t>
            </w:r>
          </w:p>
          <w:p w14:paraId="70CB8AE5" w14:textId="77777777" w:rsidR="0019307B" w:rsidRPr="00A55577" w:rsidRDefault="0019307B" w:rsidP="00C92CA9">
            <w:pPr>
              <w:spacing w:after="0" w:line="240" w:lineRule="auto"/>
              <w:rPr>
                <w:rFonts w:ascii="Arial" w:eastAsia="Arial" w:hAnsi="Arial" w:cs="Arial"/>
                <w:sz w:val="18"/>
                <w:szCs w:val="18"/>
              </w:rPr>
            </w:pPr>
          </w:p>
          <w:p w14:paraId="559E5152" w14:textId="77777777" w:rsidR="00A2687B" w:rsidRDefault="00A2687B" w:rsidP="00C92CA9">
            <w:pPr>
              <w:spacing w:after="0" w:line="240" w:lineRule="auto"/>
              <w:rPr>
                <w:rFonts w:ascii="Arial" w:eastAsia="Arial" w:hAnsi="Arial" w:cs="Arial"/>
                <w:sz w:val="18"/>
                <w:szCs w:val="18"/>
              </w:rPr>
            </w:pPr>
            <w:r>
              <w:rPr>
                <w:rFonts w:ascii="Arial" w:eastAsia="Arial" w:hAnsi="Arial" w:cs="Arial"/>
                <w:sz w:val="18"/>
                <w:szCs w:val="18"/>
              </w:rPr>
              <w:t xml:space="preserve">NB: </w:t>
            </w:r>
            <w:r w:rsidRPr="00A55577">
              <w:rPr>
                <w:rFonts w:ascii="Arial" w:eastAsia="Arial" w:hAnsi="Arial" w:cs="Arial"/>
                <w:sz w:val="18"/>
                <w:szCs w:val="18"/>
              </w:rPr>
              <w:t xml:space="preserve">not all prescriptions for short courses of prednisolone are for </w:t>
            </w:r>
            <w:r w:rsidR="0019307B">
              <w:rPr>
                <w:rFonts w:ascii="Arial" w:eastAsia="Arial" w:hAnsi="Arial" w:cs="Arial"/>
                <w:sz w:val="18"/>
                <w:szCs w:val="18"/>
              </w:rPr>
              <w:t>respiratory</w:t>
            </w:r>
            <w:r w:rsidRPr="00A55577">
              <w:rPr>
                <w:rFonts w:ascii="Arial" w:eastAsia="Arial" w:hAnsi="Arial" w:cs="Arial"/>
                <w:sz w:val="18"/>
                <w:szCs w:val="18"/>
              </w:rPr>
              <w:t xml:space="preserve"> therapy. </w:t>
            </w:r>
            <w:r>
              <w:rPr>
                <w:rFonts w:ascii="Arial" w:eastAsia="Arial" w:hAnsi="Arial" w:cs="Arial"/>
                <w:sz w:val="18"/>
                <w:szCs w:val="18"/>
              </w:rPr>
              <w:t xml:space="preserve"> </w:t>
            </w:r>
            <w:r w:rsidRPr="00A55577">
              <w:rPr>
                <w:rFonts w:ascii="Arial" w:eastAsia="Arial" w:hAnsi="Arial" w:cs="Arial"/>
                <w:sz w:val="18"/>
                <w:szCs w:val="18"/>
              </w:rPr>
              <w:t xml:space="preserve">Some </w:t>
            </w:r>
            <w:r w:rsidR="0019307B">
              <w:rPr>
                <w:rFonts w:ascii="Arial" w:eastAsia="Arial" w:hAnsi="Arial" w:cs="Arial"/>
                <w:sz w:val="18"/>
                <w:szCs w:val="18"/>
              </w:rPr>
              <w:t>prescribing included in the data may be</w:t>
            </w:r>
            <w:r w:rsidRPr="00A55577">
              <w:rPr>
                <w:rFonts w:ascii="Arial" w:eastAsia="Arial" w:hAnsi="Arial" w:cs="Arial"/>
                <w:sz w:val="18"/>
                <w:szCs w:val="18"/>
              </w:rPr>
              <w:t xml:space="preserve"> for the acute treatment of other medical conditions</w:t>
            </w:r>
            <w:r w:rsidR="0019307B">
              <w:rPr>
                <w:rFonts w:ascii="Arial" w:eastAsia="Arial" w:hAnsi="Arial" w:cs="Arial"/>
                <w:sz w:val="18"/>
                <w:szCs w:val="18"/>
              </w:rPr>
              <w:t xml:space="preserve"> (</w:t>
            </w:r>
            <w:r w:rsidR="0019307B" w:rsidRPr="0019307B">
              <w:rPr>
                <w:rFonts w:ascii="Arial" w:eastAsia="Arial" w:hAnsi="Arial" w:cs="Arial"/>
                <w:sz w:val="18"/>
                <w:szCs w:val="18"/>
                <w:vertAlign w:val="superscript"/>
              </w:rPr>
              <w:t>3</w:t>
            </w:r>
            <w:r w:rsidR="0019307B">
              <w:rPr>
                <w:rFonts w:ascii="Arial" w:eastAsia="Arial" w:hAnsi="Arial" w:cs="Arial"/>
                <w:sz w:val="18"/>
                <w:szCs w:val="18"/>
              </w:rPr>
              <w:t>)</w:t>
            </w:r>
            <w:r w:rsidRPr="00A55577">
              <w:rPr>
                <w:rFonts w:ascii="Arial" w:eastAsia="Arial" w:hAnsi="Arial" w:cs="Arial"/>
                <w:sz w:val="18"/>
                <w:szCs w:val="18"/>
              </w:rPr>
              <w:t>.</w:t>
            </w:r>
          </w:p>
          <w:p w14:paraId="58857DCF" w14:textId="368CE0F1" w:rsidR="00DB3127" w:rsidRDefault="00DB3127" w:rsidP="00C92CA9">
            <w:pPr>
              <w:spacing w:after="0" w:line="240" w:lineRule="auto"/>
              <w:rPr>
                <w:rFonts w:ascii="Arial" w:eastAsia="Arial" w:hAnsi="Arial" w:cs="Arial"/>
                <w:sz w:val="18"/>
                <w:szCs w:val="18"/>
              </w:rPr>
            </w:pPr>
          </w:p>
        </w:tc>
      </w:tr>
      <w:tr w:rsidR="00A2687B" w14:paraId="4430690B" w14:textId="77777777" w:rsidTr="00C92CA9">
        <w:tc>
          <w:tcPr>
            <w:tcW w:w="534" w:type="dxa"/>
            <w:shd w:val="clear" w:color="auto" w:fill="auto"/>
          </w:tcPr>
          <w:p w14:paraId="51D0EF88" w14:textId="77777777" w:rsidR="00A2687B" w:rsidRDefault="00A2687B" w:rsidP="00C92CA9">
            <w:pPr>
              <w:rPr>
                <w:rFonts w:ascii="Arial" w:eastAsia="Arial" w:hAnsi="Arial" w:cs="Arial"/>
                <w:sz w:val="18"/>
                <w:szCs w:val="18"/>
              </w:rPr>
            </w:pPr>
            <w:r>
              <w:rPr>
                <w:rFonts w:ascii="Arial" w:eastAsia="Arial" w:hAnsi="Arial" w:cs="Arial"/>
                <w:sz w:val="18"/>
                <w:szCs w:val="18"/>
              </w:rPr>
              <w:lastRenderedPageBreak/>
              <w:t>2.2</w:t>
            </w:r>
          </w:p>
          <w:p w14:paraId="57821969" w14:textId="77777777" w:rsidR="00A2687B" w:rsidRDefault="00A2687B" w:rsidP="00C92CA9">
            <w:pPr>
              <w:rPr>
                <w:rFonts w:ascii="Arial" w:eastAsia="Arial" w:hAnsi="Arial" w:cs="Arial"/>
                <w:sz w:val="18"/>
                <w:szCs w:val="18"/>
              </w:rPr>
            </w:pPr>
          </w:p>
        </w:tc>
        <w:tc>
          <w:tcPr>
            <w:tcW w:w="1417" w:type="dxa"/>
            <w:tcBorders>
              <w:bottom w:val="single" w:sz="4" w:space="0" w:color="000000"/>
            </w:tcBorders>
            <w:shd w:val="clear" w:color="auto" w:fill="D9D9D9"/>
          </w:tcPr>
          <w:p w14:paraId="3515A54A" w14:textId="77777777" w:rsidR="00A2687B" w:rsidRDefault="00A2687B" w:rsidP="00C92CA9">
            <w:pPr>
              <w:rPr>
                <w:rFonts w:ascii="Arial" w:eastAsia="Arial" w:hAnsi="Arial" w:cs="Arial"/>
                <w:sz w:val="18"/>
                <w:szCs w:val="18"/>
              </w:rPr>
            </w:pPr>
            <w:r>
              <w:rPr>
                <w:rFonts w:ascii="Arial" w:eastAsia="Arial" w:hAnsi="Arial" w:cs="Arial"/>
                <w:b/>
                <w:sz w:val="18"/>
                <w:szCs w:val="18"/>
              </w:rPr>
              <w:t>Evidence and Policy Base</w:t>
            </w:r>
          </w:p>
        </w:tc>
        <w:tc>
          <w:tcPr>
            <w:tcW w:w="7938" w:type="dxa"/>
          </w:tcPr>
          <w:p w14:paraId="573F4BE1" w14:textId="09FE647C" w:rsidR="00A2687B" w:rsidRDefault="00A2687B" w:rsidP="00C92CA9">
            <w:pPr>
              <w:spacing w:after="0" w:line="240" w:lineRule="auto"/>
              <w:rPr>
                <w:rFonts w:ascii="Arial" w:eastAsia="Arial" w:hAnsi="Arial" w:cs="Arial"/>
                <w:sz w:val="18"/>
                <w:szCs w:val="18"/>
              </w:rPr>
            </w:pPr>
            <w:r w:rsidRPr="00A55577">
              <w:rPr>
                <w:rFonts w:ascii="Arial" w:eastAsia="Arial" w:hAnsi="Arial" w:cs="Arial"/>
                <w:sz w:val="18"/>
                <w:szCs w:val="18"/>
              </w:rPr>
              <w:t xml:space="preserve">This comparator </w:t>
            </w:r>
            <w:r w:rsidR="0019307B">
              <w:rPr>
                <w:rFonts w:ascii="Arial" w:eastAsia="Arial" w:hAnsi="Arial" w:cs="Arial"/>
                <w:sz w:val="18"/>
                <w:szCs w:val="18"/>
              </w:rPr>
              <w:t xml:space="preserve">has been developed in partnership with </w:t>
            </w:r>
            <w:r w:rsidR="00895D0C">
              <w:rPr>
                <w:rFonts w:ascii="Arial" w:eastAsia="Arial" w:hAnsi="Arial" w:cs="Arial"/>
                <w:sz w:val="18"/>
                <w:szCs w:val="18"/>
              </w:rPr>
              <w:t xml:space="preserve">clinical colleagues from </w:t>
            </w:r>
            <w:r w:rsidR="0019307B">
              <w:rPr>
                <w:rFonts w:ascii="Arial" w:eastAsia="Arial" w:hAnsi="Arial" w:cs="Arial"/>
                <w:sz w:val="18"/>
                <w:szCs w:val="18"/>
              </w:rPr>
              <w:t>Guy</w:t>
            </w:r>
            <w:r w:rsidR="00895D0C">
              <w:rPr>
                <w:rFonts w:ascii="Arial" w:eastAsia="Arial" w:hAnsi="Arial" w:cs="Arial"/>
                <w:sz w:val="18"/>
                <w:szCs w:val="18"/>
              </w:rPr>
              <w:t>’</w:t>
            </w:r>
            <w:r w:rsidR="0019307B">
              <w:rPr>
                <w:rFonts w:ascii="Arial" w:eastAsia="Arial" w:hAnsi="Arial" w:cs="Arial"/>
                <w:sz w:val="18"/>
                <w:szCs w:val="18"/>
              </w:rPr>
              <w:t>s &amp; St. Thomas</w:t>
            </w:r>
            <w:r w:rsidR="00895D0C">
              <w:rPr>
                <w:rFonts w:ascii="Arial" w:eastAsia="Arial" w:hAnsi="Arial" w:cs="Arial"/>
                <w:sz w:val="18"/>
                <w:szCs w:val="18"/>
              </w:rPr>
              <w:t>’</w:t>
            </w:r>
            <w:r w:rsidR="0019307B">
              <w:rPr>
                <w:rFonts w:ascii="Arial" w:eastAsia="Arial" w:hAnsi="Arial" w:cs="Arial"/>
                <w:sz w:val="18"/>
                <w:szCs w:val="18"/>
              </w:rPr>
              <w:t xml:space="preserve"> Hospital</w:t>
            </w:r>
            <w:r w:rsidR="00895D0C">
              <w:rPr>
                <w:rFonts w:ascii="Arial" w:eastAsia="Arial" w:hAnsi="Arial" w:cs="Arial"/>
                <w:sz w:val="18"/>
                <w:szCs w:val="18"/>
              </w:rPr>
              <w:t xml:space="preserve"> </w:t>
            </w:r>
            <w:r w:rsidR="0019307B">
              <w:rPr>
                <w:rFonts w:ascii="Arial" w:eastAsia="Arial" w:hAnsi="Arial" w:cs="Arial"/>
                <w:sz w:val="18"/>
                <w:szCs w:val="18"/>
              </w:rPr>
              <w:t xml:space="preserve">and Oxford ASHN. </w:t>
            </w:r>
          </w:p>
          <w:p w14:paraId="7F61A762" w14:textId="77777777" w:rsidR="00F11B9A" w:rsidRDefault="00F11B9A" w:rsidP="00C92CA9">
            <w:pPr>
              <w:spacing w:after="0" w:line="240" w:lineRule="auto"/>
              <w:rPr>
                <w:rFonts w:ascii="Arial" w:eastAsia="Arial" w:hAnsi="Arial" w:cs="Arial"/>
                <w:sz w:val="18"/>
                <w:szCs w:val="18"/>
              </w:rPr>
            </w:pPr>
          </w:p>
          <w:p w14:paraId="13E1183C" w14:textId="089E6793" w:rsidR="0019307B" w:rsidRDefault="0019307B" w:rsidP="00C92CA9">
            <w:pPr>
              <w:spacing w:after="0" w:line="240" w:lineRule="auto"/>
              <w:rPr>
                <w:rFonts w:ascii="Arial" w:eastAsia="Arial" w:hAnsi="Arial" w:cs="Arial"/>
                <w:sz w:val="18"/>
                <w:szCs w:val="18"/>
              </w:rPr>
            </w:pPr>
            <w:r>
              <w:rPr>
                <w:rFonts w:ascii="Arial" w:eastAsia="Arial" w:hAnsi="Arial" w:cs="Arial"/>
                <w:sz w:val="18"/>
                <w:szCs w:val="18"/>
              </w:rPr>
              <w:t>Studies cited above are:</w:t>
            </w:r>
          </w:p>
          <w:p w14:paraId="3FF81F49" w14:textId="2CD505CB" w:rsidR="0019307B" w:rsidRDefault="0019307B" w:rsidP="00C92CA9">
            <w:pPr>
              <w:spacing w:after="0" w:line="240" w:lineRule="auto"/>
              <w:rPr>
                <w:rFonts w:ascii="Arial" w:eastAsia="Arial" w:hAnsi="Arial" w:cs="Arial"/>
                <w:sz w:val="18"/>
                <w:szCs w:val="18"/>
              </w:rPr>
            </w:pPr>
          </w:p>
          <w:p w14:paraId="1D563CB2" w14:textId="2173EC2C" w:rsidR="0019307B" w:rsidRDefault="0019307B" w:rsidP="0019307B">
            <w:pPr>
              <w:spacing w:after="0" w:line="240" w:lineRule="auto"/>
              <w:rPr>
                <w:rFonts w:ascii="Arial" w:eastAsia="Arial" w:hAnsi="Arial" w:cs="Arial"/>
                <w:sz w:val="18"/>
                <w:szCs w:val="18"/>
              </w:rPr>
            </w:pPr>
            <w:r w:rsidRPr="0019307B">
              <w:rPr>
                <w:rFonts w:ascii="Arial" w:eastAsia="Arial" w:hAnsi="Arial" w:cs="Arial"/>
                <w:sz w:val="18"/>
                <w:szCs w:val="18"/>
                <w:vertAlign w:val="superscript"/>
              </w:rPr>
              <w:t>1</w:t>
            </w:r>
            <w:r>
              <w:rPr>
                <w:rFonts w:ascii="Arial" w:eastAsia="Arial" w:hAnsi="Arial" w:cs="Arial"/>
                <w:sz w:val="18"/>
                <w:szCs w:val="18"/>
              </w:rPr>
              <w:t xml:space="preserve"> </w:t>
            </w:r>
            <w:r w:rsidRPr="0019307B">
              <w:rPr>
                <w:rFonts w:ascii="Arial" w:eastAsia="Arial" w:hAnsi="Arial" w:cs="Arial"/>
                <w:sz w:val="18"/>
                <w:szCs w:val="18"/>
              </w:rPr>
              <w:t>Price D, Castro M, Bourdin A, et al. Short-course systemic corticosteroids in asthma: striking the balance between efficacy and safety. Eur Respir Rev 2020; 29: 190151 [https://doi.org/10.1183/16000617.0151-2019].</w:t>
            </w:r>
          </w:p>
          <w:p w14:paraId="773827D3" w14:textId="77777777" w:rsidR="0019307B" w:rsidRPr="0019307B" w:rsidRDefault="0019307B" w:rsidP="0019307B">
            <w:pPr>
              <w:spacing w:after="0" w:line="240" w:lineRule="auto"/>
              <w:rPr>
                <w:rFonts w:ascii="Arial" w:eastAsia="Arial" w:hAnsi="Arial" w:cs="Arial"/>
                <w:sz w:val="18"/>
                <w:szCs w:val="18"/>
              </w:rPr>
            </w:pPr>
          </w:p>
          <w:p w14:paraId="106347CB" w14:textId="11108C90" w:rsidR="0019307B" w:rsidRPr="0019307B" w:rsidRDefault="0019307B" w:rsidP="0019307B">
            <w:pPr>
              <w:spacing w:after="0" w:line="240" w:lineRule="auto"/>
              <w:rPr>
                <w:rFonts w:ascii="Arial" w:eastAsia="Arial" w:hAnsi="Arial" w:cs="Arial"/>
                <w:sz w:val="18"/>
                <w:szCs w:val="18"/>
              </w:rPr>
            </w:pPr>
            <w:proofErr w:type="gramStart"/>
            <w:r w:rsidRPr="0019307B">
              <w:rPr>
                <w:rFonts w:ascii="Arial" w:eastAsia="Arial" w:hAnsi="Arial" w:cs="Arial"/>
                <w:sz w:val="18"/>
                <w:szCs w:val="18"/>
                <w:vertAlign w:val="superscript"/>
              </w:rPr>
              <w:t>2</w:t>
            </w:r>
            <w:r w:rsidRPr="0019307B">
              <w:rPr>
                <w:rFonts w:ascii="Arial" w:eastAsia="Arial" w:hAnsi="Arial" w:cs="Arial"/>
                <w:sz w:val="18"/>
                <w:szCs w:val="18"/>
              </w:rPr>
              <w:t xml:space="preserve">  https://www.asthma.org.uk/418cbc36/globalassets/campaigns/publications/severe-asthma_report_final.pdf</w:t>
            </w:r>
            <w:proofErr w:type="gramEnd"/>
          </w:p>
          <w:p w14:paraId="44313770" w14:textId="77777777" w:rsidR="0019307B" w:rsidRDefault="0019307B" w:rsidP="0019307B">
            <w:pPr>
              <w:spacing w:after="0" w:line="240" w:lineRule="auto"/>
              <w:rPr>
                <w:rFonts w:ascii="Arial" w:eastAsia="Arial" w:hAnsi="Arial" w:cs="Arial"/>
                <w:sz w:val="18"/>
                <w:szCs w:val="18"/>
                <w:vertAlign w:val="superscript"/>
              </w:rPr>
            </w:pPr>
          </w:p>
          <w:p w14:paraId="034C0129" w14:textId="405CD3AC" w:rsidR="0019307B" w:rsidRDefault="0019307B" w:rsidP="0019307B">
            <w:pPr>
              <w:spacing w:after="0" w:line="240" w:lineRule="auto"/>
              <w:rPr>
                <w:rFonts w:ascii="Arial" w:eastAsia="Arial" w:hAnsi="Arial" w:cs="Arial"/>
                <w:sz w:val="18"/>
                <w:szCs w:val="18"/>
              </w:rPr>
            </w:pPr>
            <w:r w:rsidRPr="0019307B">
              <w:rPr>
                <w:rFonts w:ascii="Arial" w:eastAsia="Arial" w:hAnsi="Arial" w:cs="Arial"/>
                <w:sz w:val="18"/>
                <w:szCs w:val="18"/>
                <w:vertAlign w:val="superscript"/>
              </w:rPr>
              <w:t>3</w:t>
            </w:r>
            <w:r w:rsidRPr="0019307B">
              <w:rPr>
                <w:rFonts w:ascii="Arial" w:eastAsia="Arial" w:hAnsi="Arial" w:cs="Arial"/>
                <w:sz w:val="18"/>
                <w:szCs w:val="18"/>
              </w:rPr>
              <w:t xml:space="preserve">   </w:t>
            </w:r>
            <w:proofErr w:type="spellStart"/>
            <w:r w:rsidRPr="0019307B">
              <w:rPr>
                <w:rFonts w:ascii="Arial" w:eastAsia="Arial" w:hAnsi="Arial" w:cs="Arial"/>
                <w:sz w:val="18"/>
                <w:szCs w:val="18"/>
              </w:rPr>
              <w:t>Voorham</w:t>
            </w:r>
            <w:proofErr w:type="spellEnd"/>
            <w:r w:rsidRPr="0019307B">
              <w:rPr>
                <w:rFonts w:ascii="Arial" w:eastAsia="Arial" w:hAnsi="Arial" w:cs="Arial"/>
                <w:sz w:val="18"/>
                <w:szCs w:val="18"/>
              </w:rPr>
              <w:t xml:space="preserve"> et al Longitudinal Systemic Corticosteroid Utilisation </w:t>
            </w:r>
            <w:proofErr w:type="gramStart"/>
            <w:r w:rsidRPr="0019307B">
              <w:rPr>
                <w:rFonts w:ascii="Arial" w:eastAsia="Arial" w:hAnsi="Arial" w:cs="Arial"/>
                <w:sz w:val="18"/>
                <w:szCs w:val="18"/>
              </w:rPr>
              <w:t>For</w:t>
            </w:r>
            <w:proofErr w:type="gramEnd"/>
            <w:r w:rsidRPr="0019307B">
              <w:rPr>
                <w:rFonts w:ascii="Arial" w:eastAsia="Arial" w:hAnsi="Arial" w:cs="Arial"/>
                <w:sz w:val="18"/>
                <w:szCs w:val="18"/>
              </w:rPr>
              <w:t xml:space="preserve"> Asthma And Other Diseases In The United Kingdom From 1990 To 2018: A Population-based Cohort Analysis. BTS 2021 Virtual Congress. S29</w:t>
            </w:r>
          </w:p>
          <w:p w14:paraId="1A72E10D" w14:textId="324ECB7C" w:rsidR="0019307B" w:rsidRPr="00A55577" w:rsidRDefault="0019307B" w:rsidP="00C92CA9">
            <w:pPr>
              <w:spacing w:after="0" w:line="240" w:lineRule="auto"/>
              <w:rPr>
                <w:rFonts w:ascii="Arial" w:eastAsia="Arial" w:hAnsi="Arial" w:cs="Arial"/>
                <w:sz w:val="18"/>
                <w:szCs w:val="18"/>
              </w:rPr>
            </w:pPr>
          </w:p>
        </w:tc>
      </w:tr>
    </w:tbl>
    <w:p w14:paraId="40F941F7" w14:textId="1017CB54" w:rsidR="00810077" w:rsidRDefault="00855C24">
      <w:pPr>
        <w:pStyle w:val="Heading2"/>
      </w:pPr>
      <w:r>
        <w:br w:type="page"/>
      </w:r>
      <w:bookmarkStart w:id="26" w:name="_Toc89761265"/>
      <w:r>
        <w:lastRenderedPageBreak/>
        <w:t>Prescribing of smoking cessation products in</w:t>
      </w:r>
      <w:r w:rsidR="00A55577">
        <w:t>c. nicotine replacement (NRT), v</w:t>
      </w:r>
      <w:r>
        <w:t xml:space="preserve">arenicline and </w:t>
      </w:r>
      <w:r w:rsidR="00A55577">
        <w:t>b</w:t>
      </w:r>
      <w:r>
        <w:t>upropion</w:t>
      </w:r>
      <w:bookmarkEnd w:id="26"/>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417"/>
        <w:gridCol w:w="7938"/>
      </w:tblGrid>
      <w:tr w:rsidR="00810077" w14:paraId="40F941F9" w14:textId="77777777">
        <w:tc>
          <w:tcPr>
            <w:tcW w:w="9889" w:type="dxa"/>
            <w:gridSpan w:val="3"/>
            <w:shd w:val="clear" w:color="auto" w:fill="D9D9D9"/>
          </w:tcPr>
          <w:p w14:paraId="40F941F8" w14:textId="77777777" w:rsidR="00810077" w:rsidRDefault="00855C24">
            <w:pPr>
              <w:spacing w:after="0" w:line="240" w:lineRule="auto"/>
              <w:rPr>
                <w:rFonts w:ascii="Arial" w:eastAsia="Arial" w:hAnsi="Arial" w:cs="Arial"/>
                <w:sz w:val="18"/>
                <w:szCs w:val="18"/>
                <w:highlight w:val="yellow"/>
              </w:rPr>
            </w:pPr>
            <w:r>
              <w:rPr>
                <w:rFonts w:ascii="Arial" w:eastAsia="Arial" w:hAnsi="Arial" w:cs="Arial"/>
                <w:b/>
                <w:sz w:val="18"/>
                <w:szCs w:val="18"/>
              </w:rPr>
              <w:t>Section 1: Introduction / Overview</w:t>
            </w:r>
          </w:p>
        </w:tc>
      </w:tr>
      <w:tr w:rsidR="00810077" w14:paraId="40F941FE" w14:textId="77777777">
        <w:tc>
          <w:tcPr>
            <w:tcW w:w="534" w:type="dxa"/>
            <w:shd w:val="clear" w:color="auto" w:fill="auto"/>
          </w:tcPr>
          <w:p w14:paraId="40F941FA"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1.1</w:t>
            </w:r>
          </w:p>
          <w:p w14:paraId="40F941FB" w14:textId="77777777" w:rsidR="00810077" w:rsidRDefault="00810077">
            <w:pPr>
              <w:spacing w:after="0" w:line="240" w:lineRule="auto"/>
              <w:rPr>
                <w:rFonts w:ascii="Arial" w:eastAsia="Arial" w:hAnsi="Arial" w:cs="Arial"/>
                <w:sz w:val="18"/>
                <w:szCs w:val="18"/>
              </w:rPr>
            </w:pPr>
          </w:p>
        </w:tc>
        <w:tc>
          <w:tcPr>
            <w:tcW w:w="1417" w:type="dxa"/>
            <w:tcBorders>
              <w:bottom w:val="single" w:sz="4" w:space="0" w:color="000000"/>
            </w:tcBorders>
            <w:shd w:val="clear" w:color="auto" w:fill="D9D9D9"/>
          </w:tcPr>
          <w:p w14:paraId="40F941FC"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Title</w:t>
            </w:r>
          </w:p>
        </w:tc>
        <w:tc>
          <w:tcPr>
            <w:tcW w:w="7938" w:type="dxa"/>
          </w:tcPr>
          <w:p w14:paraId="40F941FD" w14:textId="77777777" w:rsidR="00810077" w:rsidRDefault="00855C24">
            <w:pPr>
              <w:spacing w:after="0" w:line="240" w:lineRule="auto"/>
              <w:rPr>
                <w:rFonts w:ascii="Arial" w:eastAsia="Arial" w:hAnsi="Arial" w:cs="Arial"/>
                <w:sz w:val="18"/>
                <w:szCs w:val="18"/>
                <w:highlight w:val="yellow"/>
              </w:rPr>
            </w:pPr>
            <w:r>
              <w:rPr>
                <w:rFonts w:ascii="Arial" w:eastAsia="Arial" w:hAnsi="Arial" w:cs="Arial"/>
                <w:sz w:val="18"/>
                <w:szCs w:val="18"/>
              </w:rPr>
              <w:t>Prescribing of smoking cessation products inc. nicotine replacement (NRT), Varenicline and Bupropion</w:t>
            </w:r>
          </w:p>
        </w:tc>
      </w:tr>
      <w:tr w:rsidR="00810077" w14:paraId="40F94202" w14:textId="77777777">
        <w:tc>
          <w:tcPr>
            <w:tcW w:w="534" w:type="dxa"/>
            <w:shd w:val="clear" w:color="auto" w:fill="auto"/>
          </w:tcPr>
          <w:p w14:paraId="40F941FF"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1.2</w:t>
            </w:r>
          </w:p>
        </w:tc>
        <w:tc>
          <w:tcPr>
            <w:tcW w:w="1417" w:type="dxa"/>
            <w:tcBorders>
              <w:top w:val="single" w:sz="4" w:space="0" w:color="000000"/>
              <w:bottom w:val="single" w:sz="4" w:space="0" w:color="000000"/>
            </w:tcBorders>
            <w:shd w:val="clear" w:color="auto" w:fill="D9D9D9"/>
          </w:tcPr>
          <w:p w14:paraId="40F94200"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Definition</w:t>
            </w:r>
          </w:p>
        </w:tc>
        <w:tc>
          <w:tcPr>
            <w:tcW w:w="7938" w:type="dxa"/>
          </w:tcPr>
          <w:p w14:paraId="40F94201"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 xml:space="preserve">Identifying the prescribing of smoking cessation products, including nicotine replacement (NRT), Varenicline and Bupropion. Results identify the total number of prescription items prescribed for any smoking cessation product (BNF section 4.10.2). </w:t>
            </w:r>
          </w:p>
        </w:tc>
      </w:tr>
      <w:tr w:rsidR="00810077" w14:paraId="40F94207" w14:textId="77777777">
        <w:trPr>
          <w:trHeight w:val="420"/>
        </w:trPr>
        <w:tc>
          <w:tcPr>
            <w:tcW w:w="534" w:type="dxa"/>
            <w:shd w:val="clear" w:color="auto" w:fill="auto"/>
          </w:tcPr>
          <w:p w14:paraId="40F94203"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1.3</w:t>
            </w:r>
          </w:p>
        </w:tc>
        <w:tc>
          <w:tcPr>
            <w:tcW w:w="1417" w:type="dxa"/>
            <w:tcBorders>
              <w:top w:val="single" w:sz="4" w:space="0" w:color="000000"/>
              <w:bottom w:val="single" w:sz="4" w:space="0" w:color="000000"/>
            </w:tcBorders>
            <w:shd w:val="clear" w:color="auto" w:fill="D9D9D9"/>
          </w:tcPr>
          <w:p w14:paraId="40F94204"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Reporting Level</w:t>
            </w:r>
          </w:p>
        </w:tc>
        <w:tc>
          <w:tcPr>
            <w:tcW w:w="7938" w:type="dxa"/>
          </w:tcPr>
          <w:p w14:paraId="40F94205" w14:textId="77777777" w:rsidR="00810077" w:rsidRDefault="00855C24">
            <w:pPr>
              <w:spacing w:after="0" w:line="240" w:lineRule="auto"/>
              <w:jc w:val="both"/>
              <w:rPr>
                <w:rFonts w:ascii="Arial" w:eastAsia="Arial" w:hAnsi="Arial" w:cs="Arial"/>
                <w:sz w:val="18"/>
                <w:szCs w:val="18"/>
              </w:rPr>
            </w:pPr>
            <w:r>
              <w:rPr>
                <w:rFonts w:ascii="Arial" w:eastAsia="Arial" w:hAnsi="Arial" w:cs="Arial"/>
                <w:sz w:val="18"/>
                <w:szCs w:val="18"/>
              </w:rPr>
              <w:t>Practice level (aggregated to CCG).</w:t>
            </w:r>
          </w:p>
          <w:p w14:paraId="40F94206" w14:textId="77777777" w:rsidR="00810077" w:rsidRDefault="00810077">
            <w:pPr>
              <w:spacing w:after="0" w:line="240" w:lineRule="auto"/>
              <w:jc w:val="both"/>
              <w:rPr>
                <w:rFonts w:ascii="Arial" w:eastAsia="Arial" w:hAnsi="Arial" w:cs="Arial"/>
                <w:sz w:val="18"/>
                <w:szCs w:val="18"/>
                <w:highlight w:val="yellow"/>
              </w:rPr>
            </w:pPr>
          </w:p>
        </w:tc>
      </w:tr>
      <w:tr w:rsidR="00810077" w14:paraId="40F9420E" w14:textId="77777777">
        <w:trPr>
          <w:trHeight w:val="780"/>
        </w:trPr>
        <w:tc>
          <w:tcPr>
            <w:tcW w:w="534" w:type="dxa"/>
            <w:shd w:val="clear" w:color="auto" w:fill="auto"/>
          </w:tcPr>
          <w:p w14:paraId="40F94208"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1.4</w:t>
            </w:r>
          </w:p>
        </w:tc>
        <w:tc>
          <w:tcPr>
            <w:tcW w:w="1417" w:type="dxa"/>
            <w:tcBorders>
              <w:top w:val="single" w:sz="4" w:space="0" w:color="000000"/>
              <w:bottom w:val="single" w:sz="4" w:space="0" w:color="000000"/>
            </w:tcBorders>
            <w:shd w:val="clear" w:color="auto" w:fill="D9D9D9"/>
          </w:tcPr>
          <w:p w14:paraId="40F94209"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Numerator</w:t>
            </w:r>
          </w:p>
        </w:tc>
        <w:tc>
          <w:tcPr>
            <w:tcW w:w="7938" w:type="dxa"/>
          </w:tcPr>
          <w:p w14:paraId="40F9420A"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Number of prescription items prescribed for any smoking cessation products.  Figures restricted to patients aged 15 and over in line with the denominator figures.</w:t>
            </w:r>
          </w:p>
          <w:p w14:paraId="40F9420B" w14:textId="77777777" w:rsidR="009F5668" w:rsidRDefault="009F5668">
            <w:pPr>
              <w:spacing w:after="0" w:line="240" w:lineRule="auto"/>
              <w:rPr>
                <w:rFonts w:ascii="Arial" w:eastAsia="Arial" w:hAnsi="Arial" w:cs="Arial"/>
                <w:sz w:val="18"/>
                <w:szCs w:val="18"/>
              </w:rPr>
            </w:pPr>
          </w:p>
          <w:p w14:paraId="40F9420C" w14:textId="77777777" w:rsidR="00810077" w:rsidRDefault="009F5668">
            <w:pPr>
              <w:spacing w:after="0" w:line="240" w:lineRule="auto"/>
              <w:rPr>
                <w:rFonts w:ascii="Arial" w:eastAsia="Arial" w:hAnsi="Arial" w:cs="Arial"/>
                <w:color w:val="FF0000"/>
                <w:sz w:val="18"/>
                <w:szCs w:val="18"/>
              </w:rPr>
            </w:pPr>
            <w:r>
              <w:rPr>
                <w:rFonts w:ascii="Arial" w:eastAsia="Arial" w:hAnsi="Arial" w:cs="Arial"/>
                <w:sz w:val="18"/>
                <w:szCs w:val="18"/>
              </w:rPr>
              <w:t xml:space="preserve">Please refer to </w:t>
            </w:r>
            <w:r w:rsidRPr="001620B8">
              <w:rPr>
                <w:rFonts w:ascii="Arial" w:eastAsia="Arial" w:hAnsi="Arial" w:cs="Arial"/>
                <w:b/>
                <w:sz w:val="18"/>
                <w:szCs w:val="18"/>
              </w:rPr>
              <w:t>Appendix 2</w:t>
            </w:r>
            <w:r w:rsidR="00AE2A4F">
              <w:rPr>
                <w:rFonts w:ascii="Arial" w:eastAsia="Arial" w:hAnsi="Arial" w:cs="Arial"/>
                <w:b/>
                <w:sz w:val="18"/>
                <w:szCs w:val="18"/>
              </w:rPr>
              <w:t xml:space="preserve"> </w:t>
            </w:r>
            <w:r w:rsidR="00AE2A4F">
              <w:rPr>
                <w:rFonts w:ascii="Arial" w:eastAsia="Arial" w:hAnsi="Arial" w:cs="Arial"/>
                <w:sz w:val="18"/>
                <w:szCs w:val="18"/>
              </w:rPr>
              <w:t>(provided in a separate document)</w:t>
            </w:r>
            <w:r>
              <w:rPr>
                <w:rFonts w:ascii="Arial" w:eastAsia="Arial" w:hAnsi="Arial" w:cs="Arial"/>
                <w:sz w:val="18"/>
                <w:szCs w:val="18"/>
              </w:rPr>
              <w:t xml:space="preserve"> for the drug list for this numerator.</w:t>
            </w:r>
          </w:p>
          <w:p w14:paraId="40F9420D" w14:textId="77777777" w:rsidR="00810077" w:rsidRDefault="00810077">
            <w:pPr>
              <w:spacing w:after="0" w:line="240" w:lineRule="auto"/>
              <w:rPr>
                <w:rFonts w:ascii="Arial" w:eastAsia="Arial" w:hAnsi="Arial" w:cs="Arial"/>
                <w:sz w:val="18"/>
                <w:szCs w:val="18"/>
                <w:highlight w:val="yellow"/>
              </w:rPr>
            </w:pPr>
          </w:p>
        </w:tc>
      </w:tr>
      <w:tr w:rsidR="00810077" w14:paraId="40F94217" w14:textId="77777777">
        <w:trPr>
          <w:trHeight w:val="820"/>
        </w:trPr>
        <w:tc>
          <w:tcPr>
            <w:tcW w:w="534" w:type="dxa"/>
            <w:shd w:val="clear" w:color="auto" w:fill="auto"/>
          </w:tcPr>
          <w:p w14:paraId="40F9420F"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1.5</w:t>
            </w:r>
          </w:p>
        </w:tc>
        <w:tc>
          <w:tcPr>
            <w:tcW w:w="1417" w:type="dxa"/>
            <w:tcBorders>
              <w:top w:val="single" w:sz="4" w:space="0" w:color="000000"/>
              <w:bottom w:val="single" w:sz="4" w:space="0" w:color="000000"/>
            </w:tcBorders>
            <w:shd w:val="clear" w:color="auto" w:fill="D9D9D9"/>
          </w:tcPr>
          <w:p w14:paraId="40F94210"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Denominator</w:t>
            </w:r>
          </w:p>
        </w:tc>
        <w:tc>
          <w:tcPr>
            <w:tcW w:w="7938" w:type="dxa"/>
          </w:tcPr>
          <w:p w14:paraId="40F94211"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The number of patients, aged 15 and over, recorded as current smokers within the QOF dataset SMOK004.</w:t>
            </w:r>
          </w:p>
          <w:p w14:paraId="40F94212" w14:textId="77777777" w:rsidR="00810077" w:rsidRDefault="00810077">
            <w:pPr>
              <w:spacing w:after="0" w:line="240" w:lineRule="auto"/>
              <w:rPr>
                <w:rFonts w:ascii="Arial" w:eastAsia="Arial" w:hAnsi="Arial" w:cs="Arial"/>
                <w:sz w:val="18"/>
                <w:szCs w:val="18"/>
              </w:rPr>
            </w:pPr>
          </w:p>
          <w:p w14:paraId="40F94213"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 xml:space="preserve">Data for the denominator is only available as a figure for a complete financial year and is published annually in November.  As the comparator is reported </w:t>
            </w:r>
            <w:proofErr w:type="gramStart"/>
            <w:r>
              <w:rPr>
                <w:rFonts w:ascii="Arial" w:eastAsia="Arial" w:hAnsi="Arial" w:cs="Arial"/>
                <w:sz w:val="18"/>
                <w:szCs w:val="18"/>
              </w:rPr>
              <w:t>on a monthly basis</w:t>
            </w:r>
            <w:proofErr w:type="gramEnd"/>
            <w:r>
              <w:rPr>
                <w:rFonts w:ascii="Arial" w:eastAsia="Arial" w:hAnsi="Arial" w:cs="Arial"/>
                <w:sz w:val="18"/>
                <w:szCs w:val="18"/>
              </w:rPr>
              <w:t>, the same figure is used for each month within the financial year.  The latest available data will be reported until a new QOF dataset is published at which point the figures will be retrospectively adjusted accordingly.</w:t>
            </w:r>
          </w:p>
          <w:p w14:paraId="40F94214" w14:textId="77777777" w:rsidR="00810077" w:rsidRDefault="00810077">
            <w:pPr>
              <w:spacing w:after="0" w:line="240" w:lineRule="auto"/>
              <w:rPr>
                <w:rFonts w:ascii="Arial" w:eastAsia="Arial" w:hAnsi="Arial" w:cs="Arial"/>
                <w:sz w:val="18"/>
                <w:szCs w:val="18"/>
              </w:rPr>
            </w:pPr>
          </w:p>
          <w:p w14:paraId="40F94215"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 xml:space="preserve">For example, the dashboard figures for Apr-17 to Mar-18 will use the QOF figures for 2016/17 until the November 2018 QOF publication at which point the figures will then be amended based on the latest available results. </w:t>
            </w:r>
          </w:p>
          <w:p w14:paraId="40F94216" w14:textId="77777777" w:rsidR="00810077" w:rsidRDefault="00810077">
            <w:pPr>
              <w:spacing w:after="0" w:line="240" w:lineRule="auto"/>
              <w:rPr>
                <w:rFonts w:ascii="Arial" w:eastAsia="Arial" w:hAnsi="Arial" w:cs="Arial"/>
                <w:sz w:val="18"/>
                <w:szCs w:val="18"/>
              </w:rPr>
            </w:pPr>
          </w:p>
        </w:tc>
      </w:tr>
      <w:tr w:rsidR="00810077" w14:paraId="40F9421D" w14:textId="77777777">
        <w:tc>
          <w:tcPr>
            <w:tcW w:w="534" w:type="dxa"/>
            <w:shd w:val="clear" w:color="auto" w:fill="auto"/>
          </w:tcPr>
          <w:p w14:paraId="40F94218"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1.6</w:t>
            </w:r>
          </w:p>
        </w:tc>
        <w:tc>
          <w:tcPr>
            <w:tcW w:w="1417" w:type="dxa"/>
            <w:tcBorders>
              <w:top w:val="single" w:sz="4" w:space="0" w:color="000000"/>
            </w:tcBorders>
            <w:shd w:val="clear" w:color="auto" w:fill="D9D9D9"/>
          </w:tcPr>
          <w:p w14:paraId="40F94219"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Methodology</w:t>
            </w:r>
          </w:p>
        </w:tc>
        <w:tc>
          <w:tcPr>
            <w:tcW w:w="7938" w:type="dxa"/>
          </w:tcPr>
          <w:p w14:paraId="40F9421A" w14:textId="77777777" w:rsidR="00A55577" w:rsidRDefault="00A55577" w:rsidP="00A55577">
            <w:pPr>
              <w:spacing w:after="0" w:line="240" w:lineRule="auto"/>
              <w:rPr>
                <w:rFonts w:ascii="Arial" w:eastAsia="Arial" w:hAnsi="Arial" w:cs="Arial"/>
                <w:sz w:val="18"/>
                <w:szCs w:val="18"/>
              </w:rPr>
            </w:pPr>
            <w:r>
              <w:rPr>
                <w:rFonts w:ascii="Arial" w:eastAsia="Arial" w:hAnsi="Arial" w:cs="Arial"/>
                <w:sz w:val="18"/>
                <w:szCs w:val="18"/>
              </w:rPr>
              <w:t>Numerator divided by denominator multiplied by 1,000.</w:t>
            </w:r>
          </w:p>
          <w:p w14:paraId="40F9421B" w14:textId="77777777" w:rsidR="00A55577" w:rsidRDefault="00A55577" w:rsidP="00A55577">
            <w:pPr>
              <w:spacing w:after="0" w:line="240" w:lineRule="auto"/>
              <w:rPr>
                <w:rFonts w:ascii="Arial" w:eastAsia="Arial" w:hAnsi="Arial" w:cs="Arial"/>
                <w:sz w:val="18"/>
                <w:szCs w:val="18"/>
              </w:rPr>
            </w:pPr>
            <w:r>
              <w:rPr>
                <w:rFonts w:ascii="Arial" w:eastAsia="Arial" w:hAnsi="Arial" w:cs="Arial"/>
                <w:sz w:val="18"/>
                <w:szCs w:val="18"/>
              </w:rPr>
              <w:t>Presented as number of items prescribed for smoking cessation products per 1,000 recorded smokers.</w:t>
            </w:r>
          </w:p>
          <w:p w14:paraId="40F9421C" w14:textId="77777777" w:rsidR="00810077" w:rsidRDefault="00810077">
            <w:pPr>
              <w:spacing w:after="0" w:line="240" w:lineRule="auto"/>
              <w:rPr>
                <w:rFonts w:ascii="Arial" w:eastAsia="Arial" w:hAnsi="Arial" w:cs="Arial"/>
                <w:sz w:val="18"/>
                <w:szCs w:val="18"/>
              </w:rPr>
            </w:pPr>
          </w:p>
        </w:tc>
      </w:tr>
      <w:tr w:rsidR="00810077" w14:paraId="40F9421F" w14:textId="77777777">
        <w:tc>
          <w:tcPr>
            <w:tcW w:w="9889" w:type="dxa"/>
            <w:gridSpan w:val="3"/>
            <w:shd w:val="clear" w:color="auto" w:fill="D9D9D9"/>
          </w:tcPr>
          <w:p w14:paraId="40F9421E" w14:textId="77777777" w:rsidR="00810077" w:rsidRDefault="00855C24">
            <w:pPr>
              <w:spacing w:after="0" w:line="240" w:lineRule="auto"/>
              <w:rPr>
                <w:rFonts w:ascii="Arial" w:eastAsia="Arial" w:hAnsi="Arial" w:cs="Arial"/>
                <w:sz w:val="18"/>
                <w:szCs w:val="18"/>
                <w:highlight w:val="yellow"/>
              </w:rPr>
            </w:pPr>
            <w:r>
              <w:rPr>
                <w:rFonts w:ascii="Arial" w:eastAsia="Arial" w:hAnsi="Arial" w:cs="Arial"/>
                <w:b/>
                <w:sz w:val="18"/>
                <w:szCs w:val="18"/>
              </w:rPr>
              <w:t>Section 2: Rationale</w:t>
            </w:r>
          </w:p>
        </w:tc>
      </w:tr>
      <w:tr w:rsidR="00810077" w14:paraId="40F94224" w14:textId="77777777">
        <w:trPr>
          <w:trHeight w:val="1220"/>
        </w:trPr>
        <w:tc>
          <w:tcPr>
            <w:tcW w:w="534" w:type="dxa"/>
            <w:shd w:val="clear" w:color="auto" w:fill="auto"/>
          </w:tcPr>
          <w:p w14:paraId="40F94220"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2.1</w:t>
            </w:r>
          </w:p>
          <w:p w14:paraId="40F94221" w14:textId="77777777" w:rsidR="00810077" w:rsidRDefault="00810077">
            <w:pPr>
              <w:spacing w:after="0" w:line="240" w:lineRule="auto"/>
              <w:rPr>
                <w:rFonts w:ascii="Arial" w:eastAsia="Arial" w:hAnsi="Arial" w:cs="Arial"/>
                <w:sz w:val="18"/>
                <w:szCs w:val="18"/>
              </w:rPr>
            </w:pPr>
          </w:p>
        </w:tc>
        <w:tc>
          <w:tcPr>
            <w:tcW w:w="1417" w:type="dxa"/>
            <w:tcBorders>
              <w:bottom w:val="single" w:sz="4" w:space="0" w:color="000000"/>
            </w:tcBorders>
            <w:shd w:val="clear" w:color="auto" w:fill="D9D9D9"/>
          </w:tcPr>
          <w:p w14:paraId="40F94222"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Purpose</w:t>
            </w:r>
          </w:p>
        </w:tc>
        <w:tc>
          <w:tcPr>
            <w:tcW w:w="7938" w:type="dxa"/>
          </w:tcPr>
          <w:p w14:paraId="40F94223" w14:textId="77777777" w:rsidR="00810077" w:rsidRDefault="00A55577">
            <w:pPr>
              <w:spacing w:after="0" w:line="240" w:lineRule="auto"/>
              <w:rPr>
                <w:rFonts w:ascii="Arial" w:eastAsia="Arial" w:hAnsi="Arial" w:cs="Arial"/>
                <w:sz w:val="18"/>
                <w:szCs w:val="18"/>
              </w:rPr>
            </w:pPr>
            <w:r w:rsidRPr="00A55577">
              <w:rPr>
                <w:rFonts w:ascii="Arial" w:eastAsia="Arial" w:hAnsi="Arial" w:cs="Arial"/>
                <w:sz w:val="18"/>
                <w:szCs w:val="18"/>
              </w:rPr>
              <w:t>The highest value intervention for both COPD and asthma is smoking cessation. Prescribing rates for stop smoking products should be increasing, to help more smokers to quit smoking.</w:t>
            </w:r>
          </w:p>
        </w:tc>
      </w:tr>
      <w:tr w:rsidR="00810077" w14:paraId="40F94229" w14:textId="77777777">
        <w:tc>
          <w:tcPr>
            <w:tcW w:w="534" w:type="dxa"/>
            <w:shd w:val="clear" w:color="auto" w:fill="auto"/>
          </w:tcPr>
          <w:p w14:paraId="40F94225"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2.2</w:t>
            </w:r>
          </w:p>
          <w:p w14:paraId="40F94226" w14:textId="77777777" w:rsidR="00810077" w:rsidRDefault="00810077">
            <w:pPr>
              <w:spacing w:after="0" w:line="240" w:lineRule="auto"/>
              <w:rPr>
                <w:rFonts w:ascii="Arial" w:eastAsia="Arial" w:hAnsi="Arial" w:cs="Arial"/>
                <w:sz w:val="18"/>
                <w:szCs w:val="18"/>
              </w:rPr>
            </w:pPr>
          </w:p>
        </w:tc>
        <w:tc>
          <w:tcPr>
            <w:tcW w:w="1417" w:type="dxa"/>
            <w:tcBorders>
              <w:bottom w:val="single" w:sz="4" w:space="0" w:color="000000"/>
            </w:tcBorders>
            <w:shd w:val="clear" w:color="auto" w:fill="D9D9D9"/>
          </w:tcPr>
          <w:p w14:paraId="40F94227"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Evidence and Policy Base</w:t>
            </w:r>
          </w:p>
        </w:tc>
        <w:tc>
          <w:tcPr>
            <w:tcW w:w="7938" w:type="dxa"/>
          </w:tcPr>
          <w:p w14:paraId="40F94228" w14:textId="77777777" w:rsidR="00810077" w:rsidRDefault="00810077">
            <w:pPr>
              <w:rPr>
                <w:rFonts w:ascii="Arial" w:eastAsia="Arial" w:hAnsi="Arial" w:cs="Arial"/>
                <w:sz w:val="18"/>
                <w:szCs w:val="18"/>
              </w:rPr>
            </w:pPr>
          </w:p>
        </w:tc>
      </w:tr>
    </w:tbl>
    <w:p w14:paraId="40F9422A" w14:textId="77777777" w:rsidR="005E3A7D" w:rsidRDefault="005E3A7D" w:rsidP="005E3A7D">
      <w:pPr>
        <w:pStyle w:val="Heading2"/>
      </w:pPr>
      <w:bookmarkStart w:id="27" w:name="_lrr7f08x7i1g" w:colFirst="0" w:colLast="0"/>
      <w:bookmarkStart w:id="28" w:name="_gghmqbu2rr0e" w:colFirst="0" w:colLast="0"/>
      <w:bookmarkStart w:id="29" w:name="49x2ik5" w:colFirst="0" w:colLast="0"/>
      <w:bookmarkEnd w:id="27"/>
      <w:bookmarkEnd w:id="28"/>
      <w:bookmarkEnd w:id="29"/>
    </w:p>
    <w:p w14:paraId="40F9422B" w14:textId="77777777" w:rsidR="00A55577" w:rsidRDefault="005E3A7D">
      <w:r>
        <w:br w:type="page"/>
      </w:r>
    </w:p>
    <w:p w14:paraId="40F9422C" w14:textId="77777777" w:rsidR="00A55577" w:rsidRDefault="00A55577" w:rsidP="00A55577">
      <w:pPr>
        <w:pStyle w:val="Heading2"/>
      </w:pPr>
      <w:bookmarkStart w:id="30" w:name="_Toc89761266"/>
      <w:r w:rsidRPr="00A55577">
        <w:lastRenderedPageBreak/>
        <w:t>Excess SABA prescribing</w:t>
      </w:r>
      <w:bookmarkEnd w:id="30"/>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417"/>
        <w:gridCol w:w="7938"/>
      </w:tblGrid>
      <w:tr w:rsidR="00A55577" w14:paraId="40F9422E" w14:textId="77777777" w:rsidTr="00A55577">
        <w:tc>
          <w:tcPr>
            <w:tcW w:w="9889" w:type="dxa"/>
            <w:gridSpan w:val="3"/>
            <w:shd w:val="clear" w:color="auto" w:fill="D9D9D9"/>
          </w:tcPr>
          <w:p w14:paraId="40F9422D" w14:textId="77777777" w:rsidR="00A55577" w:rsidRDefault="00A55577" w:rsidP="00A55577">
            <w:pPr>
              <w:spacing w:after="0" w:line="240" w:lineRule="auto"/>
              <w:rPr>
                <w:rFonts w:ascii="Arial" w:eastAsia="Arial" w:hAnsi="Arial" w:cs="Arial"/>
                <w:sz w:val="18"/>
                <w:szCs w:val="18"/>
                <w:highlight w:val="yellow"/>
              </w:rPr>
            </w:pPr>
            <w:r>
              <w:rPr>
                <w:rFonts w:ascii="Arial" w:eastAsia="Arial" w:hAnsi="Arial" w:cs="Arial"/>
                <w:b/>
                <w:sz w:val="18"/>
                <w:szCs w:val="18"/>
              </w:rPr>
              <w:t>Section 1: Introduction / Overview</w:t>
            </w:r>
          </w:p>
        </w:tc>
      </w:tr>
      <w:tr w:rsidR="00A55577" w14:paraId="40F94233" w14:textId="77777777" w:rsidTr="00A55577">
        <w:tc>
          <w:tcPr>
            <w:tcW w:w="534" w:type="dxa"/>
            <w:shd w:val="clear" w:color="auto" w:fill="auto"/>
          </w:tcPr>
          <w:p w14:paraId="40F9422F" w14:textId="77777777" w:rsidR="00A55577" w:rsidRDefault="00A55577" w:rsidP="00A55577">
            <w:pPr>
              <w:spacing w:after="0" w:line="240" w:lineRule="auto"/>
              <w:rPr>
                <w:rFonts w:ascii="Arial" w:eastAsia="Arial" w:hAnsi="Arial" w:cs="Arial"/>
                <w:sz w:val="18"/>
                <w:szCs w:val="18"/>
              </w:rPr>
            </w:pPr>
            <w:r>
              <w:rPr>
                <w:rFonts w:ascii="Arial" w:eastAsia="Arial" w:hAnsi="Arial" w:cs="Arial"/>
                <w:sz w:val="18"/>
                <w:szCs w:val="18"/>
              </w:rPr>
              <w:t>1.1</w:t>
            </w:r>
          </w:p>
          <w:p w14:paraId="40F94230" w14:textId="77777777" w:rsidR="00A55577" w:rsidRDefault="00A55577" w:rsidP="00A55577">
            <w:pPr>
              <w:spacing w:after="0" w:line="240" w:lineRule="auto"/>
              <w:rPr>
                <w:rFonts w:ascii="Arial" w:eastAsia="Arial" w:hAnsi="Arial" w:cs="Arial"/>
                <w:sz w:val="18"/>
                <w:szCs w:val="18"/>
              </w:rPr>
            </w:pPr>
          </w:p>
        </w:tc>
        <w:tc>
          <w:tcPr>
            <w:tcW w:w="1417" w:type="dxa"/>
            <w:tcBorders>
              <w:bottom w:val="single" w:sz="4" w:space="0" w:color="000000"/>
            </w:tcBorders>
            <w:shd w:val="clear" w:color="auto" w:fill="D9D9D9"/>
          </w:tcPr>
          <w:p w14:paraId="40F94231" w14:textId="77777777" w:rsidR="00A55577" w:rsidRDefault="00A55577" w:rsidP="00A55577">
            <w:pPr>
              <w:spacing w:after="0" w:line="240" w:lineRule="auto"/>
              <w:rPr>
                <w:rFonts w:ascii="Arial" w:eastAsia="Arial" w:hAnsi="Arial" w:cs="Arial"/>
                <w:sz w:val="18"/>
                <w:szCs w:val="18"/>
              </w:rPr>
            </w:pPr>
            <w:r>
              <w:rPr>
                <w:rFonts w:ascii="Arial" w:eastAsia="Arial" w:hAnsi="Arial" w:cs="Arial"/>
                <w:b/>
                <w:sz w:val="18"/>
                <w:szCs w:val="18"/>
              </w:rPr>
              <w:t>Title</w:t>
            </w:r>
          </w:p>
        </w:tc>
        <w:tc>
          <w:tcPr>
            <w:tcW w:w="7938" w:type="dxa"/>
          </w:tcPr>
          <w:p w14:paraId="40F94232" w14:textId="77777777" w:rsidR="00A55577" w:rsidRDefault="00A55577" w:rsidP="00A55577">
            <w:pPr>
              <w:spacing w:after="0" w:line="240" w:lineRule="auto"/>
              <w:rPr>
                <w:rFonts w:ascii="Arial" w:eastAsia="Arial" w:hAnsi="Arial" w:cs="Arial"/>
                <w:sz w:val="18"/>
                <w:szCs w:val="18"/>
                <w:highlight w:val="yellow"/>
              </w:rPr>
            </w:pPr>
            <w:r w:rsidRPr="00A55577">
              <w:rPr>
                <w:rFonts w:ascii="Arial" w:eastAsia="Arial" w:hAnsi="Arial" w:cs="Arial"/>
                <w:sz w:val="18"/>
                <w:szCs w:val="18"/>
              </w:rPr>
              <w:t>Excess SABA prescribing</w:t>
            </w:r>
          </w:p>
        </w:tc>
      </w:tr>
      <w:tr w:rsidR="00A55577" w14:paraId="40F94237" w14:textId="77777777" w:rsidTr="00A55577">
        <w:tc>
          <w:tcPr>
            <w:tcW w:w="534" w:type="dxa"/>
            <w:shd w:val="clear" w:color="auto" w:fill="auto"/>
          </w:tcPr>
          <w:p w14:paraId="40F94234" w14:textId="77777777" w:rsidR="00A55577" w:rsidRDefault="00A55577" w:rsidP="00A55577">
            <w:pPr>
              <w:spacing w:after="0" w:line="240" w:lineRule="auto"/>
              <w:rPr>
                <w:rFonts w:ascii="Arial" w:eastAsia="Arial" w:hAnsi="Arial" w:cs="Arial"/>
                <w:sz w:val="18"/>
                <w:szCs w:val="18"/>
              </w:rPr>
            </w:pPr>
            <w:r>
              <w:rPr>
                <w:rFonts w:ascii="Arial" w:eastAsia="Arial" w:hAnsi="Arial" w:cs="Arial"/>
                <w:sz w:val="18"/>
                <w:szCs w:val="18"/>
              </w:rPr>
              <w:t>1.2</w:t>
            </w:r>
          </w:p>
        </w:tc>
        <w:tc>
          <w:tcPr>
            <w:tcW w:w="1417" w:type="dxa"/>
            <w:tcBorders>
              <w:top w:val="single" w:sz="4" w:space="0" w:color="000000"/>
              <w:bottom w:val="single" w:sz="4" w:space="0" w:color="000000"/>
            </w:tcBorders>
            <w:shd w:val="clear" w:color="auto" w:fill="D9D9D9"/>
          </w:tcPr>
          <w:p w14:paraId="40F94235" w14:textId="77777777" w:rsidR="00A55577" w:rsidRDefault="00A55577" w:rsidP="00A55577">
            <w:pPr>
              <w:spacing w:after="0" w:line="240" w:lineRule="auto"/>
              <w:rPr>
                <w:rFonts w:ascii="Arial" w:eastAsia="Arial" w:hAnsi="Arial" w:cs="Arial"/>
                <w:sz w:val="18"/>
                <w:szCs w:val="18"/>
              </w:rPr>
            </w:pPr>
            <w:r>
              <w:rPr>
                <w:rFonts w:ascii="Arial" w:eastAsia="Arial" w:hAnsi="Arial" w:cs="Arial"/>
                <w:b/>
                <w:sz w:val="18"/>
                <w:szCs w:val="18"/>
              </w:rPr>
              <w:t>Definition</w:t>
            </w:r>
          </w:p>
        </w:tc>
        <w:tc>
          <w:tcPr>
            <w:tcW w:w="7938" w:type="dxa"/>
          </w:tcPr>
          <w:p w14:paraId="40F94236" w14:textId="77777777" w:rsidR="00A55577" w:rsidRDefault="00A55577" w:rsidP="00A55577">
            <w:pPr>
              <w:spacing w:after="0" w:line="240" w:lineRule="auto"/>
              <w:rPr>
                <w:rFonts w:ascii="Arial" w:eastAsia="Arial" w:hAnsi="Arial" w:cs="Arial"/>
                <w:sz w:val="18"/>
                <w:szCs w:val="18"/>
              </w:rPr>
            </w:pPr>
            <w:r w:rsidRPr="00A55577">
              <w:rPr>
                <w:rFonts w:ascii="Arial" w:eastAsia="Arial" w:hAnsi="Arial" w:cs="Arial"/>
                <w:sz w:val="18"/>
                <w:szCs w:val="18"/>
              </w:rPr>
              <w:t>Identifying the proportion of patients prescribed preventer inhalers without antimuscarinics who were also prescribed 6 or more SABA inhalers.</w:t>
            </w:r>
            <w:r>
              <w:rPr>
                <w:rFonts w:ascii="Arial" w:eastAsia="Arial" w:hAnsi="Arial" w:cs="Arial"/>
                <w:sz w:val="18"/>
                <w:szCs w:val="18"/>
              </w:rPr>
              <w:t xml:space="preserve">  </w:t>
            </w:r>
            <w:r w:rsidRPr="00A55577">
              <w:rPr>
                <w:rFonts w:ascii="Arial" w:eastAsia="Arial" w:hAnsi="Arial" w:cs="Arial"/>
                <w:sz w:val="18"/>
                <w:szCs w:val="18"/>
              </w:rPr>
              <w:t xml:space="preserve">Figures are reported for a rolling </w:t>
            </w:r>
            <w:proofErr w:type="gramStart"/>
            <w:r w:rsidRPr="00A55577">
              <w:rPr>
                <w:rFonts w:ascii="Arial" w:eastAsia="Arial" w:hAnsi="Arial" w:cs="Arial"/>
                <w:sz w:val="18"/>
                <w:szCs w:val="18"/>
              </w:rPr>
              <w:t>12 month</w:t>
            </w:r>
            <w:proofErr w:type="gramEnd"/>
            <w:r w:rsidRPr="00A55577">
              <w:rPr>
                <w:rFonts w:ascii="Arial" w:eastAsia="Arial" w:hAnsi="Arial" w:cs="Arial"/>
                <w:sz w:val="18"/>
                <w:szCs w:val="18"/>
              </w:rPr>
              <w:t xml:space="preserve"> period.</w:t>
            </w:r>
          </w:p>
        </w:tc>
      </w:tr>
      <w:tr w:rsidR="00A55577" w14:paraId="40F9423C" w14:textId="77777777" w:rsidTr="00A55577">
        <w:trPr>
          <w:trHeight w:val="420"/>
        </w:trPr>
        <w:tc>
          <w:tcPr>
            <w:tcW w:w="534" w:type="dxa"/>
            <w:shd w:val="clear" w:color="auto" w:fill="auto"/>
          </w:tcPr>
          <w:p w14:paraId="40F94238" w14:textId="77777777" w:rsidR="00A55577" w:rsidRDefault="00A55577" w:rsidP="00A55577">
            <w:pPr>
              <w:spacing w:after="0" w:line="240" w:lineRule="auto"/>
              <w:rPr>
                <w:rFonts w:ascii="Arial" w:eastAsia="Arial" w:hAnsi="Arial" w:cs="Arial"/>
                <w:sz w:val="18"/>
                <w:szCs w:val="18"/>
              </w:rPr>
            </w:pPr>
            <w:r>
              <w:rPr>
                <w:rFonts w:ascii="Arial" w:eastAsia="Arial" w:hAnsi="Arial" w:cs="Arial"/>
                <w:sz w:val="18"/>
                <w:szCs w:val="18"/>
              </w:rPr>
              <w:t>1.3</w:t>
            </w:r>
          </w:p>
        </w:tc>
        <w:tc>
          <w:tcPr>
            <w:tcW w:w="1417" w:type="dxa"/>
            <w:tcBorders>
              <w:top w:val="single" w:sz="4" w:space="0" w:color="000000"/>
              <w:bottom w:val="single" w:sz="4" w:space="0" w:color="000000"/>
            </w:tcBorders>
            <w:shd w:val="clear" w:color="auto" w:fill="D9D9D9"/>
          </w:tcPr>
          <w:p w14:paraId="40F94239" w14:textId="77777777" w:rsidR="00A55577" w:rsidRDefault="00A55577" w:rsidP="00A55577">
            <w:pPr>
              <w:spacing w:after="0" w:line="240" w:lineRule="auto"/>
              <w:rPr>
                <w:rFonts w:ascii="Arial" w:eastAsia="Arial" w:hAnsi="Arial" w:cs="Arial"/>
                <w:sz w:val="18"/>
                <w:szCs w:val="18"/>
              </w:rPr>
            </w:pPr>
            <w:r>
              <w:rPr>
                <w:rFonts w:ascii="Arial" w:eastAsia="Arial" w:hAnsi="Arial" w:cs="Arial"/>
                <w:b/>
                <w:sz w:val="18"/>
                <w:szCs w:val="18"/>
              </w:rPr>
              <w:t>Reporting Level</w:t>
            </w:r>
          </w:p>
        </w:tc>
        <w:tc>
          <w:tcPr>
            <w:tcW w:w="7938" w:type="dxa"/>
          </w:tcPr>
          <w:p w14:paraId="40F9423A" w14:textId="77777777" w:rsidR="00A55577" w:rsidRDefault="00A55577" w:rsidP="00A55577">
            <w:pPr>
              <w:spacing w:after="0" w:line="240" w:lineRule="auto"/>
              <w:jc w:val="both"/>
              <w:rPr>
                <w:rFonts w:ascii="Arial" w:eastAsia="Arial" w:hAnsi="Arial" w:cs="Arial"/>
                <w:sz w:val="18"/>
                <w:szCs w:val="18"/>
              </w:rPr>
            </w:pPr>
            <w:r>
              <w:rPr>
                <w:rFonts w:ascii="Arial" w:eastAsia="Arial" w:hAnsi="Arial" w:cs="Arial"/>
                <w:sz w:val="18"/>
                <w:szCs w:val="18"/>
              </w:rPr>
              <w:t>Practice level (aggregated to CCG).</w:t>
            </w:r>
          </w:p>
          <w:p w14:paraId="40F9423B" w14:textId="77777777" w:rsidR="00A55577" w:rsidRDefault="00A55577" w:rsidP="00A55577">
            <w:pPr>
              <w:spacing w:after="0" w:line="240" w:lineRule="auto"/>
              <w:jc w:val="both"/>
              <w:rPr>
                <w:rFonts w:ascii="Arial" w:eastAsia="Arial" w:hAnsi="Arial" w:cs="Arial"/>
                <w:sz w:val="18"/>
                <w:szCs w:val="18"/>
                <w:highlight w:val="yellow"/>
              </w:rPr>
            </w:pPr>
          </w:p>
        </w:tc>
      </w:tr>
      <w:tr w:rsidR="00A55577" w14:paraId="40F94243" w14:textId="77777777" w:rsidTr="00A55577">
        <w:trPr>
          <w:trHeight w:val="780"/>
        </w:trPr>
        <w:tc>
          <w:tcPr>
            <w:tcW w:w="534" w:type="dxa"/>
            <w:shd w:val="clear" w:color="auto" w:fill="auto"/>
          </w:tcPr>
          <w:p w14:paraId="40F9423D" w14:textId="77777777" w:rsidR="00A55577" w:rsidRDefault="00A55577" w:rsidP="00A55577">
            <w:pPr>
              <w:spacing w:after="0" w:line="240" w:lineRule="auto"/>
              <w:rPr>
                <w:rFonts w:ascii="Arial" w:eastAsia="Arial" w:hAnsi="Arial" w:cs="Arial"/>
                <w:sz w:val="18"/>
                <w:szCs w:val="18"/>
              </w:rPr>
            </w:pPr>
            <w:r>
              <w:rPr>
                <w:rFonts w:ascii="Arial" w:eastAsia="Arial" w:hAnsi="Arial" w:cs="Arial"/>
                <w:sz w:val="18"/>
                <w:szCs w:val="18"/>
              </w:rPr>
              <w:t>1.4</w:t>
            </w:r>
          </w:p>
        </w:tc>
        <w:tc>
          <w:tcPr>
            <w:tcW w:w="1417" w:type="dxa"/>
            <w:tcBorders>
              <w:top w:val="single" w:sz="4" w:space="0" w:color="000000"/>
              <w:bottom w:val="single" w:sz="4" w:space="0" w:color="000000"/>
            </w:tcBorders>
            <w:shd w:val="clear" w:color="auto" w:fill="D9D9D9"/>
          </w:tcPr>
          <w:p w14:paraId="40F9423E" w14:textId="77777777" w:rsidR="00A55577" w:rsidRDefault="00A55577" w:rsidP="00A55577">
            <w:pPr>
              <w:spacing w:after="0" w:line="240" w:lineRule="auto"/>
              <w:rPr>
                <w:rFonts w:ascii="Arial" w:eastAsia="Arial" w:hAnsi="Arial" w:cs="Arial"/>
                <w:sz w:val="18"/>
                <w:szCs w:val="18"/>
              </w:rPr>
            </w:pPr>
            <w:r>
              <w:rPr>
                <w:rFonts w:ascii="Arial" w:eastAsia="Arial" w:hAnsi="Arial" w:cs="Arial"/>
                <w:b/>
                <w:sz w:val="18"/>
                <w:szCs w:val="18"/>
              </w:rPr>
              <w:t>Numerator</w:t>
            </w:r>
          </w:p>
        </w:tc>
        <w:tc>
          <w:tcPr>
            <w:tcW w:w="7938" w:type="dxa"/>
          </w:tcPr>
          <w:p w14:paraId="40F9423F" w14:textId="77777777" w:rsidR="00A55577" w:rsidRDefault="00A55577" w:rsidP="00A55577">
            <w:pPr>
              <w:spacing w:after="0" w:line="240" w:lineRule="auto"/>
              <w:rPr>
                <w:rFonts w:ascii="Arial" w:eastAsia="Arial" w:hAnsi="Arial" w:cs="Arial"/>
                <w:sz w:val="18"/>
                <w:szCs w:val="18"/>
              </w:rPr>
            </w:pPr>
            <w:r w:rsidRPr="00A55577">
              <w:rPr>
                <w:rFonts w:ascii="Arial" w:eastAsia="Arial" w:hAnsi="Arial" w:cs="Arial"/>
                <w:sz w:val="18"/>
                <w:szCs w:val="18"/>
              </w:rPr>
              <w:t xml:space="preserve">No. patients prescribed 6 or more SABA inhalers in a </w:t>
            </w:r>
            <w:proofErr w:type="gramStart"/>
            <w:r w:rsidRPr="00A55577">
              <w:rPr>
                <w:rFonts w:ascii="Arial" w:eastAsia="Arial" w:hAnsi="Arial" w:cs="Arial"/>
                <w:sz w:val="18"/>
                <w:szCs w:val="18"/>
              </w:rPr>
              <w:t>12 month</w:t>
            </w:r>
            <w:proofErr w:type="gramEnd"/>
            <w:r w:rsidRPr="00A55577">
              <w:rPr>
                <w:rFonts w:ascii="Arial" w:eastAsia="Arial" w:hAnsi="Arial" w:cs="Arial"/>
                <w:sz w:val="18"/>
                <w:szCs w:val="18"/>
              </w:rPr>
              <w:t xml:space="preserve"> period, who were also prescribed a preventer inhaler but not prescribed an antimuscarinic. </w:t>
            </w:r>
          </w:p>
          <w:p w14:paraId="40F94240" w14:textId="77777777" w:rsidR="00A55577" w:rsidRDefault="00A55577" w:rsidP="00A55577">
            <w:pPr>
              <w:spacing w:after="0" w:line="240" w:lineRule="auto"/>
              <w:rPr>
                <w:rFonts w:ascii="Arial" w:eastAsia="Arial" w:hAnsi="Arial" w:cs="Arial"/>
                <w:sz w:val="18"/>
                <w:szCs w:val="18"/>
              </w:rPr>
            </w:pPr>
          </w:p>
          <w:p w14:paraId="40F94241" w14:textId="77777777" w:rsidR="00D71ECB" w:rsidRDefault="009F5668" w:rsidP="00D71ECB">
            <w:pPr>
              <w:spacing w:after="0" w:line="240" w:lineRule="auto"/>
              <w:rPr>
                <w:rFonts w:ascii="Arial" w:eastAsia="Arial" w:hAnsi="Arial" w:cs="Arial"/>
                <w:sz w:val="18"/>
                <w:szCs w:val="18"/>
              </w:rPr>
            </w:pPr>
            <w:r>
              <w:rPr>
                <w:rFonts w:ascii="Arial" w:eastAsia="Arial" w:hAnsi="Arial" w:cs="Arial"/>
                <w:sz w:val="18"/>
                <w:szCs w:val="18"/>
              </w:rPr>
              <w:t xml:space="preserve">Please refer to </w:t>
            </w:r>
            <w:r w:rsidRPr="001620B8">
              <w:rPr>
                <w:rFonts w:ascii="Arial" w:eastAsia="Arial" w:hAnsi="Arial" w:cs="Arial"/>
                <w:b/>
                <w:sz w:val="18"/>
                <w:szCs w:val="18"/>
              </w:rPr>
              <w:t>Appendix 2</w:t>
            </w:r>
            <w:r w:rsidR="00AE2A4F">
              <w:rPr>
                <w:rFonts w:ascii="Arial" w:eastAsia="Arial" w:hAnsi="Arial" w:cs="Arial"/>
                <w:b/>
                <w:sz w:val="18"/>
                <w:szCs w:val="18"/>
              </w:rPr>
              <w:t xml:space="preserve"> </w:t>
            </w:r>
            <w:r w:rsidR="00AE2A4F">
              <w:rPr>
                <w:rFonts w:ascii="Arial" w:eastAsia="Arial" w:hAnsi="Arial" w:cs="Arial"/>
                <w:sz w:val="18"/>
                <w:szCs w:val="18"/>
              </w:rPr>
              <w:t>(provided in a separate document)</w:t>
            </w:r>
            <w:r>
              <w:rPr>
                <w:rFonts w:ascii="Arial" w:eastAsia="Arial" w:hAnsi="Arial" w:cs="Arial"/>
                <w:sz w:val="18"/>
                <w:szCs w:val="18"/>
              </w:rPr>
              <w:t xml:space="preserve"> for the drug lists for this numerator.</w:t>
            </w:r>
          </w:p>
          <w:p w14:paraId="40F94242" w14:textId="77777777" w:rsidR="00A55577" w:rsidRDefault="00A55577" w:rsidP="00A55577">
            <w:pPr>
              <w:spacing w:after="0" w:line="240" w:lineRule="auto"/>
              <w:rPr>
                <w:rFonts w:ascii="Arial" w:eastAsia="Arial" w:hAnsi="Arial" w:cs="Arial"/>
                <w:sz w:val="18"/>
                <w:szCs w:val="18"/>
                <w:highlight w:val="yellow"/>
              </w:rPr>
            </w:pPr>
          </w:p>
        </w:tc>
      </w:tr>
      <w:tr w:rsidR="00A55577" w14:paraId="40F94247" w14:textId="77777777" w:rsidTr="00D71ECB">
        <w:trPr>
          <w:trHeight w:val="432"/>
        </w:trPr>
        <w:tc>
          <w:tcPr>
            <w:tcW w:w="534" w:type="dxa"/>
            <w:shd w:val="clear" w:color="auto" w:fill="auto"/>
          </w:tcPr>
          <w:p w14:paraId="40F94244" w14:textId="77777777" w:rsidR="00A55577" w:rsidRDefault="00A55577" w:rsidP="00A55577">
            <w:pPr>
              <w:spacing w:after="0" w:line="240" w:lineRule="auto"/>
              <w:rPr>
                <w:rFonts w:ascii="Arial" w:eastAsia="Arial" w:hAnsi="Arial" w:cs="Arial"/>
                <w:sz w:val="18"/>
                <w:szCs w:val="18"/>
              </w:rPr>
            </w:pPr>
            <w:r>
              <w:rPr>
                <w:rFonts w:ascii="Arial" w:eastAsia="Arial" w:hAnsi="Arial" w:cs="Arial"/>
                <w:sz w:val="18"/>
                <w:szCs w:val="18"/>
              </w:rPr>
              <w:t>1.5</w:t>
            </w:r>
          </w:p>
        </w:tc>
        <w:tc>
          <w:tcPr>
            <w:tcW w:w="1417" w:type="dxa"/>
            <w:tcBorders>
              <w:top w:val="single" w:sz="4" w:space="0" w:color="000000"/>
              <w:bottom w:val="single" w:sz="4" w:space="0" w:color="000000"/>
            </w:tcBorders>
            <w:shd w:val="clear" w:color="auto" w:fill="D9D9D9"/>
          </w:tcPr>
          <w:p w14:paraId="40F94245" w14:textId="77777777" w:rsidR="00A55577" w:rsidRDefault="00A55577" w:rsidP="00A55577">
            <w:pPr>
              <w:spacing w:after="0" w:line="240" w:lineRule="auto"/>
              <w:rPr>
                <w:rFonts w:ascii="Arial" w:eastAsia="Arial" w:hAnsi="Arial" w:cs="Arial"/>
                <w:sz w:val="18"/>
                <w:szCs w:val="18"/>
              </w:rPr>
            </w:pPr>
            <w:r>
              <w:rPr>
                <w:rFonts w:ascii="Arial" w:eastAsia="Arial" w:hAnsi="Arial" w:cs="Arial"/>
                <w:b/>
                <w:sz w:val="18"/>
                <w:szCs w:val="18"/>
              </w:rPr>
              <w:t>Denominator</w:t>
            </w:r>
          </w:p>
        </w:tc>
        <w:tc>
          <w:tcPr>
            <w:tcW w:w="7938" w:type="dxa"/>
          </w:tcPr>
          <w:p w14:paraId="40F94246" w14:textId="77777777" w:rsidR="00D71ECB" w:rsidRDefault="00D71ECB" w:rsidP="00D71ECB">
            <w:pPr>
              <w:spacing w:after="0" w:line="240" w:lineRule="auto"/>
              <w:rPr>
                <w:rFonts w:ascii="Arial" w:eastAsia="Arial" w:hAnsi="Arial" w:cs="Arial"/>
                <w:sz w:val="18"/>
                <w:szCs w:val="18"/>
              </w:rPr>
            </w:pPr>
            <w:r w:rsidRPr="00D71ECB">
              <w:rPr>
                <w:rFonts w:ascii="Arial" w:eastAsia="Arial" w:hAnsi="Arial" w:cs="Arial"/>
                <w:sz w:val="18"/>
                <w:szCs w:val="18"/>
              </w:rPr>
              <w:t>No. of patients prescribed a preventer i</w:t>
            </w:r>
            <w:r>
              <w:rPr>
                <w:rFonts w:ascii="Arial" w:eastAsia="Arial" w:hAnsi="Arial" w:cs="Arial"/>
                <w:sz w:val="18"/>
                <w:szCs w:val="18"/>
              </w:rPr>
              <w:t>nhaler (see numerator) but not an antimuscarinic (see numerator).</w:t>
            </w:r>
          </w:p>
        </w:tc>
      </w:tr>
      <w:tr w:rsidR="00A55577" w14:paraId="40F9424C" w14:textId="77777777" w:rsidTr="00A55577">
        <w:tc>
          <w:tcPr>
            <w:tcW w:w="534" w:type="dxa"/>
            <w:shd w:val="clear" w:color="auto" w:fill="auto"/>
          </w:tcPr>
          <w:p w14:paraId="40F94248" w14:textId="77777777" w:rsidR="00A55577" w:rsidRDefault="00A55577" w:rsidP="00A55577">
            <w:pPr>
              <w:spacing w:after="0" w:line="240" w:lineRule="auto"/>
              <w:rPr>
                <w:rFonts w:ascii="Arial" w:eastAsia="Arial" w:hAnsi="Arial" w:cs="Arial"/>
                <w:sz w:val="18"/>
                <w:szCs w:val="18"/>
              </w:rPr>
            </w:pPr>
            <w:r>
              <w:rPr>
                <w:rFonts w:ascii="Arial" w:eastAsia="Arial" w:hAnsi="Arial" w:cs="Arial"/>
                <w:sz w:val="18"/>
                <w:szCs w:val="18"/>
              </w:rPr>
              <w:t>1.6</w:t>
            </w:r>
          </w:p>
        </w:tc>
        <w:tc>
          <w:tcPr>
            <w:tcW w:w="1417" w:type="dxa"/>
            <w:tcBorders>
              <w:top w:val="single" w:sz="4" w:space="0" w:color="000000"/>
            </w:tcBorders>
            <w:shd w:val="clear" w:color="auto" w:fill="D9D9D9"/>
          </w:tcPr>
          <w:p w14:paraId="40F94249" w14:textId="77777777" w:rsidR="00A55577" w:rsidRDefault="00A55577" w:rsidP="00A55577">
            <w:pPr>
              <w:spacing w:after="0" w:line="240" w:lineRule="auto"/>
              <w:rPr>
                <w:rFonts w:ascii="Arial" w:eastAsia="Arial" w:hAnsi="Arial" w:cs="Arial"/>
                <w:sz w:val="18"/>
                <w:szCs w:val="18"/>
              </w:rPr>
            </w:pPr>
            <w:r>
              <w:rPr>
                <w:rFonts w:ascii="Arial" w:eastAsia="Arial" w:hAnsi="Arial" w:cs="Arial"/>
                <w:b/>
                <w:sz w:val="18"/>
                <w:szCs w:val="18"/>
              </w:rPr>
              <w:t>Methodology</w:t>
            </w:r>
          </w:p>
        </w:tc>
        <w:tc>
          <w:tcPr>
            <w:tcW w:w="7938" w:type="dxa"/>
          </w:tcPr>
          <w:p w14:paraId="40F9424A" w14:textId="77777777" w:rsidR="00A55577" w:rsidRDefault="00A55577" w:rsidP="00A55577">
            <w:pPr>
              <w:spacing w:after="0" w:line="240" w:lineRule="auto"/>
              <w:rPr>
                <w:rFonts w:ascii="Arial" w:eastAsia="Arial" w:hAnsi="Arial" w:cs="Arial"/>
                <w:sz w:val="18"/>
                <w:szCs w:val="18"/>
              </w:rPr>
            </w:pPr>
            <w:r>
              <w:rPr>
                <w:rFonts w:ascii="Arial" w:eastAsia="Arial" w:hAnsi="Arial" w:cs="Arial"/>
                <w:sz w:val="18"/>
                <w:szCs w:val="18"/>
              </w:rPr>
              <w:t>Numerator divided by denominator</w:t>
            </w:r>
            <w:r w:rsidR="00D71ECB">
              <w:rPr>
                <w:rFonts w:ascii="Arial" w:eastAsia="Arial" w:hAnsi="Arial" w:cs="Arial"/>
                <w:sz w:val="18"/>
                <w:szCs w:val="18"/>
              </w:rPr>
              <w:t>, presented as a percentage.</w:t>
            </w:r>
          </w:p>
          <w:p w14:paraId="40F9424B" w14:textId="77777777" w:rsidR="00A55577" w:rsidRDefault="00A55577" w:rsidP="00D71ECB">
            <w:pPr>
              <w:spacing w:after="0" w:line="240" w:lineRule="auto"/>
              <w:rPr>
                <w:rFonts w:ascii="Arial" w:eastAsia="Arial" w:hAnsi="Arial" w:cs="Arial"/>
                <w:sz w:val="18"/>
                <w:szCs w:val="18"/>
              </w:rPr>
            </w:pPr>
          </w:p>
        </w:tc>
      </w:tr>
      <w:tr w:rsidR="00A55577" w14:paraId="40F9424E" w14:textId="77777777" w:rsidTr="00A55577">
        <w:tc>
          <w:tcPr>
            <w:tcW w:w="9889" w:type="dxa"/>
            <w:gridSpan w:val="3"/>
            <w:shd w:val="clear" w:color="auto" w:fill="D9D9D9"/>
          </w:tcPr>
          <w:p w14:paraId="40F9424D" w14:textId="77777777" w:rsidR="00A55577" w:rsidRDefault="00A55577" w:rsidP="00A55577">
            <w:pPr>
              <w:spacing w:after="0" w:line="240" w:lineRule="auto"/>
              <w:rPr>
                <w:rFonts w:ascii="Arial" w:eastAsia="Arial" w:hAnsi="Arial" w:cs="Arial"/>
                <w:sz w:val="18"/>
                <w:szCs w:val="18"/>
                <w:highlight w:val="yellow"/>
              </w:rPr>
            </w:pPr>
            <w:r>
              <w:rPr>
                <w:rFonts w:ascii="Arial" w:eastAsia="Arial" w:hAnsi="Arial" w:cs="Arial"/>
                <w:b/>
                <w:sz w:val="18"/>
                <w:szCs w:val="18"/>
              </w:rPr>
              <w:t>Section 2: Rationale</w:t>
            </w:r>
          </w:p>
        </w:tc>
      </w:tr>
      <w:tr w:rsidR="00A55577" w14:paraId="40F94253" w14:textId="77777777" w:rsidTr="00D71ECB">
        <w:trPr>
          <w:trHeight w:val="774"/>
        </w:trPr>
        <w:tc>
          <w:tcPr>
            <w:tcW w:w="534" w:type="dxa"/>
            <w:shd w:val="clear" w:color="auto" w:fill="auto"/>
          </w:tcPr>
          <w:p w14:paraId="40F9424F" w14:textId="77777777" w:rsidR="00A55577" w:rsidRDefault="00A55577" w:rsidP="00A55577">
            <w:pPr>
              <w:spacing w:after="0" w:line="240" w:lineRule="auto"/>
              <w:rPr>
                <w:rFonts w:ascii="Arial" w:eastAsia="Arial" w:hAnsi="Arial" w:cs="Arial"/>
                <w:sz w:val="18"/>
                <w:szCs w:val="18"/>
              </w:rPr>
            </w:pPr>
            <w:r>
              <w:rPr>
                <w:rFonts w:ascii="Arial" w:eastAsia="Arial" w:hAnsi="Arial" w:cs="Arial"/>
                <w:sz w:val="18"/>
                <w:szCs w:val="18"/>
              </w:rPr>
              <w:t>2.1</w:t>
            </w:r>
          </w:p>
          <w:p w14:paraId="40F94250" w14:textId="77777777" w:rsidR="00A55577" w:rsidRDefault="00A55577" w:rsidP="00A55577">
            <w:pPr>
              <w:spacing w:after="0" w:line="240" w:lineRule="auto"/>
              <w:rPr>
                <w:rFonts w:ascii="Arial" w:eastAsia="Arial" w:hAnsi="Arial" w:cs="Arial"/>
                <w:sz w:val="18"/>
                <w:szCs w:val="18"/>
              </w:rPr>
            </w:pPr>
          </w:p>
        </w:tc>
        <w:tc>
          <w:tcPr>
            <w:tcW w:w="1417" w:type="dxa"/>
            <w:tcBorders>
              <w:bottom w:val="single" w:sz="4" w:space="0" w:color="000000"/>
            </w:tcBorders>
            <w:shd w:val="clear" w:color="auto" w:fill="D9D9D9"/>
          </w:tcPr>
          <w:p w14:paraId="40F94251" w14:textId="77777777" w:rsidR="00A55577" w:rsidRDefault="00A55577" w:rsidP="00A55577">
            <w:pPr>
              <w:spacing w:after="0" w:line="240" w:lineRule="auto"/>
              <w:rPr>
                <w:rFonts w:ascii="Arial" w:eastAsia="Arial" w:hAnsi="Arial" w:cs="Arial"/>
                <w:sz w:val="18"/>
                <w:szCs w:val="18"/>
              </w:rPr>
            </w:pPr>
            <w:r>
              <w:rPr>
                <w:rFonts w:ascii="Arial" w:eastAsia="Arial" w:hAnsi="Arial" w:cs="Arial"/>
                <w:b/>
                <w:sz w:val="18"/>
                <w:szCs w:val="18"/>
              </w:rPr>
              <w:t>Purpose</w:t>
            </w:r>
          </w:p>
        </w:tc>
        <w:tc>
          <w:tcPr>
            <w:tcW w:w="7938" w:type="dxa"/>
          </w:tcPr>
          <w:p w14:paraId="40F94252" w14:textId="77777777" w:rsidR="00A55577" w:rsidRDefault="00D71ECB" w:rsidP="00D71ECB">
            <w:pPr>
              <w:spacing w:after="0" w:line="240" w:lineRule="auto"/>
              <w:rPr>
                <w:rFonts w:ascii="Arial" w:eastAsia="Arial" w:hAnsi="Arial" w:cs="Arial"/>
                <w:sz w:val="18"/>
                <w:szCs w:val="18"/>
              </w:rPr>
            </w:pPr>
            <w:r w:rsidRPr="00D71ECB">
              <w:rPr>
                <w:rFonts w:ascii="Arial" w:eastAsia="Arial" w:hAnsi="Arial" w:cs="Arial"/>
                <w:sz w:val="18"/>
                <w:szCs w:val="18"/>
              </w:rPr>
              <w:t>The NRAD report highlighted that asthma patients who overused their SABA medication were at higher risk of death. This metric identifies patients who are potentially overusing SABA medication.</w:t>
            </w:r>
            <w:r>
              <w:rPr>
                <w:rFonts w:ascii="Arial" w:eastAsia="Arial" w:hAnsi="Arial" w:cs="Arial"/>
                <w:sz w:val="18"/>
                <w:szCs w:val="18"/>
              </w:rPr>
              <w:t xml:space="preserve"> </w:t>
            </w:r>
          </w:p>
        </w:tc>
      </w:tr>
      <w:tr w:rsidR="00A55577" w14:paraId="40F94258" w14:textId="77777777" w:rsidTr="00A55577">
        <w:tc>
          <w:tcPr>
            <w:tcW w:w="534" w:type="dxa"/>
            <w:shd w:val="clear" w:color="auto" w:fill="auto"/>
          </w:tcPr>
          <w:p w14:paraId="40F94254" w14:textId="77777777" w:rsidR="00A55577" w:rsidRDefault="00A55577" w:rsidP="00A55577">
            <w:pPr>
              <w:spacing w:after="0" w:line="240" w:lineRule="auto"/>
              <w:rPr>
                <w:rFonts w:ascii="Arial" w:eastAsia="Arial" w:hAnsi="Arial" w:cs="Arial"/>
                <w:sz w:val="18"/>
                <w:szCs w:val="18"/>
              </w:rPr>
            </w:pPr>
            <w:r>
              <w:rPr>
                <w:rFonts w:ascii="Arial" w:eastAsia="Arial" w:hAnsi="Arial" w:cs="Arial"/>
                <w:sz w:val="18"/>
                <w:szCs w:val="18"/>
              </w:rPr>
              <w:t>2.2</w:t>
            </w:r>
          </w:p>
          <w:p w14:paraId="40F94255" w14:textId="77777777" w:rsidR="00A55577" w:rsidRDefault="00A55577" w:rsidP="00A55577">
            <w:pPr>
              <w:spacing w:after="0" w:line="240" w:lineRule="auto"/>
              <w:rPr>
                <w:rFonts w:ascii="Arial" w:eastAsia="Arial" w:hAnsi="Arial" w:cs="Arial"/>
                <w:sz w:val="18"/>
                <w:szCs w:val="18"/>
              </w:rPr>
            </w:pPr>
          </w:p>
        </w:tc>
        <w:tc>
          <w:tcPr>
            <w:tcW w:w="1417" w:type="dxa"/>
            <w:tcBorders>
              <w:bottom w:val="single" w:sz="4" w:space="0" w:color="000000"/>
            </w:tcBorders>
            <w:shd w:val="clear" w:color="auto" w:fill="D9D9D9"/>
          </w:tcPr>
          <w:p w14:paraId="40F94256" w14:textId="77777777" w:rsidR="00A55577" w:rsidRDefault="00A55577" w:rsidP="00A55577">
            <w:pPr>
              <w:spacing w:after="0" w:line="240" w:lineRule="auto"/>
              <w:rPr>
                <w:rFonts w:ascii="Arial" w:eastAsia="Arial" w:hAnsi="Arial" w:cs="Arial"/>
                <w:sz w:val="18"/>
                <w:szCs w:val="18"/>
              </w:rPr>
            </w:pPr>
            <w:r>
              <w:rPr>
                <w:rFonts w:ascii="Arial" w:eastAsia="Arial" w:hAnsi="Arial" w:cs="Arial"/>
                <w:b/>
                <w:sz w:val="18"/>
                <w:szCs w:val="18"/>
              </w:rPr>
              <w:t>Evidence and Policy Base</w:t>
            </w:r>
          </w:p>
        </w:tc>
        <w:tc>
          <w:tcPr>
            <w:tcW w:w="7938" w:type="dxa"/>
          </w:tcPr>
          <w:p w14:paraId="40F94257" w14:textId="77777777" w:rsidR="00A55577" w:rsidRDefault="00A55577" w:rsidP="00A55577">
            <w:pPr>
              <w:rPr>
                <w:rFonts w:ascii="Arial" w:eastAsia="Arial" w:hAnsi="Arial" w:cs="Arial"/>
                <w:sz w:val="18"/>
                <w:szCs w:val="18"/>
              </w:rPr>
            </w:pPr>
          </w:p>
        </w:tc>
      </w:tr>
    </w:tbl>
    <w:p w14:paraId="40F94259" w14:textId="77777777" w:rsidR="005E3A7D" w:rsidRDefault="005E3A7D">
      <w:pPr>
        <w:rPr>
          <w:rFonts w:ascii="Arial" w:eastAsia="Arial" w:hAnsi="Arial" w:cs="Arial"/>
          <w:b/>
          <w:sz w:val="20"/>
          <w:szCs w:val="20"/>
        </w:rPr>
      </w:pPr>
    </w:p>
    <w:p w14:paraId="40F9425A" w14:textId="77777777" w:rsidR="00D71ECB" w:rsidRDefault="00D71ECB">
      <w:pPr>
        <w:rPr>
          <w:rFonts w:ascii="Arial" w:eastAsia="Arial" w:hAnsi="Arial" w:cs="Arial"/>
          <w:b/>
          <w:sz w:val="20"/>
          <w:szCs w:val="20"/>
        </w:rPr>
      </w:pPr>
      <w:r>
        <w:br w:type="page"/>
      </w:r>
    </w:p>
    <w:p w14:paraId="40F9425B" w14:textId="77777777" w:rsidR="00A55577" w:rsidRDefault="00D71ECB" w:rsidP="00A55577">
      <w:pPr>
        <w:pStyle w:val="Heading2"/>
      </w:pPr>
      <w:bookmarkStart w:id="31" w:name="_Toc89761267"/>
      <w:r w:rsidRPr="00D71ECB">
        <w:lastRenderedPageBreak/>
        <w:t>Patients on triple therapy</w:t>
      </w:r>
      <w:bookmarkEnd w:id="31"/>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417"/>
        <w:gridCol w:w="7938"/>
      </w:tblGrid>
      <w:tr w:rsidR="00A55577" w14:paraId="40F9425D" w14:textId="77777777" w:rsidTr="00A55577">
        <w:tc>
          <w:tcPr>
            <w:tcW w:w="9889" w:type="dxa"/>
            <w:gridSpan w:val="3"/>
            <w:shd w:val="clear" w:color="auto" w:fill="D9D9D9"/>
          </w:tcPr>
          <w:p w14:paraId="40F9425C" w14:textId="77777777" w:rsidR="00A55577" w:rsidRDefault="00A55577" w:rsidP="00A55577">
            <w:pPr>
              <w:spacing w:after="0" w:line="240" w:lineRule="auto"/>
              <w:rPr>
                <w:rFonts w:ascii="Arial" w:eastAsia="Arial" w:hAnsi="Arial" w:cs="Arial"/>
                <w:sz w:val="18"/>
                <w:szCs w:val="18"/>
                <w:highlight w:val="yellow"/>
              </w:rPr>
            </w:pPr>
            <w:r>
              <w:rPr>
                <w:rFonts w:ascii="Arial" w:eastAsia="Arial" w:hAnsi="Arial" w:cs="Arial"/>
                <w:b/>
                <w:sz w:val="18"/>
                <w:szCs w:val="18"/>
              </w:rPr>
              <w:t>Section 1: Introduction / Overview</w:t>
            </w:r>
          </w:p>
        </w:tc>
      </w:tr>
      <w:tr w:rsidR="00A55577" w14:paraId="40F94262" w14:textId="77777777" w:rsidTr="00A55577">
        <w:tc>
          <w:tcPr>
            <w:tcW w:w="534" w:type="dxa"/>
            <w:shd w:val="clear" w:color="auto" w:fill="auto"/>
          </w:tcPr>
          <w:p w14:paraId="40F9425E" w14:textId="77777777" w:rsidR="00A55577" w:rsidRDefault="00A55577" w:rsidP="00A55577">
            <w:pPr>
              <w:spacing w:after="0" w:line="240" w:lineRule="auto"/>
              <w:rPr>
                <w:rFonts w:ascii="Arial" w:eastAsia="Arial" w:hAnsi="Arial" w:cs="Arial"/>
                <w:sz w:val="18"/>
                <w:szCs w:val="18"/>
              </w:rPr>
            </w:pPr>
            <w:r>
              <w:rPr>
                <w:rFonts w:ascii="Arial" w:eastAsia="Arial" w:hAnsi="Arial" w:cs="Arial"/>
                <w:sz w:val="18"/>
                <w:szCs w:val="18"/>
              </w:rPr>
              <w:t>1.1</w:t>
            </w:r>
          </w:p>
          <w:p w14:paraId="40F9425F" w14:textId="77777777" w:rsidR="00A55577" w:rsidRDefault="00A55577" w:rsidP="00A55577">
            <w:pPr>
              <w:spacing w:after="0" w:line="240" w:lineRule="auto"/>
              <w:rPr>
                <w:rFonts w:ascii="Arial" w:eastAsia="Arial" w:hAnsi="Arial" w:cs="Arial"/>
                <w:sz w:val="18"/>
                <w:szCs w:val="18"/>
              </w:rPr>
            </w:pPr>
          </w:p>
        </w:tc>
        <w:tc>
          <w:tcPr>
            <w:tcW w:w="1417" w:type="dxa"/>
            <w:tcBorders>
              <w:bottom w:val="single" w:sz="4" w:space="0" w:color="000000"/>
            </w:tcBorders>
            <w:shd w:val="clear" w:color="auto" w:fill="D9D9D9"/>
          </w:tcPr>
          <w:p w14:paraId="40F94260" w14:textId="77777777" w:rsidR="00A55577" w:rsidRDefault="00A55577" w:rsidP="00A55577">
            <w:pPr>
              <w:spacing w:after="0" w:line="240" w:lineRule="auto"/>
              <w:rPr>
                <w:rFonts w:ascii="Arial" w:eastAsia="Arial" w:hAnsi="Arial" w:cs="Arial"/>
                <w:sz w:val="18"/>
                <w:szCs w:val="18"/>
              </w:rPr>
            </w:pPr>
            <w:r>
              <w:rPr>
                <w:rFonts w:ascii="Arial" w:eastAsia="Arial" w:hAnsi="Arial" w:cs="Arial"/>
                <w:b/>
                <w:sz w:val="18"/>
                <w:szCs w:val="18"/>
              </w:rPr>
              <w:t>Title</w:t>
            </w:r>
          </w:p>
        </w:tc>
        <w:tc>
          <w:tcPr>
            <w:tcW w:w="7938" w:type="dxa"/>
          </w:tcPr>
          <w:p w14:paraId="40F94261" w14:textId="77777777" w:rsidR="00A55577" w:rsidRDefault="00D71ECB" w:rsidP="00A55577">
            <w:pPr>
              <w:spacing w:after="0" w:line="240" w:lineRule="auto"/>
              <w:rPr>
                <w:rFonts w:ascii="Arial" w:eastAsia="Arial" w:hAnsi="Arial" w:cs="Arial"/>
                <w:sz w:val="18"/>
                <w:szCs w:val="18"/>
                <w:highlight w:val="yellow"/>
              </w:rPr>
            </w:pPr>
            <w:r w:rsidRPr="00D71ECB">
              <w:rPr>
                <w:rFonts w:ascii="Arial" w:eastAsia="Arial" w:hAnsi="Arial" w:cs="Arial"/>
                <w:sz w:val="18"/>
                <w:szCs w:val="18"/>
              </w:rPr>
              <w:t>Patients on triple therapy</w:t>
            </w:r>
          </w:p>
        </w:tc>
      </w:tr>
      <w:tr w:rsidR="00A55577" w14:paraId="40F94266" w14:textId="77777777" w:rsidTr="00A55577">
        <w:tc>
          <w:tcPr>
            <w:tcW w:w="534" w:type="dxa"/>
            <w:shd w:val="clear" w:color="auto" w:fill="auto"/>
          </w:tcPr>
          <w:p w14:paraId="40F94263" w14:textId="77777777" w:rsidR="00A55577" w:rsidRDefault="00A55577" w:rsidP="00A55577">
            <w:pPr>
              <w:spacing w:after="0" w:line="240" w:lineRule="auto"/>
              <w:rPr>
                <w:rFonts w:ascii="Arial" w:eastAsia="Arial" w:hAnsi="Arial" w:cs="Arial"/>
                <w:sz w:val="18"/>
                <w:szCs w:val="18"/>
              </w:rPr>
            </w:pPr>
            <w:r>
              <w:rPr>
                <w:rFonts w:ascii="Arial" w:eastAsia="Arial" w:hAnsi="Arial" w:cs="Arial"/>
                <w:sz w:val="18"/>
                <w:szCs w:val="18"/>
              </w:rPr>
              <w:t>1.2</w:t>
            </w:r>
          </w:p>
        </w:tc>
        <w:tc>
          <w:tcPr>
            <w:tcW w:w="1417" w:type="dxa"/>
            <w:tcBorders>
              <w:top w:val="single" w:sz="4" w:space="0" w:color="000000"/>
              <w:bottom w:val="single" w:sz="4" w:space="0" w:color="000000"/>
            </w:tcBorders>
            <w:shd w:val="clear" w:color="auto" w:fill="D9D9D9"/>
          </w:tcPr>
          <w:p w14:paraId="40F94264" w14:textId="77777777" w:rsidR="00A55577" w:rsidRDefault="00A55577" w:rsidP="00A55577">
            <w:pPr>
              <w:spacing w:after="0" w:line="240" w:lineRule="auto"/>
              <w:rPr>
                <w:rFonts w:ascii="Arial" w:eastAsia="Arial" w:hAnsi="Arial" w:cs="Arial"/>
                <w:sz w:val="18"/>
                <w:szCs w:val="18"/>
              </w:rPr>
            </w:pPr>
            <w:r>
              <w:rPr>
                <w:rFonts w:ascii="Arial" w:eastAsia="Arial" w:hAnsi="Arial" w:cs="Arial"/>
                <w:b/>
                <w:sz w:val="18"/>
                <w:szCs w:val="18"/>
              </w:rPr>
              <w:t>Definition</w:t>
            </w:r>
          </w:p>
        </w:tc>
        <w:tc>
          <w:tcPr>
            <w:tcW w:w="7938" w:type="dxa"/>
          </w:tcPr>
          <w:p w14:paraId="40F94265" w14:textId="77777777" w:rsidR="00A55577" w:rsidRDefault="00D71ECB" w:rsidP="00D71ECB">
            <w:pPr>
              <w:spacing w:after="0" w:line="240" w:lineRule="auto"/>
              <w:rPr>
                <w:rFonts w:ascii="Arial" w:eastAsia="Arial" w:hAnsi="Arial" w:cs="Arial"/>
                <w:sz w:val="18"/>
                <w:szCs w:val="18"/>
              </w:rPr>
            </w:pPr>
            <w:r>
              <w:rPr>
                <w:rFonts w:ascii="Arial" w:eastAsia="Arial" w:hAnsi="Arial" w:cs="Arial"/>
                <w:sz w:val="18"/>
                <w:szCs w:val="18"/>
              </w:rPr>
              <w:t>I</w:t>
            </w:r>
            <w:r w:rsidRPr="00D71ECB">
              <w:rPr>
                <w:rFonts w:ascii="Arial" w:eastAsia="Arial" w:hAnsi="Arial" w:cs="Arial"/>
                <w:sz w:val="18"/>
                <w:szCs w:val="18"/>
              </w:rPr>
              <w:t xml:space="preserve">dentifying the proportion of patients, receiving medication used to treat asthma/COPD, prescribed triple therapy based on receiving prescriptions for a combination of LAMA, LABA and ICS inhalers. </w:t>
            </w:r>
            <w:r>
              <w:rPr>
                <w:rFonts w:ascii="Arial" w:eastAsia="Arial" w:hAnsi="Arial" w:cs="Arial"/>
                <w:sz w:val="18"/>
                <w:szCs w:val="18"/>
              </w:rPr>
              <w:t xml:space="preserve"> </w:t>
            </w:r>
            <w:r w:rsidRPr="00D71ECB">
              <w:rPr>
                <w:rFonts w:ascii="Arial" w:eastAsia="Arial" w:hAnsi="Arial" w:cs="Arial"/>
                <w:sz w:val="18"/>
                <w:szCs w:val="18"/>
              </w:rPr>
              <w:t xml:space="preserve">Results presented for a </w:t>
            </w:r>
            <w:proofErr w:type="gramStart"/>
            <w:r w:rsidRPr="00D71ECB">
              <w:rPr>
                <w:rFonts w:ascii="Arial" w:eastAsia="Arial" w:hAnsi="Arial" w:cs="Arial"/>
                <w:sz w:val="18"/>
                <w:szCs w:val="18"/>
              </w:rPr>
              <w:t>12 month</w:t>
            </w:r>
            <w:proofErr w:type="gramEnd"/>
            <w:r w:rsidRPr="00D71ECB">
              <w:rPr>
                <w:rFonts w:ascii="Arial" w:eastAsia="Arial" w:hAnsi="Arial" w:cs="Arial"/>
                <w:sz w:val="18"/>
                <w:szCs w:val="18"/>
              </w:rPr>
              <w:t xml:space="preserve"> rolling period.</w:t>
            </w:r>
          </w:p>
        </w:tc>
      </w:tr>
      <w:tr w:rsidR="00A55577" w14:paraId="40F9426B" w14:textId="77777777" w:rsidTr="00A55577">
        <w:trPr>
          <w:trHeight w:val="420"/>
        </w:trPr>
        <w:tc>
          <w:tcPr>
            <w:tcW w:w="534" w:type="dxa"/>
            <w:shd w:val="clear" w:color="auto" w:fill="auto"/>
          </w:tcPr>
          <w:p w14:paraId="40F94267" w14:textId="77777777" w:rsidR="00A55577" w:rsidRDefault="00A55577" w:rsidP="00A55577">
            <w:pPr>
              <w:spacing w:after="0" w:line="240" w:lineRule="auto"/>
              <w:rPr>
                <w:rFonts w:ascii="Arial" w:eastAsia="Arial" w:hAnsi="Arial" w:cs="Arial"/>
                <w:sz w:val="18"/>
                <w:szCs w:val="18"/>
              </w:rPr>
            </w:pPr>
            <w:r>
              <w:rPr>
                <w:rFonts w:ascii="Arial" w:eastAsia="Arial" w:hAnsi="Arial" w:cs="Arial"/>
                <w:sz w:val="18"/>
                <w:szCs w:val="18"/>
              </w:rPr>
              <w:t>1.3</w:t>
            </w:r>
          </w:p>
        </w:tc>
        <w:tc>
          <w:tcPr>
            <w:tcW w:w="1417" w:type="dxa"/>
            <w:tcBorders>
              <w:top w:val="single" w:sz="4" w:space="0" w:color="000000"/>
              <w:bottom w:val="single" w:sz="4" w:space="0" w:color="000000"/>
            </w:tcBorders>
            <w:shd w:val="clear" w:color="auto" w:fill="D9D9D9"/>
          </w:tcPr>
          <w:p w14:paraId="40F94268" w14:textId="77777777" w:rsidR="00A55577" w:rsidRDefault="00A55577" w:rsidP="00A55577">
            <w:pPr>
              <w:spacing w:after="0" w:line="240" w:lineRule="auto"/>
              <w:rPr>
                <w:rFonts w:ascii="Arial" w:eastAsia="Arial" w:hAnsi="Arial" w:cs="Arial"/>
                <w:sz w:val="18"/>
                <w:szCs w:val="18"/>
              </w:rPr>
            </w:pPr>
            <w:r>
              <w:rPr>
                <w:rFonts w:ascii="Arial" w:eastAsia="Arial" w:hAnsi="Arial" w:cs="Arial"/>
                <w:b/>
                <w:sz w:val="18"/>
                <w:szCs w:val="18"/>
              </w:rPr>
              <w:t>Reporting Level</w:t>
            </w:r>
          </w:p>
        </w:tc>
        <w:tc>
          <w:tcPr>
            <w:tcW w:w="7938" w:type="dxa"/>
          </w:tcPr>
          <w:p w14:paraId="40F94269" w14:textId="77777777" w:rsidR="00A55577" w:rsidRDefault="00A55577" w:rsidP="00A55577">
            <w:pPr>
              <w:spacing w:after="0" w:line="240" w:lineRule="auto"/>
              <w:jc w:val="both"/>
              <w:rPr>
                <w:rFonts w:ascii="Arial" w:eastAsia="Arial" w:hAnsi="Arial" w:cs="Arial"/>
                <w:sz w:val="18"/>
                <w:szCs w:val="18"/>
              </w:rPr>
            </w:pPr>
            <w:r>
              <w:rPr>
                <w:rFonts w:ascii="Arial" w:eastAsia="Arial" w:hAnsi="Arial" w:cs="Arial"/>
                <w:sz w:val="18"/>
                <w:szCs w:val="18"/>
              </w:rPr>
              <w:t>Practice level (aggregated to CCG).</w:t>
            </w:r>
          </w:p>
          <w:p w14:paraId="40F9426A" w14:textId="77777777" w:rsidR="00A55577" w:rsidRDefault="00A55577" w:rsidP="00A55577">
            <w:pPr>
              <w:spacing w:after="0" w:line="240" w:lineRule="auto"/>
              <w:jc w:val="both"/>
              <w:rPr>
                <w:rFonts w:ascii="Arial" w:eastAsia="Arial" w:hAnsi="Arial" w:cs="Arial"/>
                <w:sz w:val="18"/>
                <w:szCs w:val="18"/>
                <w:highlight w:val="yellow"/>
              </w:rPr>
            </w:pPr>
          </w:p>
        </w:tc>
      </w:tr>
      <w:tr w:rsidR="00A55577" w14:paraId="40F94272" w14:textId="77777777" w:rsidTr="00A55577">
        <w:trPr>
          <w:trHeight w:val="780"/>
        </w:trPr>
        <w:tc>
          <w:tcPr>
            <w:tcW w:w="534" w:type="dxa"/>
            <w:shd w:val="clear" w:color="auto" w:fill="auto"/>
          </w:tcPr>
          <w:p w14:paraId="40F9426C" w14:textId="77777777" w:rsidR="00A55577" w:rsidRDefault="00A55577" w:rsidP="00A55577">
            <w:pPr>
              <w:spacing w:after="0" w:line="240" w:lineRule="auto"/>
              <w:rPr>
                <w:rFonts w:ascii="Arial" w:eastAsia="Arial" w:hAnsi="Arial" w:cs="Arial"/>
                <w:sz w:val="18"/>
                <w:szCs w:val="18"/>
              </w:rPr>
            </w:pPr>
            <w:r>
              <w:rPr>
                <w:rFonts w:ascii="Arial" w:eastAsia="Arial" w:hAnsi="Arial" w:cs="Arial"/>
                <w:sz w:val="18"/>
                <w:szCs w:val="18"/>
              </w:rPr>
              <w:t>1.4</w:t>
            </w:r>
          </w:p>
        </w:tc>
        <w:tc>
          <w:tcPr>
            <w:tcW w:w="1417" w:type="dxa"/>
            <w:tcBorders>
              <w:top w:val="single" w:sz="4" w:space="0" w:color="000000"/>
              <w:bottom w:val="single" w:sz="4" w:space="0" w:color="000000"/>
            </w:tcBorders>
            <w:shd w:val="clear" w:color="auto" w:fill="D9D9D9"/>
          </w:tcPr>
          <w:p w14:paraId="40F9426D" w14:textId="77777777" w:rsidR="00A55577" w:rsidRDefault="00A55577" w:rsidP="00A55577">
            <w:pPr>
              <w:spacing w:after="0" w:line="240" w:lineRule="auto"/>
              <w:rPr>
                <w:rFonts w:ascii="Arial" w:eastAsia="Arial" w:hAnsi="Arial" w:cs="Arial"/>
                <w:sz w:val="18"/>
                <w:szCs w:val="18"/>
              </w:rPr>
            </w:pPr>
            <w:r>
              <w:rPr>
                <w:rFonts w:ascii="Arial" w:eastAsia="Arial" w:hAnsi="Arial" w:cs="Arial"/>
                <w:b/>
                <w:sz w:val="18"/>
                <w:szCs w:val="18"/>
              </w:rPr>
              <w:t>Numerator</w:t>
            </w:r>
          </w:p>
        </w:tc>
        <w:tc>
          <w:tcPr>
            <w:tcW w:w="7938" w:type="dxa"/>
          </w:tcPr>
          <w:p w14:paraId="40F9426E" w14:textId="77777777" w:rsidR="00A55577" w:rsidRDefault="006D396C" w:rsidP="00A55577">
            <w:pPr>
              <w:spacing w:after="0" w:line="240" w:lineRule="auto"/>
              <w:rPr>
                <w:rFonts w:ascii="Arial" w:eastAsia="Arial" w:hAnsi="Arial" w:cs="Arial"/>
                <w:sz w:val="18"/>
                <w:szCs w:val="18"/>
              </w:rPr>
            </w:pPr>
            <w:r w:rsidRPr="006D396C">
              <w:rPr>
                <w:rFonts w:ascii="Arial" w:eastAsia="Arial" w:hAnsi="Arial" w:cs="Arial"/>
                <w:sz w:val="18"/>
                <w:szCs w:val="18"/>
              </w:rPr>
              <w:t xml:space="preserve">No. of patients receiving triple therapy (LAMA + LABA + ICS) within a </w:t>
            </w:r>
            <w:proofErr w:type="gramStart"/>
            <w:r w:rsidRPr="006D396C">
              <w:rPr>
                <w:rFonts w:ascii="Arial" w:eastAsia="Arial" w:hAnsi="Arial" w:cs="Arial"/>
                <w:sz w:val="18"/>
                <w:szCs w:val="18"/>
              </w:rPr>
              <w:t>12 month</w:t>
            </w:r>
            <w:proofErr w:type="gramEnd"/>
            <w:r w:rsidRPr="006D396C">
              <w:rPr>
                <w:rFonts w:ascii="Arial" w:eastAsia="Arial" w:hAnsi="Arial" w:cs="Arial"/>
                <w:sz w:val="18"/>
                <w:szCs w:val="18"/>
              </w:rPr>
              <w:t xml:space="preserve"> period. </w:t>
            </w:r>
          </w:p>
          <w:p w14:paraId="40F9426F" w14:textId="77777777" w:rsidR="006D396C" w:rsidRDefault="006D396C" w:rsidP="00A55577">
            <w:pPr>
              <w:spacing w:after="0" w:line="240" w:lineRule="auto"/>
              <w:rPr>
                <w:rFonts w:ascii="Arial" w:eastAsia="Arial" w:hAnsi="Arial" w:cs="Arial"/>
                <w:sz w:val="18"/>
                <w:szCs w:val="18"/>
              </w:rPr>
            </w:pPr>
          </w:p>
          <w:p w14:paraId="40F94270" w14:textId="77777777" w:rsidR="004177B1" w:rsidRDefault="009F5668" w:rsidP="00A55577">
            <w:pPr>
              <w:spacing w:after="0" w:line="240" w:lineRule="auto"/>
              <w:rPr>
                <w:rFonts w:ascii="Arial" w:eastAsia="Arial" w:hAnsi="Arial" w:cs="Arial"/>
                <w:color w:val="FF0000"/>
                <w:sz w:val="18"/>
                <w:szCs w:val="18"/>
              </w:rPr>
            </w:pPr>
            <w:r>
              <w:rPr>
                <w:rFonts w:ascii="Arial" w:eastAsia="Arial" w:hAnsi="Arial" w:cs="Arial"/>
                <w:sz w:val="18"/>
                <w:szCs w:val="18"/>
              </w:rPr>
              <w:t xml:space="preserve">Please refer to </w:t>
            </w:r>
            <w:r w:rsidRPr="001620B8">
              <w:rPr>
                <w:rFonts w:ascii="Arial" w:eastAsia="Arial" w:hAnsi="Arial" w:cs="Arial"/>
                <w:b/>
                <w:sz w:val="18"/>
                <w:szCs w:val="18"/>
              </w:rPr>
              <w:t>Appendix 2</w:t>
            </w:r>
            <w:r w:rsidR="00AE2A4F">
              <w:rPr>
                <w:rFonts w:ascii="Arial" w:eastAsia="Arial" w:hAnsi="Arial" w:cs="Arial"/>
                <w:b/>
                <w:sz w:val="18"/>
                <w:szCs w:val="18"/>
              </w:rPr>
              <w:t xml:space="preserve"> </w:t>
            </w:r>
            <w:r w:rsidR="00AE2A4F">
              <w:rPr>
                <w:rFonts w:ascii="Arial" w:eastAsia="Arial" w:hAnsi="Arial" w:cs="Arial"/>
                <w:sz w:val="18"/>
                <w:szCs w:val="18"/>
              </w:rPr>
              <w:t>(provided in a separate document)</w:t>
            </w:r>
            <w:r>
              <w:rPr>
                <w:rFonts w:ascii="Arial" w:eastAsia="Arial" w:hAnsi="Arial" w:cs="Arial"/>
                <w:sz w:val="18"/>
                <w:szCs w:val="18"/>
              </w:rPr>
              <w:t xml:space="preserve"> for the drug list for this numerator.</w:t>
            </w:r>
          </w:p>
          <w:p w14:paraId="40F94271" w14:textId="77777777" w:rsidR="00A55577" w:rsidRDefault="00A55577" w:rsidP="00A55577">
            <w:pPr>
              <w:spacing w:after="0" w:line="240" w:lineRule="auto"/>
              <w:rPr>
                <w:rFonts w:ascii="Arial" w:eastAsia="Arial" w:hAnsi="Arial" w:cs="Arial"/>
                <w:sz w:val="18"/>
                <w:szCs w:val="18"/>
                <w:highlight w:val="yellow"/>
              </w:rPr>
            </w:pPr>
          </w:p>
        </w:tc>
      </w:tr>
      <w:tr w:rsidR="00A55577" w14:paraId="40F94279" w14:textId="77777777" w:rsidTr="00A55577">
        <w:trPr>
          <w:trHeight w:val="820"/>
        </w:trPr>
        <w:tc>
          <w:tcPr>
            <w:tcW w:w="534" w:type="dxa"/>
            <w:shd w:val="clear" w:color="auto" w:fill="auto"/>
          </w:tcPr>
          <w:p w14:paraId="40F94273" w14:textId="77777777" w:rsidR="00A55577" w:rsidRDefault="00A55577" w:rsidP="00A55577">
            <w:pPr>
              <w:spacing w:after="0" w:line="240" w:lineRule="auto"/>
              <w:rPr>
                <w:rFonts w:ascii="Arial" w:eastAsia="Arial" w:hAnsi="Arial" w:cs="Arial"/>
                <w:sz w:val="18"/>
                <w:szCs w:val="18"/>
              </w:rPr>
            </w:pPr>
            <w:r>
              <w:rPr>
                <w:rFonts w:ascii="Arial" w:eastAsia="Arial" w:hAnsi="Arial" w:cs="Arial"/>
                <w:sz w:val="18"/>
                <w:szCs w:val="18"/>
              </w:rPr>
              <w:t>1.5</w:t>
            </w:r>
          </w:p>
        </w:tc>
        <w:tc>
          <w:tcPr>
            <w:tcW w:w="1417" w:type="dxa"/>
            <w:tcBorders>
              <w:top w:val="single" w:sz="4" w:space="0" w:color="000000"/>
              <w:bottom w:val="single" w:sz="4" w:space="0" w:color="000000"/>
            </w:tcBorders>
            <w:shd w:val="clear" w:color="auto" w:fill="D9D9D9"/>
          </w:tcPr>
          <w:p w14:paraId="40F94274" w14:textId="77777777" w:rsidR="00A55577" w:rsidRDefault="00A55577" w:rsidP="00A55577">
            <w:pPr>
              <w:spacing w:after="0" w:line="240" w:lineRule="auto"/>
              <w:rPr>
                <w:rFonts w:ascii="Arial" w:eastAsia="Arial" w:hAnsi="Arial" w:cs="Arial"/>
                <w:sz w:val="18"/>
                <w:szCs w:val="18"/>
              </w:rPr>
            </w:pPr>
            <w:r>
              <w:rPr>
                <w:rFonts w:ascii="Arial" w:eastAsia="Arial" w:hAnsi="Arial" w:cs="Arial"/>
                <w:b/>
                <w:sz w:val="18"/>
                <w:szCs w:val="18"/>
              </w:rPr>
              <w:t>Denominator</w:t>
            </w:r>
          </w:p>
        </w:tc>
        <w:tc>
          <w:tcPr>
            <w:tcW w:w="7938" w:type="dxa"/>
          </w:tcPr>
          <w:p w14:paraId="40F94275" w14:textId="77777777" w:rsidR="004177B1" w:rsidRDefault="004177B1" w:rsidP="001620B8">
            <w:pPr>
              <w:spacing w:after="0" w:line="240" w:lineRule="auto"/>
              <w:rPr>
                <w:rFonts w:ascii="Arial" w:eastAsia="Arial" w:hAnsi="Arial" w:cs="Arial"/>
                <w:sz w:val="18"/>
                <w:szCs w:val="18"/>
              </w:rPr>
            </w:pPr>
            <w:r w:rsidRPr="004177B1">
              <w:rPr>
                <w:rFonts w:ascii="Arial" w:hAnsi="Arial" w:cs="Arial"/>
                <w:sz w:val="18"/>
                <w:szCs w:val="21"/>
                <w:shd w:val="clear" w:color="auto" w:fill="FFFFFF"/>
              </w:rPr>
              <w:t>No. of patients receiving any medication used to treat asthma/COPD within the reported 12 month rolling period.</w:t>
            </w:r>
          </w:p>
          <w:p w14:paraId="40F94276" w14:textId="77777777" w:rsidR="00C45C63" w:rsidRDefault="00C45C63" w:rsidP="004177B1">
            <w:pPr>
              <w:spacing w:after="0"/>
              <w:rPr>
                <w:rFonts w:ascii="Arial" w:eastAsia="Arial" w:hAnsi="Arial" w:cs="Arial"/>
                <w:sz w:val="18"/>
                <w:szCs w:val="18"/>
              </w:rPr>
            </w:pPr>
          </w:p>
          <w:p w14:paraId="40F94277" w14:textId="77777777" w:rsidR="004177B1" w:rsidRDefault="00C45C63" w:rsidP="00A55577">
            <w:pPr>
              <w:spacing w:after="0" w:line="240" w:lineRule="auto"/>
              <w:rPr>
                <w:rFonts w:ascii="Arial" w:hAnsi="Arial" w:cs="Arial"/>
                <w:sz w:val="21"/>
                <w:szCs w:val="21"/>
                <w:shd w:val="clear" w:color="auto" w:fill="FFFFFF"/>
              </w:rPr>
            </w:pPr>
            <w:r>
              <w:rPr>
                <w:rFonts w:ascii="Arial" w:eastAsia="Arial" w:hAnsi="Arial" w:cs="Arial"/>
                <w:sz w:val="18"/>
                <w:szCs w:val="18"/>
              </w:rPr>
              <w:t xml:space="preserve">Please refer to </w:t>
            </w:r>
            <w:r w:rsidRPr="001620B8">
              <w:rPr>
                <w:rFonts w:ascii="Arial" w:eastAsia="Arial" w:hAnsi="Arial" w:cs="Arial"/>
                <w:b/>
                <w:sz w:val="18"/>
                <w:szCs w:val="18"/>
              </w:rPr>
              <w:t>Appendix 2</w:t>
            </w:r>
            <w:r w:rsidR="00AE2A4F">
              <w:rPr>
                <w:rFonts w:ascii="Arial" w:eastAsia="Arial" w:hAnsi="Arial" w:cs="Arial"/>
                <w:b/>
                <w:sz w:val="18"/>
                <w:szCs w:val="18"/>
              </w:rPr>
              <w:t xml:space="preserve"> </w:t>
            </w:r>
            <w:r w:rsidR="00AE2A4F">
              <w:rPr>
                <w:rFonts w:ascii="Arial" w:eastAsia="Arial" w:hAnsi="Arial" w:cs="Arial"/>
                <w:sz w:val="18"/>
                <w:szCs w:val="18"/>
              </w:rPr>
              <w:t>(provided in a separate document)</w:t>
            </w:r>
            <w:r>
              <w:rPr>
                <w:rFonts w:ascii="Arial" w:eastAsia="Arial" w:hAnsi="Arial" w:cs="Arial"/>
                <w:sz w:val="18"/>
                <w:szCs w:val="18"/>
              </w:rPr>
              <w:t xml:space="preserve"> for the drug list for this denominator.</w:t>
            </w:r>
          </w:p>
          <w:p w14:paraId="40F94278" w14:textId="77777777" w:rsidR="004177B1" w:rsidRDefault="004177B1" w:rsidP="00A55577">
            <w:pPr>
              <w:spacing w:after="0" w:line="240" w:lineRule="auto"/>
              <w:rPr>
                <w:rFonts w:ascii="Arial" w:eastAsia="Arial" w:hAnsi="Arial" w:cs="Arial"/>
                <w:sz w:val="18"/>
                <w:szCs w:val="18"/>
              </w:rPr>
            </w:pPr>
          </w:p>
        </w:tc>
      </w:tr>
      <w:tr w:rsidR="00A55577" w14:paraId="40F9427E" w14:textId="77777777" w:rsidTr="00A55577">
        <w:tc>
          <w:tcPr>
            <w:tcW w:w="534" w:type="dxa"/>
            <w:shd w:val="clear" w:color="auto" w:fill="auto"/>
          </w:tcPr>
          <w:p w14:paraId="40F9427A" w14:textId="77777777" w:rsidR="00A55577" w:rsidRDefault="00A55577" w:rsidP="00A55577">
            <w:pPr>
              <w:spacing w:after="0" w:line="240" w:lineRule="auto"/>
              <w:rPr>
                <w:rFonts w:ascii="Arial" w:eastAsia="Arial" w:hAnsi="Arial" w:cs="Arial"/>
                <w:sz w:val="18"/>
                <w:szCs w:val="18"/>
              </w:rPr>
            </w:pPr>
            <w:r>
              <w:rPr>
                <w:rFonts w:ascii="Arial" w:eastAsia="Arial" w:hAnsi="Arial" w:cs="Arial"/>
                <w:sz w:val="18"/>
                <w:szCs w:val="18"/>
              </w:rPr>
              <w:t>1.6</w:t>
            </w:r>
          </w:p>
        </w:tc>
        <w:tc>
          <w:tcPr>
            <w:tcW w:w="1417" w:type="dxa"/>
            <w:tcBorders>
              <w:top w:val="single" w:sz="4" w:space="0" w:color="000000"/>
            </w:tcBorders>
            <w:shd w:val="clear" w:color="auto" w:fill="D9D9D9"/>
          </w:tcPr>
          <w:p w14:paraId="40F9427B" w14:textId="77777777" w:rsidR="00A55577" w:rsidRDefault="00A55577" w:rsidP="00A55577">
            <w:pPr>
              <w:spacing w:after="0" w:line="240" w:lineRule="auto"/>
              <w:rPr>
                <w:rFonts w:ascii="Arial" w:eastAsia="Arial" w:hAnsi="Arial" w:cs="Arial"/>
                <w:sz w:val="18"/>
                <w:szCs w:val="18"/>
              </w:rPr>
            </w:pPr>
            <w:r>
              <w:rPr>
                <w:rFonts w:ascii="Arial" w:eastAsia="Arial" w:hAnsi="Arial" w:cs="Arial"/>
                <w:b/>
                <w:sz w:val="18"/>
                <w:szCs w:val="18"/>
              </w:rPr>
              <w:t>Methodology</w:t>
            </w:r>
          </w:p>
        </w:tc>
        <w:tc>
          <w:tcPr>
            <w:tcW w:w="7938" w:type="dxa"/>
          </w:tcPr>
          <w:p w14:paraId="40F9427C" w14:textId="77777777" w:rsidR="00A55577" w:rsidRDefault="00A55577" w:rsidP="004177B1">
            <w:pPr>
              <w:spacing w:after="0" w:line="240" w:lineRule="auto"/>
              <w:rPr>
                <w:rFonts w:ascii="Arial" w:eastAsia="Arial" w:hAnsi="Arial" w:cs="Arial"/>
                <w:sz w:val="18"/>
                <w:szCs w:val="18"/>
              </w:rPr>
            </w:pPr>
            <w:r>
              <w:rPr>
                <w:rFonts w:ascii="Arial" w:eastAsia="Arial" w:hAnsi="Arial" w:cs="Arial"/>
                <w:sz w:val="18"/>
                <w:szCs w:val="18"/>
              </w:rPr>
              <w:t>N</w:t>
            </w:r>
            <w:r w:rsidR="004177B1">
              <w:rPr>
                <w:rFonts w:ascii="Arial" w:eastAsia="Arial" w:hAnsi="Arial" w:cs="Arial"/>
                <w:sz w:val="18"/>
                <w:szCs w:val="18"/>
              </w:rPr>
              <w:t>umerator divided by denominator, reported as a percentage.</w:t>
            </w:r>
          </w:p>
          <w:p w14:paraId="40F9427D" w14:textId="77777777" w:rsidR="004177B1" w:rsidRDefault="004177B1" w:rsidP="004177B1">
            <w:pPr>
              <w:spacing w:after="0" w:line="240" w:lineRule="auto"/>
              <w:rPr>
                <w:rFonts w:ascii="Arial" w:eastAsia="Arial" w:hAnsi="Arial" w:cs="Arial"/>
                <w:sz w:val="18"/>
                <w:szCs w:val="18"/>
              </w:rPr>
            </w:pPr>
          </w:p>
        </w:tc>
      </w:tr>
      <w:tr w:rsidR="00A55577" w14:paraId="40F94280" w14:textId="77777777" w:rsidTr="00A55577">
        <w:tc>
          <w:tcPr>
            <w:tcW w:w="9889" w:type="dxa"/>
            <w:gridSpan w:val="3"/>
            <w:shd w:val="clear" w:color="auto" w:fill="D9D9D9"/>
          </w:tcPr>
          <w:p w14:paraId="40F9427F" w14:textId="77777777" w:rsidR="00A55577" w:rsidRDefault="00A55577" w:rsidP="00A55577">
            <w:pPr>
              <w:spacing w:after="0" w:line="240" w:lineRule="auto"/>
              <w:rPr>
                <w:rFonts w:ascii="Arial" w:eastAsia="Arial" w:hAnsi="Arial" w:cs="Arial"/>
                <w:sz w:val="18"/>
                <w:szCs w:val="18"/>
                <w:highlight w:val="yellow"/>
              </w:rPr>
            </w:pPr>
            <w:r>
              <w:rPr>
                <w:rFonts w:ascii="Arial" w:eastAsia="Arial" w:hAnsi="Arial" w:cs="Arial"/>
                <w:b/>
                <w:sz w:val="18"/>
                <w:szCs w:val="18"/>
              </w:rPr>
              <w:t>Section 2: Rationale</w:t>
            </w:r>
          </w:p>
        </w:tc>
      </w:tr>
      <w:tr w:rsidR="00A55577" w14:paraId="40F94285" w14:textId="77777777" w:rsidTr="004177B1">
        <w:trPr>
          <w:trHeight w:val="641"/>
        </w:trPr>
        <w:tc>
          <w:tcPr>
            <w:tcW w:w="534" w:type="dxa"/>
            <w:shd w:val="clear" w:color="auto" w:fill="auto"/>
          </w:tcPr>
          <w:p w14:paraId="40F94281" w14:textId="77777777" w:rsidR="00A55577" w:rsidRDefault="00A55577" w:rsidP="00A55577">
            <w:pPr>
              <w:spacing w:after="0" w:line="240" w:lineRule="auto"/>
              <w:rPr>
                <w:rFonts w:ascii="Arial" w:eastAsia="Arial" w:hAnsi="Arial" w:cs="Arial"/>
                <w:sz w:val="18"/>
                <w:szCs w:val="18"/>
              </w:rPr>
            </w:pPr>
            <w:r>
              <w:rPr>
                <w:rFonts w:ascii="Arial" w:eastAsia="Arial" w:hAnsi="Arial" w:cs="Arial"/>
                <w:sz w:val="18"/>
                <w:szCs w:val="18"/>
              </w:rPr>
              <w:t>2.1</w:t>
            </w:r>
          </w:p>
          <w:p w14:paraId="40F94282" w14:textId="77777777" w:rsidR="00A55577" w:rsidRDefault="00A55577" w:rsidP="00A55577">
            <w:pPr>
              <w:spacing w:after="0" w:line="240" w:lineRule="auto"/>
              <w:rPr>
                <w:rFonts w:ascii="Arial" w:eastAsia="Arial" w:hAnsi="Arial" w:cs="Arial"/>
                <w:sz w:val="18"/>
                <w:szCs w:val="18"/>
              </w:rPr>
            </w:pPr>
          </w:p>
        </w:tc>
        <w:tc>
          <w:tcPr>
            <w:tcW w:w="1417" w:type="dxa"/>
            <w:tcBorders>
              <w:bottom w:val="single" w:sz="4" w:space="0" w:color="000000"/>
            </w:tcBorders>
            <w:shd w:val="clear" w:color="auto" w:fill="D9D9D9"/>
          </w:tcPr>
          <w:p w14:paraId="40F94283" w14:textId="77777777" w:rsidR="00A55577" w:rsidRDefault="00A55577" w:rsidP="00A55577">
            <w:pPr>
              <w:spacing w:after="0" w:line="240" w:lineRule="auto"/>
              <w:rPr>
                <w:rFonts w:ascii="Arial" w:eastAsia="Arial" w:hAnsi="Arial" w:cs="Arial"/>
                <w:sz w:val="18"/>
                <w:szCs w:val="18"/>
              </w:rPr>
            </w:pPr>
            <w:r>
              <w:rPr>
                <w:rFonts w:ascii="Arial" w:eastAsia="Arial" w:hAnsi="Arial" w:cs="Arial"/>
                <w:b/>
                <w:sz w:val="18"/>
                <w:szCs w:val="18"/>
              </w:rPr>
              <w:t>Purpose</w:t>
            </w:r>
          </w:p>
        </w:tc>
        <w:tc>
          <w:tcPr>
            <w:tcW w:w="7938" w:type="dxa"/>
          </w:tcPr>
          <w:p w14:paraId="40F94284" w14:textId="77777777" w:rsidR="00A55577" w:rsidRDefault="004177B1" w:rsidP="00A55577">
            <w:pPr>
              <w:spacing w:after="0" w:line="240" w:lineRule="auto"/>
              <w:rPr>
                <w:rFonts w:ascii="Arial" w:eastAsia="Arial" w:hAnsi="Arial" w:cs="Arial"/>
                <w:sz w:val="18"/>
                <w:szCs w:val="18"/>
              </w:rPr>
            </w:pPr>
            <w:r w:rsidRPr="004177B1">
              <w:rPr>
                <w:rFonts w:ascii="Arial" w:eastAsia="Arial" w:hAnsi="Arial" w:cs="Arial"/>
                <w:sz w:val="18"/>
                <w:szCs w:val="18"/>
              </w:rPr>
              <w:t>Triple therapy is the lowest value intervention according to the value pyramid developed by the London Respiratory Network. For both COPD and asthma, patients receiving triple therapy should be reviewed at least annually with a view to stepping down treatment</w:t>
            </w:r>
            <w:r>
              <w:rPr>
                <w:rFonts w:ascii="Arial" w:eastAsia="Arial" w:hAnsi="Arial" w:cs="Arial"/>
                <w:sz w:val="18"/>
                <w:szCs w:val="18"/>
              </w:rPr>
              <w:t>.</w:t>
            </w:r>
          </w:p>
        </w:tc>
      </w:tr>
      <w:tr w:rsidR="00A55577" w14:paraId="40F9428A" w14:textId="77777777" w:rsidTr="00A55577">
        <w:tc>
          <w:tcPr>
            <w:tcW w:w="534" w:type="dxa"/>
            <w:shd w:val="clear" w:color="auto" w:fill="auto"/>
          </w:tcPr>
          <w:p w14:paraId="40F94286" w14:textId="77777777" w:rsidR="00A55577" w:rsidRDefault="00A55577" w:rsidP="00A55577">
            <w:pPr>
              <w:spacing w:after="0" w:line="240" w:lineRule="auto"/>
              <w:rPr>
                <w:rFonts w:ascii="Arial" w:eastAsia="Arial" w:hAnsi="Arial" w:cs="Arial"/>
                <w:sz w:val="18"/>
                <w:szCs w:val="18"/>
              </w:rPr>
            </w:pPr>
            <w:r>
              <w:rPr>
                <w:rFonts w:ascii="Arial" w:eastAsia="Arial" w:hAnsi="Arial" w:cs="Arial"/>
                <w:sz w:val="18"/>
                <w:szCs w:val="18"/>
              </w:rPr>
              <w:t>2.2</w:t>
            </w:r>
          </w:p>
          <w:p w14:paraId="40F94287" w14:textId="77777777" w:rsidR="00A55577" w:rsidRDefault="00A55577" w:rsidP="00A55577">
            <w:pPr>
              <w:spacing w:after="0" w:line="240" w:lineRule="auto"/>
              <w:rPr>
                <w:rFonts w:ascii="Arial" w:eastAsia="Arial" w:hAnsi="Arial" w:cs="Arial"/>
                <w:sz w:val="18"/>
                <w:szCs w:val="18"/>
              </w:rPr>
            </w:pPr>
          </w:p>
        </w:tc>
        <w:tc>
          <w:tcPr>
            <w:tcW w:w="1417" w:type="dxa"/>
            <w:tcBorders>
              <w:bottom w:val="single" w:sz="4" w:space="0" w:color="000000"/>
            </w:tcBorders>
            <w:shd w:val="clear" w:color="auto" w:fill="D9D9D9"/>
          </w:tcPr>
          <w:p w14:paraId="40F94288" w14:textId="77777777" w:rsidR="00A55577" w:rsidRDefault="00A55577" w:rsidP="00A55577">
            <w:pPr>
              <w:spacing w:after="0" w:line="240" w:lineRule="auto"/>
              <w:rPr>
                <w:rFonts w:ascii="Arial" w:eastAsia="Arial" w:hAnsi="Arial" w:cs="Arial"/>
                <w:sz w:val="18"/>
                <w:szCs w:val="18"/>
              </w:rPr>
            </w:pPr>
            <w:r>
              <w:rPr>
                <w:rFonts w:ascii="Arial" w:eastAsia="Arial" w:hAnsi="Arial" w:cs="Arial"/>
                <w:b/>
                <w:sz w:val="18"/>
                <w:szCs w:val="18"/>
              </w:rPr>
              <w:t>Evidence and Policy Base</w:t>
            </w:r>
          </w:p>
        </w:tc>
        <w:tc>
          <w:tcPr>
            <w:tcW w:w="7938" w:type="dxa"/>
          </w:tcPr>
          <w:p w14:paraId="40F94289" w14:textId="77777777" w:rsidR="00A55577" w:rsidRDefault="00A55577" w:rsidP="00A55577">
            <w:pPr>
              <w:rPr>
                <w:rFonts w:ascii="Arial" w:eastAsia="Arial" w:hAnsi="Arial" w:cs="Arial"/>
                <w:sz w:val="18"/>
                <w:szCs w:val="18"/>
              </w:rPr>
            </w:pPr>
          </w:p>
        </w:tc>
      </w:tr>
    </w:tbl>
    <w:p w14:paraId="40F9428B" w14:textId="77777777" w:rsidR="00366A50" w:rsidRDefault="00366A50">
      <w:pPr>
        <w:rPr>
          <w:sz w:val="24"/>
        </w:rPr>
      </w:pPr>
    </w:p>
    <w:p w14:paraId="40F942C1" w14:textId="7384BB6D" w:rsidR="008C348E" w:rsidRDefault="00366A50" w:rsidP="008A7769">
      <w:r>
        <w:rPr>
          <w:sz w:val="24"/>
        </w:rPr>
        <w:br w:type="page"/>
      </w:r>
    </w:p>
    <w:p w14:paraId="40F94325" w14:textId="77777777" w:rsidR="00810077" w:rsidRPr="005E3A7D" w:rsidRDefault="00855C24" w:rsidP="005E3A7D">
      <w:pPr>
        <w:pStyle w:val="Heading2"/>
        <w:rPr>
          <w:b w:val="0"/>
          <w:color w:val="0000FF"/>
          <w:sz w:val="18"/>
          <w:szCs w:val="18"/>
          <w:u w:val="single"/>
        </w:rPr>
      </w:pPr>
      <w:bookmarkStart w:id="32" w:name="_Toc89761268"/>
      <w:r w:rsidRPr="005E3A7D">
        <w:rPr>
          <w:sz w:val="24"/>
        </w:rPr>
        <w:lastRenderedPageBreak/>
        <w:t>Appendix 1</w:t>
      </w:r>
      <w:bookmarkEnd w:id="32"/>
    </w:p>
    <w:p w14:paraId="40F94326" w14:textId="77777777" w:rsidR="00810077" w:rsidRDefault="00855C24">
      <w:pPr>
        <w:pStyle w:val="Heading2"/>
      </w:pPr>
      <w:bookmarkStart w:id="33" w:name="_Toc89761269"/>
      <w:r>
        <w:rPr>
          <w:b w:val="0"/>
        </w:rPr>
        <w:t>Working group</w:t>
      </w:r>
      <w:r>
        <w:t>:</w:t>
      </w:r>
      <w:bookmarkEnd w:id="33"/>
    </w:p>
    <w:tbl>
      <w:tblPr>
        <w:tblStyle w:val="LightList-Accent6"/>
        <w:tblpPr w:leftFromText="180" w:rightFromText="180" w:vertAnchor="page" w:horzAnchor="margin" w:tblpY="2245"/>
        <w:tblW w:w="485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000" w:firstRow="0" w:lastRow="0" w:firstColumn="0" w:lastColumn="0" w:noHBand="0" w:noVBand="0"/>
      </w:tblPr>
      <w:tblGrid>
        <w:gridCol w:w="2058"/>
        <w:gridCol w:w="3075"/>
        <w:gridCol w:w="4196"/>
      </w:tblGrid>
      <w:tr w:rsidR="00093242" w:rsidRPr="00093242" w14:paraId="40F9432A" w14:textId="77777777" w:rsidTr="00093242">
        <w:trPr>
          <w:cnfStyle w:val="000000100000" w:firstRow="0" w:lastRow="0" w:firstColumn="0" w:lastColumn="0" w:oddVBand="0" w:evenVBand="0" w:oddHBand="1" w:evenHBand="0" w:firstRowFirstColumn="0" w:firstRowLastColumn="0" w:lastRowFirstColumn="0" w:lastRowLastColumn="0"/>
          <w:trHeight w:val="317"/>
        </w:trPr>
        <w:tc>
          <w:tcPr>
            <w:cnfStyle w:val="000010000000" w:firstRow="0" w:lastRow="0" w:firstColumn="0" w:lastColumn="0" w:oddVBand="1" w:evenVBand="0" w:oddHBand="0" w:evenHBand="0" w:firstRowFirstColumn="0" w:firstRowLastColumn="0" w:lastRowFirstColumn="0" w:lastRowLastColumn="0"/>
            <w:tcW w:w="1103" w:type="pct"/>
            <w:tcBorders>
              <w:top w:val="none" w:sz="0" w:space="0" w:color="auto"/>
              <w:left w:val="none" w:sz="0" w:space="0" w:color="auto"/>
              <w:bottom w:val="none" w:sz="0" w:space="0" w:color="auto"/>
              <w:right w:val="none" w:sz="0" w:space="0" w:color="auto"/>
            </w:tcBorders>
            <w:shd w:val="clear" w:color="auto" w:fill="548DD4" w:themeFill="text2" w:themeFillTint="99"/>
          </w:tcPr>
          <w:p w14:paraId="40F94327" w14:textId="77777777" w:rsidR="00E71972" w:rsidRPr="00093242" w:rsidRDefault="00E71972" w:rsidP="00E71972">
            <w:pPr>
              <w:rPr>
                <w:rFonts w:ascii="Arial" w:eastAsia="Arial" w:hAnsi="Arial" w:cs="Arial"/>
                <w:sz w:val="24"/>
                <w:szCs w:val="24"/>
              </w:rPr>
            </w:pPr>
            <w:bookmarkStart w:id="34" w:name="_3o7alnk" w:colFirst="0" w:colLast="0"/>
            <w:bookmarkEnd w:id="34"/>
            <w:r w:rsidRPr="00093242">
              <w:rPr>
                <w:rFonts w:ascii="Arial" w:eastAsia="Arial" w:hAnsi="Arial" w:cs="Arial"/>
                <w:b/>
                <w:sz w:val="24"/>
                <w:szCs w:val="24"/>
              </w:rPr>
              <w:t>Name</w:t>
            </w:r>
          </w:p>
        </w:tc>
        <w:tc>
          <w:tcPr>
            <w:tcW w:w="1648" w:type="pct"/>
            <w:tcBorders>
              <w:top w:val="none" w:sz="0" w:space="0" w:color="auto"/>
              <w:bottom w:val="none" w:sz="0" w:space="0" w:color="auto"/>
            </w:tcBorders>
            <w:shd w:val="clear" w:color="auto" w:fill="548DD4" w:themeFill="text2" w:themeFillTint="99"/>
          </w:tcPr>
          <w:p w14:paraId="40F94328" w14:textId="77777777" w:rsidR="00E71972" w:rsidRPr="00093242" w:rsidRDefault="00E71972" w:rsidP="00E71972">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093242">
              <w:rPr>
                <w:rFonts w:ascii="Arial" w:eastAsia="Arial" w:hAnsi="Arial" w:cs="Arial"/>
                <w:b/>
                <w:sz w:val="24"/>
                <w:szCs w:val="24"/>
              </w:rPr>
              <w:t>Organisation</w:t>
            </w:r>
          </w:p>
        </w:tc>
        <w:tc>
          <w:tcPr>
            <w:cnfStyle w:val="000010000000" w:firstRow="0" w:lastRow="0" w:firstColumn="0" w:lastColumn="0" w:oddVBand="1" w:evenVBand="0" w:oddHBand="0" w:evenHBand="0" w:firstRowFirstColumn="0" w:firstRowLastColumn="0" w:lastRowFirstColumn="0" w:lastRowLastColumn="0"/>
            <w:tcW w:w="2249" w:type="pct"/>
            <w:tcBorders>
              <w:top w:val="none" w:sz="0" w:space="0" w:color="auto"/>
              <w:left w:val="none" w:sz="0" w:space="0" w:color="auto"/>
              <w:bottom w:val="none" w:sz="0" w:space="0" w:color="auto"/>
              <w:right w:val="none" w:sz="0" w:space="0" w:color="auto"/>
            </w:tcBorders>
            <w:shd w:val="clear" w:color="auto" w:fill="548DD4" w:themeFill="text2" w:themeFillTint="99"/>
          </w:tcPr>
          <w:p w14:paraId="40F94329" w14:textId="77777777" w:rsidR="00E71972" w:rsidRPr="00093242" w:rsidRDefault="00E71972" w:rsidP="00E71972">
            <w:pPr>
              <w:rPr>
                <w:rFonts w:ascii="Arial" w:eastAsia="Arial" w:hAnsi="Arial" w:cs="Arial"/>
                <w:b/>
                <w:sz w:val="24"/>
                <w:szCs w:val="24"/>
              </w:rPr>
            </w:pPr>
            <w:r w:rsidRPr="00093242">
              <w:rPr>
                <w:rFonts w:ascii="Arial" w:eastAsia="Arial" w:hAnsi="Arial" w:cs="Arial"/>
                <w:b/>
                <w:sz w:val="24"/>
                <w:szCs w:val="24"/>
              </w:rPr>
              <w:t>Role</w:t>
            </w:r>
          </w:p>
        </w:tc>
      </w:tr>
      <w:tr w:rsidR="00E71972" w14:paraId="40F9432E" w14:textId="77777777" w:rsidTr="00093242">
        <w:trPr>
          <w:trHeight w:val="440"/>
        </w:trPr>
        <w:tc>
          <w:tcPr>
            <w:cnfStyle w:val="000010000000" w:firstRow="0" w:lastRow="0" w:firstColumn="0" w:lastColumn="0" w:oddVBand="1" w:evenVBand="0" w:oddHBand="0" w:evenHBand="0" w:firstRowFirstColumn="0" w:firstRowLastColumn="0" w:lastRowFirstColumn="0" w:lastRowLastColumn="0"/>
            <w:tcW w:w="1103" w:type="pct"/>
            <w:tcBorders>
              <w:left w:val="none" w:sz="0" w:space="0" w:color="auto"/>
              <w:right w:val="none" w:sz="0" w:space="0" w:color="auto"/>
            </w:tcBorders>
          </w:tcPr>
          <w:p w14:paraId="40F9432B" w14:textId="77777777" w:rsidR="00E71972" w:rsidRPr="008B67A8" w:rsidRDefault="00E71972" w:rsidP="00E71972">
            <w:pPr>
              <w:rPr>
                <w:rFonts w:ascii="Arial" w:hAnsi="Arial" w:cs="Arial"/>
              </w:rPr>
            </w:pPr>
            <w:r w:rsidRPr="008B67A8">
              <w:rPr>
                <w:rFonts w:ascii="Arial" w:hAnsi="Arial" w:cs="Arial"/>
              </w:rPr>
              <w:t>Paul Davies</w:t>
            </w:r>
          </w:p>
        </w:tc>
        <w:tc>
          <w:tcPr>
            <w:tcW w:w="1648" w:type="pct"/>
          </w:tcPr>
          <w:p w14:paraId="40F9432C" w14:textId="77777777" w:rsidR="00E71972" w:rsidRPr="008B67A8" w:rsidRDefault="00E71972" w:rsidP="00E7197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B67A8">
              <w:rPr>
                <w:rFonts w:ascii="Arial" w:hAnsi="Arial" w:cs="Arial"/>
              </w:rPr>
              <w:t>NHS</w:t>
            </w:r>
            <w:r>
              <w:rPr>
                <w:rFonts w:ascii="Arial" w:hAnsi="Arial" w:cs="Arial"/>
              </w:rPr>
              <w:t xml:space="preserve"> </w:t>
            </w:r>
            <w:r w:rsidRPr="008B67A8">
              <w:rPr>
                <w:rFonts w:ascii="Arial" w:hAnsi="Arial" w:cs="Arial"/>
              </w:rPr>
              <w:t>BSA</w:t>
            </w:r>
          </w:p>
        </w:tc>
        <w:tc>
          <w:tcPr>
            <w:cnfStyle w:val="000010000000" w:firstRow="0" w:lastRow="0" w:firstColumn="0" w:lastColumn="0" w:oddVBand="1" w:evenVBand="0" w:oddHBand="0" w:evenHBand="0" w:firstRowFirstColumn="0" w:firstRowLastColumn="0" w:lastRowFirstColumn="0" w:lastRowLastColumn="0"/>
            <w:tcW w:w="2249" w:type="pct"/>
            <w:tcBorders>
              <w:left w:val="none" w:sz="0" w:space="0" w:color="auto"/>
              <w:right w:val="none" w:sz="0" w:space="0" w:color="auto"/>
            </w:tcBorders>
          </w:tcPr>
          <w:p w14:paraId="40F9432D" w14:textId="77777777" w:rsidR="00E71972" w:rsidRPr="008B67A8" w:rsidRDefault="00E27AA0" w:rsidP="00E71972">
            <w:pPr>
              <w:rPr>
                <w:rFonts w:ascii="Arial" w:hAnsi="Arial" w:cs="Arial"/>
              </w:rPr>
            </w:pPr>
            <w:r>
              <w:rPr>
                <w:rFonts w:ascii="Arial" w:hAnsi="Arial" w:cs="Arial"/>
              </w:rPr>
              <w:t>Senior Innovation and Delivery Partner (Medicines)</w:t>
            </w:r>
          </w:p>
        </w:tc>
      </w:tr>
      <w:tr w:rsidR="00093242" w14:paraId="40F94332" w14:textId="77777777" w:rsidTr="00093242">
        <w:trPr>
          <w:cnfStyle w:val="000000100000" w:firstRow="0" w:lastRow="0" w:firstColumn="0" w:lastColumn="0" w:oddVBand="0" w:evenVBand="0" w:oddHBand="1" w:evenHBand="0"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1103" w:type="pct"/>
            <w:tcBorders>
              <w:top w:val="none" w:sz="0" w:space="0" w:color="auto"/>
              <w:left w:val="none" w:sz="0" w:space="0" w:color="auto"/>
              <w:bottom w:val="none" w:sz="0" w:space="0" w:color="auto"/>
              <w:right w:val="none" w:sz="0" w:space="0" w:color="auto"/>
            </w:tcBorders>
            <w:shd w:val="clear" w:color="auto" w:fill="DBE5F1" w:themeFill="accent1" w:themeFillTint="33"/>
          </w:tcPr>
          <w:p w14:paraId="40F9432F" w14:textId="77777777" w:rsidR="00E71972" w:rsidRPr="00795552" w:rsidRDefault="00E71972" w:rsidP="00E71972">
            <w:pPr>
              <w:rPr>
                <w:rFonts w:ascii="Arial" w:hAnsi="Arial" w:cs="Arial"/>
              </w:rPr>
            </w:pPr>
            <w:r>
              <w:rPr>
                <w:rFonts w:ascii="Arial" w:hAnsi="Arial" w:cs="Arial"/>
              </w:rPr>
              <w:t>Charlene Kirk</w:t>
            </w:r>
          </w:p>
        </w:tc>
        <w:tc>
          <w:tcPr>
            <w:tcW w:w="1648" w:type="pct"/>
            <w:tcBorders>
              <w:top w:val="none" w:sz="0" w:space="0" w:color="auto"/>
              <w:bottom w:val="none" w:sz="0" w:space="0" w:color="auto"/>
            </w:tcBorders>
            <w:shd w:val="clear" w:color="auto" w:fill="DBE5F1" w:themeFill="accent1" w:themeFillTint="33"/>
          </w:tcPr>
          <w:p w14:paraId="40F94330" w14:textId="77777777" w:rsidR="00E71972" w:rsidRPr="00795552" w:rsidRDefault="00E71972" w:rsidP="00E7197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NHS BSA</w:t>
            </w:r>
          </w:p>
        </w:tc>
        <w:tc>
          <w:tcPr>
            <w:cnfStyle w:val="000010000000" w:firstRow="0" w:lastRow="0" w:firstColumn="0" w:lastColumn="0" w:oddVBand="1" w:evenVBand="0" w:oddHBand="0" w:evenHBand="0" w:firstRowFirstColumn="0" w:firstRowLastColumn="0" w:lastRowFirstColumn="0" w:lastRowLastColumn="0"/>
            <w:tcW w:w="2249" w:type="pct"/>
            <w:tcBorders>
              <w:top w:val="none" w:sz="0" w:space="0" w:color="auto"/>
              <w:left w:val="none" w:sz="0" w:space="0" w:color="auto"/>
              <w:bottom w:val="none" w:sz="0" w:space="0" w:color="auto"/>
              <w:right w:val="none" w:sz="0" w:space="0" w:color="auto"/>
            </w:tcBorders>
            <w:shd w:val="clear" w:color="auto" w:fill="DBE5F1" w:themeFill="accent1" w:themeFillTint="33"/>
          </w:tcPr>
          <w:p w14:paraId="40F94331" w14:textId="77777777" w:rsidR="00E71972" w:rsidRPr="00795552" w:rsidRDefault="00E71972" w:rsidP="00E71972">
            <w:pPr>
              <w:rPr>
                <w:rFonts w:ascii="Arial" w:hAnsi="Arial" w:cs="Arial"/>
              </w:rPr>
            </w:pPr>
            <w:r>
              <w:rPr>
                <w:rFonts w:ascii="Arial" w:hAnsi="Arial" w:cs="Arial"/>
              </w:rPr>
              <w:t>Assistant Business Lead Pacific Programme</w:t>
            </w:r>
          </w:p>
        </w:tc>
      </w:tr>
      <w:tr w:rsidR="00E71972" w14:paraId="40F94336" w14:textId="77777777" w:rsidTr="00093242">
        <w:trPr>
          <w:trHeight w:val="440"/>
        </w:trPr>
        <w:tc>
          <w:tcPr>
            <w:cnfStyle w:val="000010000000" w:firstRow="0" w:lastRow="0" w:firstColumn="0" w:lastColumn="0" w:oddVBand="1" w:evenVBand="0" w:oddHBand="0" w:evenHBand="0" w:firstRowFirstColumn="0" w:firstRowLastColumn="0" w:lastRowFirstColumn="0" w:lastRowLastColumn="0"/>
            <w:tcW w:w="1103" w:type="pct"/>
            <w:tcBorders>
              <w:left w:val="none" w:sz="0" w:space="0" w:color="auto"/>
              <w:right w:val="none" w:sz="0" w:space="0" w:color="auto"/>
            </w:tcBorders>
          </w:tcPr>
          <w:p w14:paraId="40F94333" w14:textId="77777777" w:rsidR="00E71972" w:rsidRPr="00795552" w:rsidRDefault="00E71972" w:rsidP="00E71972">
            <w:pPr>
              <w:rPr>
                <w:rFonts w:ascii="Arial" w:hAnsi="Arial" w:cs="Arial"/>
              </w:rPr>
            </w:pPr>
            <w:r w:rsidRPr="00795552">
              <w:rPr>
                <w:rFonts w:ascii="Arial" w:hAnsi="Arial" w:cs="Arial"/>
              </w:rPr>
              <w:t>Margaret Dockey</w:t>
            </w:r>
          </w:p>
        </w:tc>
        <w:tc>
          <w:tcPr>
            <w:tcW w:w="1648" w:type="pct"/>
          </w:tcPr>
          <w:p w14:paraId="40F94334" w14:textId="77777777" w:rsidR="00E71972" w:rsidRPr="00795552" w:rsidRDefault="00E71972" w:rsidP="00E7197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5552">
              <w:rPr>
                <w:rFonts w:ascii="Arial" w:hAnsi="Arial" w:cs="Arial"/>
              </w:rPr>
              <w:t>NHS</w:t>
            </w:r>
            <w:r>
              <w:rPr>
                <w:rFonts w:ascii="Arial" w:hAnsi="Arial" w:cs="Arial"/>
              </w:rPr>
              <w:t xml:space="preserve"> </w:t>
            </w:r>
            <w:r w:rsidRPr="00795552">
              <w:rPr>
                <w:rFonts w:ascii="Arial" w:hAnsi="Arial" w:cs="Arial"/>
              </w:rPr>
              <w:t>BSA</w:t>
            </w:r>
          </w:p>
        </w:tc>
        <w:tc>
          <w:tcPr>
            <w:cnfStyle w:val="000010000000" w:firstRow="0" w:lastRow="0" w:firstColumn="0" w:lastColumn="0" w:oddVBand="1" w:evenVBand="0" w:oddHBand="0" w:evenHBand="0" w:firstRowFirstColumn="0" w:firstRowLastColumn="0" w:lastRowFirstColumn="0" w:lastRowLastColumn="0"/>
            <w:tcW w:w="2249" w:type="pct"/>
            <w:tcBorders>
              <w:left w:val="none" w:sz="0" w:space="0" w:color="auto"/>
              <w:right w:val="none" w:sz="0" w:space="0" w:color="auto"/>
            </w:tcBorders>
          </w:tcPr>
          <w:p w14:paraId="40F94335" w14:textId="77777777" w:rsidR="00E71972" w:rsidRPr="00795552" w:rsidRDefault="00E71972" w:rsidP="00E71972">
            <w:pPr>
              <w:rPr>
                <w:rFonts w:ascii="Arial" w:hAnsi="Arial" w:cs="Arial"/>
              </w:rPr>
            </w:pPr>
            <w:r w:rsidRPr="00795552">
              <w:rPr>
                <w:rFonts w:ascii="Arial" w:hAnsi="Arial" w:cs="Arial"/>
              </w:rPr>
              <w:t>Prescribing Information Services Manager</w:t>
            </w:r>
          </w:p>
        </w:tc>
      </w:tr>
      <w:tr w:rsidR="00093242" w14:paraId="40F9433A" w14:textId="77777777" w:rsidTr="00093242">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1103" w:type="pct"/>
            <w:tcBorders>
              <w:top w:val="none" w:sz="0" w:space="0" w:color="auto"/>
              <w:left w:val="none" w:sz="0" w:space="0" w:color="auto"/>
              <w:bottom w:val="none" w:sz="0" w:space="0" w:color="auto"/>
              <w:right w:val="none" w:sz="0" w:space="0" w:color="auto"/>
            </w:tcBorders>
            <w:shd w:val="clear" w:color="auto" w:fill="DBE5F1" w:themeFill="accent1" w:themeFillTint="33"/>
          </w:tcPr>
          <w:p w14:paraId="40F94337" w14:textId="77777777" w:rsidR="00E71972" w:rsidRPr="00651971" w:rsidRDefault="00E71972" w:rsidP="00E71972">
            <w:pPr>
              <w:rPr>
                <w:rFonts w:ascii="Arial" w:hAnsi="Arial" w:cs="Arial"/>
              </w:rPr>
            </w:pPr>
            <w:r w:rsidRPr="00651971">
              <w:rPr>
                <w:rFonts w:ascii="Arial" w:hAnsi="Arial" w:cs="Arial"/>
              </w:rPr>
              <w:t>Mike Morgan</w:t>
            </w:r>
          </w:p>
        </w:tc>
        <w:tc>
          <w:tcPr>
            <w:tcW w:w="1648" w:type="pct"/>
            <w:tcBorders>
              <w:top w:val="none" w:sz="0" w:space="0" w:color="auto"/>
              <w:bottom w:val="none" w:sz="0" w:space="0" w:color="auto"/>
            </w:tcBorders>
            <w:shd w:val="clear" w:color="auto" w:fill="DBE5F1" w:themeFill="accent1" w:themeFillTint="33"/>
          </w:tcPr>
          <w:p w14:paraId="40F94338" w14:textId="77777777" w:rsidR="00E71972" w:rsidRPr="00795552" w:rsidRDefault="00E71972" w:rsidP="00E7197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NHS England</w:t>
            </w:r>
          </w:p>
        </w:tc>
        <w:tc>
          <w:tcPr>
            <w:cnfStyle w:val="000010000000" w:firstRow="0" w:lastRow="0" w:firstColumn="0" w:lastColumn="0" w:oddVBand="1" w:evenVBand="0" w:oddHBand="0" w:evenHBand="0" w:firstRowFirstColumn="0" w:firstRowLastColumn="0" w:lastRowFirstColumn="0" w:lastRowLastColumn="0"/>
            <w:tcW w:w="2249" w:type="pct"/>
            <w:tcBorders>
              <w:top w:val="none" w:sz="0" w:space="0" w:color="auto"/>
              <w:left w:val="none" w:sz="0" w:space="0" w:color="auto"/>
              <w:bottom w:val="none" w:sz="0" w:space="0" w:color="auto"/>
              <w:right w:val="none" w:sz="0" w:space="0" w:color="auto"/>
            </w:tcBorders>
            <w:shd w:val="clear" w:color="auto" w:fill="DBE5F1" w:themeFill="accent1" w:themeFillTint="33"/>
          </w:tcPr>
          <w:p w14:paraId="40F94339" w14:textId="77777777" w:rsidR="00E71972" w:rsidRPr="00181A9D" w:rsidRDefault="00E71972" w:rsidP="00E71972">
            <w:pPr>
              <w:rPr>
                <w:rFonts w:ascii="Arial" w:hAnsi="Arial" w:cs="Arial"/>
                <w:highlight w:val="yellow"/>
              </w:rPr>
            </w:pPr>
            <w:r w:rsidRPr="00797D04">
              <w:rPr>
                <w:rFonts w:ascii="Arial" w:hAnsi="Arial" w:cs="Arial"/>
              </w:rPr>
              <w:t>Respiratory National Clinical Director</w:t>
            </w:r>
          </w:p>
        </w:tc>
      </w:tr>
      <w:tr w:rsidR="00E71972" w14:paraId="40F9433E" w14:textId="77777777" w:rsidTr="00093242">
        <w:trPr>
          <w:trHeight w:val="440"/>
        </w:trPr>
        <w:tc>
          <w:tcPr>
            <w:cnfStyle w:val="000010000000" w:firstRow="0" w:lastRow="0" w:firstColumn="0" w:lastColumn="0" w:oddVBand="1" w:evenVBand="0" w:oddHBand="0" w:evenHBand="0" w:firstRowFirstColumn="0" w:firstRowLastColumn="0" w:lastRowFirstColumn="0" w:lastRowLastColumn="0"/>
            <w:tcW w:w="1103" w:type="pct"/>
            <w:tcBorders>
              <w:left w:val="none" w:sz="0" w:space="0" w:color="auto"/>
              <w:right w:val="none" w:sz="0" w:space="0" w:color="auto"/>
            </w:tcBorders>
          </w:tcPr>
          <w:p w14:paraId="40F9433B" w14:textId="77777777" w:rsidR="00E71972" w:rsidRPr="00795552" w:rsidRDefault="00E71972" w:rsidP="00E71972">
            <w:pPr>
              <w:rPr>
                <w:rFonts w:ascii="Arial" w:hAnsi="Arial" w:cs="Arial"/>
                <w:i/>
              </w:rPr>
            </w:pPr>
            <w:r w:rsidRPr="00795552">
              <w:rPr>
                <w:rFonts w:ascii="Arial" w:hAnsi="Arial" w:cs="Arial"/>
              </w:rPr>
              <w:t>Jonathan Underhill</w:t>
            </w:r>
          </w:p>
        </w:tc>
        <w:tc>
          <w:tcPr>
            <w:tcW w:w="1648" w:type="pct"/>
          </w:tcPr>
          <w:p w14:paraId="40F9433C" w14:textId="77777777" w:rsidR="00E71972" w:rsidRPr="00795552" w:rsidRDefault="00E71972" w:rsidP="00E7197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5552">
              <w:rPr>
                <w:rFonts w:ascii="Arial" w:hAnsi="Arial" w:cs="Arial"/>
              </w:rPr>
              <w:t>NICE</w:t>
            </w:r>
          </w:p>
        </w:tc>
        <w:tc>
          <w:tcPr>
            <w:cnfStyle w:val="000010000000" w:firstRow="0" w:lastRow="0" w:firstColumn="0" w:lastColumn="0" w:oddVBand="1" w:evenVBand="0" w:oddHBand="0" w:evenHBand="0" w:firstRowFirstColumn="0" w:firstRowLastColumn="0" w:lastRowFirstColumn="0" w:lastRowLastColumn="0"/>
            <w:tcW w:w="2249" w:type="pct"/>
            <w:tcBorders>
              <w:left w:val="none" w:sz="0" w:space="0" w:color="auto"/>
              <w:right w:val="none" w:sz="0" w:space="0" w:color="auto"/>
            </w:tcBorders>
          </w:tcPr>
          <w:p w14:paraId="40F9433D" w14:textId="77777777" w:rsidR="00E71972" w:rsidRPr="00181A9D" w:rsidRDefault="00E71972" w:rsidP="00E71972">
            <w:pPr>
              <w:rPr>
                <w:rFonts w:ascii="Arial" w:hAnsi="Arial" w:cs="Arial"/>
                <w:highlight w:val="yellow"/>
              </w:rPr>
            </w:pPr>
            <w:r w:rsidRPr="00E566FA">
              <w:rPr>
                <w:rFonts w:ascii="Arial" w:hAnsi="Arial" w:cs="Arial"/>
              </w:rPr>
              <w:t>Associate Director for Medicines Evidence</w:t>
            </w:r>
          </w:p>
        </w:tc>
      </w:tr>
      <w:tr w:rsidR="00093242" w14:paraId="40F94342" w14:textId="77777777" w:rsidTr="00093242">
        <w:trPr>
          <w:cnfStyle w:val="000000100000" w:firstRow="0" w:lastRow="0" w:firstColumn="0" w:lastColumn="0" w:oddVBand="0" w:evenVBand="0" w:oddHBand="1" w:evenHBand="0" w:firstRowFirstColumn="0" w:firstRowLastColumn="0" w:lastRowFirstColumn="0" w:lastRowLastColumn="0"/>
          <w:trHeight w:val="620"/>
        </w:trPr>
        <w:tc>
          <w:tcPr>
            <w:cnfStyle w:val="000010000000" w:firstRow="0" w:lastRow="0" w:firstColumn="0" w:lastColumn="0" w:oddVBand="1" w:evenVBand="0" w:oddHBand="0" w:evenHBand="0" w:firstRowFirstColumn="0" w:firstRowLastColumn="0" w:lastRowFirstColumn="0" w:lastRowLastColumn="0"/>
            <w:tcW w:w="1103" w:type="pct"/>
            <w:tcBorders>
              <w:top w:val="none" w:sz="0" w:space="0" w:color="auto"/>
              <w:left w:val="none" w:sz="0" w:space="0" w:color="auto"/>
              <w:bottom w:val="none" w:sz="0" w:space="0" w:color="auto"/>
              <w:right w:val="none" w:sz="0" w:space="0" w:color="auto"/>
            </w:tcBorders>
            <w:shd w:val="clear" w:color="auto" w:fill="DBE5F1" w:themeFill="accent1" w:themeFillTint="33"/>
          </w:tcPr>
          <w:p w14:paraId="40F9433F" w14:textId="77777777" w:rsidR="00E71972" w:rsidRPr="00795552" w:rsidRDefault="00E71972" w:rsidP="00E71972">
            <w:pPr>
              <w:rPr>
                <w:rFonts w:ascii="Arial" w:hAnsi="Arial" w:cs="Arial"/>
              </w:rPr>
            </w:pPr>
            <w:r>
              <w:rPr>
                <w:rFonts w:ascii="Arial" w:hAnsi="Arial" w:cs="Arial"/>
              </w:rPr>
              <w:t xml:space="preserve">Jas </w:t>
            </w:r>
            <w:proofErr w:type="spellStart"/>
            <w:r>
              <w:rPr>
                <w:rFonts w:ascii="Arial" w:hAnsi="Arial" w:cs="Arial"/>
              </w:rPr>
              <w:t>Khambh</w:t>
            </w:r>
            <w:proofErr w:type="spellEnd"/>
          </w:p>
        </w:tc>
        <w:tc>
          <w:tcPr>
            <w:tcW w:w="1648" w:type="pct"/>
            <w:tcBorders>
              <w:top w:val="none" w:sz="0" w:space="0" w:color="auto"/>
              <w:bottom w:val="none" w:sz="0" w:space="0" w:color="auto"/>
            </w:tcBorders>
            <w:shd w:val="clear" w:color="auto" w:fill="DBE5F1" w:themeFill="accent1" w:themeFillTint="33"/>
          </w:tcPr>
          <w:p w14:paraId="40F94340" w14:textId="77777777" w:rsidR="00E71972" w:rsidRPr="00795552" w:rsidRDefault="00E71972" w:rsidP="00E7197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NHS England </w:t>
            </w:r>
            <w:r w:rsidRPr="00795552">
              <w:rPr>
                <w:rFonts w:ascii="Arial" w:hAnsi="Arial" w:cs="Arial"/>
              </w:rPr>
              <w:t xml:space="preserve">(RightCare) </w:t>
            </w:r>
          </w:p>
        </w:tc>
        <w:tc>
          <w:tcPr>
            <w:cnfStyle w:val="000010000000" w:firstRow="0" w:lastRow="0" w:firstColumn="0" w:lastColumn="0" w:oddVBand="1" w:evenVBand="0" w:oddHBand="0" w:evenHBand="0" w:firstRowFirstColumn="0" w:firstRowLastColumn="0" w:lastRowFirstColumn="0" w:lastRowLastColumn="0"/>
            <w:tcW w:w="2249" w:type="pct"/>
            <w:tcBorders>
              <w:top w:val="none" w:sz="0" w:space="0" w:color="auto"/>
              <w:left w:val="none" w:sz="0" w:space="0" w:color="auto"/>
              <w:bottom w:val="none" w:sz="0" w:space="0" w:color="auto"/>
              <w:right w:val="none" w:sz="0" w:space="0" w:color="auto"/>
            </w:tcBorders>
            <w:shd w:val="clear" w:color="auto" w:fill="DBE5F1" w:themeFill="accent1" w:themeFillTint="33"/>
          </w:tcPr>
          <w:p w14:paraId="40F94341" w14:textId="77777777" w:rsidR="00E71972" w:rsidRDefault="00E71972" w:rsidP="00E71972">
            <w:pPr>
              <w:rPr>
                <w:rFonts w:ascii="Arial" w:hAnsi="Arial" w:cs="Arial"/>
              </w:rPr>
            </w:pPr>
            <w:r>
              <w:rPr>
                <w:rFonts w:ascii="Arial" w:hAnsi="Arial" w:cs="Arial"/>
              </w:rPr>
              <w:t>Pharmacy Advisor</w:t>
            </w:r>
          </w:p>
        </w:tc>
      </w:tr>
      <w:tr w:rsidR="00E71972" w14:paraId="40F94347" w14:textId="77777777" w:rsidTr="00093242">
        <w:trPr>
          <w:trHeight w:val="440"/>
        </w:trPr>
        <w:tc>
          <w:tcPr>
            <w:cnfStyle w:val="000010000000" w:firstRow="0" w:lastRow="0" w:firstColumn="0" w:lastColumn="0" w:oddVBand="1" w:evenVBand="0" w:oddHBand="0" w:evenHBand="0" w:firstRowFirstColumn="0" w:firstRowLastColumn="0" w:lastRowFirstColumn="0" w:lastRowLastColumn="0"/>
            <w:tcW w:w="1103" w:type="pct"/>
            <w:tcBorders>
              <w:left w:val="none" w:sz="0" w:space="0" w:color="auto"/>
              <w:right w:val="none" w:sz="0" w:space="0" w:color="auto"/>
            </w:tcBorders>
          </w:tcPr>
          <w:p w14:paraId="40F94343" w14:textId="77777777" w:rsidR="00E71972" w:rsidRPr="00795552" w:rsidRDefault="00E71972" w:rsidP="00E71972">
            <w:pPr>
              <w:rPr>
                <w:rFonts w:ascii="Arial" w:hAnsi="Arial" w:cs="Arial"/>
              </w:rPr>
            </w:pPr>
            <w:r>
              <w:rPr>
                <w:rFonts w:ascii="Arial" w:hAnsi="Arial" w:cs="Arial"/>
              </w:rPr>
              <w:t>Sue Hart</w:t>
            </w:r>
          </w:p>
        </w:tc>
        <w:tc>
          <w:tcPr>
            <w:tcW w:w="1648" w:type="pct"/>
          </w:tcPr>
          <w:p w14:paraId="40F94344" w14:textId="77777777" w:rsidR="00E71972" w:rsidRPr="00795552" w:rsidRDefault="00E71972" w:rsidP="00E7197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AHSN for </w:t>
            </w:r>
            <w:proofErr w:type="gramStart"/>
            <w:r>
              <w:rPr>
                <w:rFonts w:ascii="Arial" w:hAnsi="Arial" w:cs="Arial"/>
              </w:rPr>
              <w:t>North East</w:t>
            </w:r>
            <w:proofErr w:type="gramEnd"/>
            <w:r>
              <w:rPr>
                <w:rFonts w:ascii="Arial" w:hAnsi="Arial" w:cs="Arial"/>
              </w:rPr>
              <w:t xml:space="preserve"> and North Cumbria</w:t>
            </w:r>
          </w:p>
        </w:tc>
        <w:tc>
          <w:tcPr>
            <w:cnfStyle w:val="000010000000" w:firstRow="0" w:lastRow="0" w:firstColumn="0" w:lastColumn="0" w:oddVBand="1" w:evenVBand="0" w:oddHBand="0" w:evenHBand="0" w:firstRowFirstColumn="0" w:firstRowLastColumn="0" w:lastRowFirstColumn="0" w:lastRowLastColumn="0"/>
            <w:tcW w:w="2249" w:type="pct"/>
            <w:tcBorders>
              <w:left w:val="none" w:sz="0" w:space="0" w:color="auto"/>
              <w:right w:val="none" w:sz="0" w:space="0" w:color="auto"/>
            </w:tcBorders>
          </w:tcPr>
          <w:p w14:paraId="40F94345" w14:textId="77777777" w:rsidR="00E71972" w:rsidRDefault="00E71972" w:rsidP="00E71972">
            <w:pPr>
              <w:rPr>
                <w:rFonts w:ascii="Arial" w:hAnsi="Arial" w:cs="Arial"/>
              </w:rPr>
            </w:pPr>
            <w:r>
              <w:rPr>
                <w:rFonts w:ascii="Arial" w:hAnsi="Arial" w:cs="Arial"/>
              </w:rPr>
              <w:t>Respiratory Programme Lead</w:t>
            </w:r>
          </w:p>
          <w:p w14:paraId="40F94346" w14:textId="77777777" w:rsidR="00E71972" w:rsidRDefault="00E71972" w:rsidP="00E71972">
            <w:pPr>
              <w:rPr>
                <w:rFonts w:ascii="Arial" w:hAnsi="Arial" w:cs="Arial"/>
              </w:rPr>
            </w:pPr>
          </w:p>
        </w:tc>
      </w:tr>
      <w:tr w:rsidR="00093242" w14:paraId="40F9434B" w14:textId="77777777" w:rsidTr="00093242">
        <w:trPr>
          <w:cnfStyle w:val="000000100000" w:firstRow="0" w:lastRow="0" w:firstColumn="0" w:lastColumn="0" w:oddVBand="0" w:evenVBand="0" w:oddHBand="1" w:evenHBand="0"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1103" w:type="pct"/>
            <w:tcBorders>
              <w:top w:val="none" w:sz="0" w:space="0" w:color="auto"/>
              <w:left w:val="none" w:sz="0" w:space="0" w:color="auto"/>
              <w:bottom w:val="none" w:sz="0" w:space="0" w:color="auto"/>
              <w:right w:val="none" w:sz="0" w:space="0" w:color="auto"/>
            </w:tcBorders>
            <w:shd w:val="clear" w:color="auto" w:fill="DBE5F1" w:themeFill="accent1" w:themeFillTint="33"/>
          </w:tcPr>
          <w:p w14:paraId="40F94348" w14:textId="77777777" w:rsidR="00E71972" w:rsidRDefault="00E71972" w:rsidP="00E71972">
            <w:pPr>
              <w:rPr>
                <w:rFonts w:ascii="Arial" w:hAnsi="Arial" w:cs="Arial"/>
              </w:rPr>
            </w:pPr>
            <w:r>
              <w:rPr>
                <w:rFonts w:ascii="Arial" w:hAnsi="Arial" w:cs="Arial"/>
              </w:rPr>
              <w:t>Anna Murphy</w:t>
            </w:r>
          </w:p>
        </w:tc>
        <w:tc>
          <w:tcPr>
            <w:tcW w:w="1648" w:type="pct"/>
            <w:tcBorders>
              <w:top w:val="none" w:sz="0" w:space="0" w:color="auto"/>
              <w:bottom w:val="none" w:sz="0" w:space="0" w:color="auto"/>
            </w:tcBorders>
            <w:shd w:val="clear" w:color="auto" w:fill="DBE5F1" w:themeFill="accent1" w:themeFillTint="33"/>
          </w:tcPr>
          <w:p w14:paraId="40F94349" w14:textId="77777777" w:rsidR="00E71972" w:rsidRDefault="00E71972" w:rsidP="00E7197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University Hospitals of Leicester NHS Trust</w:t>
            </w:r>
          </w:p>
        </w:tc>
        <w:tc>
          <w:tcPr>
            <w:cnfStyle w:val="000010000000" w:firstRow="0" w:lastRow="0" w:firstColumn="0" w:lastColumn="0" w:oddVBand="1" w:evenVBand="0" w:oddHBand="0" w:evenHBand="0" w:firstRowFirstColumn="0" w:firstRowLastColumn="0" w:lastRowFirstColumn="0" w:lastRowLastColumn="0"/>
            <w:tcW w:w="2249" w:type="pct"/>
            <w:tcBorders>
              <w:top w:val="none" w:sz="0" w:space="0" w:color="auto"/>
              <w:left w:val="none" w:sz="0" w:space="0" w:color="auto"/>
              <w:bottom w:val="none" w:sz="0" w:space="0" w:color="auto"/>
              <w:right w:val="none" w:sz="0" w:space="0" w:color="auto"/>
            </w:tcBorders>
            <w:shd w:val="clear" w:color="auto" w:fill="DBE5F1" w:themeFill="accent1" w:themeFillTint="33"/>
          </w:tcPr>
          <w:p w14:paraId="40F9434A" w14:textId="77777777" w:rsidR="00E71972" w:rsidRDefault="00E71972" w:rsidP="00E71972">
            <w:pPr>
              <w:rPr>
                <w:rFonts w:ascii="Arial" w:hAnsi="Arial" w:cs="Arial"/>
              </w:rPr>
            </w:pPr>
            <w:r>
              <w:rPr>
                <w:rFonts w:ascii="Arial" w:hAnsi="Arial" w:cs="Arial"/>
              </w:rPr>
              <w:t>Consultant Pharmacist</w:t>
            </w:r>
          </w:p>
        </w:tc>
      </w:tr>
      <w:tr w:rsidR="00E71972" w14:paraId="40F9434F" w14:textId="77777777" w:rsidTr="00093242">
        <w:trPr>
          <w:trHeight w:val="440"/>
        </w:trPr>
        <w:tc>
          <w:tcPr>
            <w:cnfStyle w:val="000010000000" w:firstRow="0" w:lastRow="0" w:firstColumn="0" w:lastColumn="0" w:oddVBand="1" w:evenVBand="0" w:oddHBand="0" w:evenHBand="0" w:firstRowFirstColumn="0" w:firstRowLastColumn="0" w:lastRowFirstColumn="0" w:lastRowLastColumn="0"/>
            <w:tcW w:w="1103" w:type="pct"/>
            <w:tcBorders>
              <w:left w:val="none" w:sz="0" w:space="0" w:color="auto"/>
              <w:right w:val="none" w:sz="0" w:space="0" w:color="auto"/>
            </w:tcBorders>
          </w:tcPr>
          <w:p w14:paraId="40F9434C" w14:textId="77777777" w:rsidR="00E71972" w:rsidRDefault="00E71972" w:rsidP="00E71972">
            <w:pPr>
              <w:rPr>
                <w:rFonts w:ascii="Arial" w:hAnsi="Arial" w:cs="Arial"/>
              </w:rPr>
            </w:pPr>
            <w:r>
              <w:rPr>
                <w:rFonts w:ascii="Arial" w:hAnsi="Arial" w:cs="Arial"/>
              </w:rPr>
              <w:t>Nick Beavon</w:t>
            </w:r>
          </w:p>
        </w:tc>
        <w:tc>
          <w:tcPr>
            <w:tcW w:w="1648" w:type="pct"/>
          </w:tcPr>
          <w:p w14:paraId="40F9434D" w14:textId="77777777" w:rsidR="00E71972" w:rsidRDefault="00E71972" w:rsidP="00E7197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Primary Care Pharmacy Association </w:t>
            </w:r>
          </w:p>
        </w:tc>
        <w:tc>
          <w:tcPr>
            <w:cnfStyle w:val="000010000000" w:firstRow="0" w:lastRow="0" w:firstColumn="0" w:lastColumn="0" w:oddVBand="1" w:evenVBand="0" w:oddHBand="0" w:evenHBand="0" w:firstRowFirstColumn="0" w:firstRowLastColumn="0" w:lastRowFirstColumn="0" w:lastRowLastColumn="0"/>
            <w:tcW w:w="2249" w:type="pct"/>
            <w:tcBorders>
              <w:left w:val="none" w:sz="0" w:space="0" w:color="auto"/>
              <w:right w:val="none" w:sz="0" w:space="0" w:color="auto"/>
            </w:tcBorders>
          </w:tcPr>
          <w:p w14:paraId="40F9434E" w14:textId="77777777" w:rsidR="00E71972" w:rsidRDefault="00E71972" w:rsidP="00E71972">
            <w:pPr>
              <w:rPr>
                <w:rFonts w:ascii="Arial" w:hAnsi="Arial" w:cs="Arial"/>
              </w:rPr>
            </w:pPr>
            <w:r>
              <w:rPr>
                <w:rFonts w:ascii="Arial" w:hAnsi="Arial" w:cs="Arial"/>
              </w:rPr>
              <w:t>PAG Lead/Chief Pharmacist</w:t>
            </w:r>
          </w:p>
        </w:tc>
      </w:tr>
      <w:tr w:rsidR="00093242" w14:paraId="40F94353" w14:textId="77777777" w:rsidTr="00093242">
        <w:trPr>
          <w:cnfStyle w:val="000000100000" w:firstRow="0" w:lastRow="0" w:firstColumn="0" w:lastColumn="0" w:oddVBand="0" w:evenVBand="0" w:oddHBand="1" w:evenHBand="0"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1103" w:type="pct"/>
            <w:tcBorders>
              <w:top w:val="none" w:sz="0" w:space="0" w:color="auto"/>
              <w:left w:val="none" w:sz="0" w:space="0" w:color="auto"/>
              <w:bottom w:val="none" w:sz="0" w:space="0" w:color="auto"/>
              <w:right w:val="none" w:sz="0" w:space="0" w:color="auto"/>
            </w:tcBorders>
            <w:shd w:val="clear" w:color="auto" w:fill="DBE5F1" w:themeFill="accent1" w:themeFillTint="33"/>
          </w:tcPr>
          <w:p w14:paraId="40F94350" w14:textId="77777777" w:rsidR="00E71972" w:rsidRDefault="00E71972" w:rsidP="00E71972">
            <w:pPr>
              <w:rPr>
                <w:rFonts w:ascii="Arial" w:hAnsi="Arial" w:cs="Arial"/>
              </w:rPr>
            </w:pPr>
            <w:r>
              <w:rPr>
                <w:rFonts w:ascii="Arial" w:hAnsi="Arial" w:cs="Arial"/>
              </w:rPr>
              <w:t xml:space="preserve">Toby </w:t>
            </w:r>
            <w:proofErr w:type="spellStart"/>
            <w:r>
              <w:rPr>
                <w:rFonts w:ascii="Arial" w:hAnsi="Arial" w:cs="Arial"/>
              </w:rPr>
              <w:t>Capstick</w:t>
            </w:r>
            <w:proofErr w:type="spellEnd"/>
          </w:p>
        </w:tc>
        <w:tc>
          <w:tcPr>
            <w:tcW w:w="1648" w:type="pct"/>
            <w:tcBorders>
              <w:top w:val="none" w:sz="0" w:space="0" w:color="auto"/>
              <w:bottom w:val="none" w:sz="0" w:space="0" w:color="auto"/>
            </w:tcBorders>
            <w:shd w:val="clear" w:color="auto" w:fill="DBE5F1" w:themeFill="accent1" w:themeFillTint="33"/>
          </w:tcPr>
          <w:p w14:paraId="40F94351" w14:textId="77777777" w:rsidR="00E71972" w:rsidRDefault="00E71972" w:rsidP="00E7197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Leeds Teaching Hospitals NHS Trust</w:t>
            </w:r>
          </w:p>
        </w:tc>
        <w:tc>
          <w:tcPr>
            <w:cnfStyle w:val="000010000000" w:firstRow="0" w:lastRow="0" w:firstColumn="0" w:lastColumn="0" w:oddVBand="1" w:evenVBand="0" w:oddHBand="0" w:evenHBand="0" w:firstRowFirstColumn="0" w:firstRowLastColumn="0" w:lastRowFirstColumn="0" w:lastRowLastColumn="0"/>
            <w:tcW w:w="2249" w:type="pct"/>
            <w:tcBorders>
              <w:top w:val="none" w:sz="0" w:space="0" w:color="auto"/>
              <w:left w:val="none" w:sz="0" w:space="0" w:color="auto"/>
              <w:bottom w:val="none" w:sz="0" w:space="0" w:color="auto"/>
              <w:right w:val="none" w:sz="0" w:space="0" w:color="auto"/>
            </w:tcBorders>
            <w:shd w:val="clear" w:color="auto" w:fill="DBE5F1" w:themeFill="accent1" w:themeFillTint="33"/>
          </w:tcPr>
          <w:p w14:paraId="40F94352" w14:textId="77777777" w:rsidR="00E71972" w:rsidRDefault="00E71972" w:rsidP="00E71972">
            <w:pPr>
              <w:rPr>
                <w:rFonts w:ascii="Arial" w:hAnsi="Arial" w:cs="Arial"/>
              </w:rPr>
            </w:pPr>
            <w:r>
              <w:rPr>
                <w:rFonts w:ascii="Arial" w:hAnsi="Arial" w:cs="Arial"/>
              </w:rPr>
              <w:t>Lead Respiratory Pharmacist</w:t>
            </w:r>
          </w:p>
        </w:tc>
      </w:tr>
      <w:tr w:rsidR="00E71972" w14:paraId="40F94357" w14:textId="77777777" w:rsidTr="00093242">
        <w:trPr>
          <w:trHeight w:val="440"/>
        </w:trPr>
        <w:tc>
          <w:tcPr>
            <w:cnfStyle w:val="000010000000" w:firstRow="0" w:lastRow="0" w:firstColumn="0" w:lastColumn="0" w:oddVBand="1" w:evenVBand="0" w:oddHBand="0" w:evenHBand="0" w:firstRowFirstColumn="0" w:firstRowLastColumn="0" w:lastRowFirstColumn="0" w:lastRowLastColumn="0"/>
            <w:tcW w:w="1103" w:type="pct"/>
            <w:tcBorders>
              <w:left w:val="none" w:sz="0" w:space="0" w:color="auto"/>
              <w:right w:val="none" w:sz="0" w:space="0" w:color="auto"/>
            </w:tcBorders>
          </w:tcPr>
          <w:p w14:paraId="40F94354" w14:textId="77777777" w:rsidR="00E71972" w:rsidRDefault="00E71972" w:rsidP="00E71972">
            <w:pPr>
              <w:rPr>
                <w:rFonts w:ascii="Arial" w:hAnsi="Arial" w:cs="Arial"/>
              </w:rPr>
            </w:pPr>
            <w:r>
              <w:rPr>
                <w:rFonts w:ascii="Arial" w:hAnsi="Arial" w:cs="Arial"/>
              </w:rPr>
              <w:t xml:space="preserve">Vince </w:t>
            </w:r>
            <w:proofErr w:type="spellStart"/>
            <w:r>
              <w:rPr>
                <w:rFonts w:ascii="Arial" w:hAnsi="Arial" w:cs="Arial"/>
              </w:rPr>
              <w:t>Mak</w:t>
            </w:r>
            <w:proofErr w:type="spellEnd"/>
          </w:p>
        </w:tc>
        <w:tc>
          <w:tcPr>
            <w:tcW w:w="1648" w:type="pct"/>
          </w:tcPr>
          <w:p w14:paraId="40F94355" w14:textId="77777777" w:rsidR="00E71972" w:rsidRDefault="00E71972" w:rsidP="00E7197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Imperial College Healthcare NHS Trust</w:t>
            </w:r>
          </w:p>
        </w:tc>
        <w:tc>
          <w:tcPr>
            <w:cnfStyle w:val="000010000000" w:firstRow="0" w:lastRow="0" w:firstColumn="0" w:lastColumn="0" w:oddVBand="1" w:evenVBand="0" w:oddHBand="0" w:evenHBand="0" w:firstRowFirstColumn="0" w:firstRowLastColumn="0" w:lastRowFirstColumn="0" w:lastRowLastColumn="0"/>
            <w:tcW w:w="2249" w:type="pct"/>
            <w:tcBorders>
              <w:left w:val="none" w:sz="0" w:space="0" w:color="auto"/>
              <w:right w:val="none" w:sz="0" w:space="0" w:color="auto"/>
            </w:tcBorders>
          </w:tcPr>
          <w:p w14:paraId="40F94356" w14:textId="77777777" w:rsidR="00E71972" w:rsidRDefault="00E71972" w:rsidP="00E71972">
            <w:pPr>
              <w:rPr>
                <w:rFonts w:ascii="Arial" w:hAnsi="Arial" w:cs="Arial"/>
              </w:rPr>
            </w:pPr>
            <w:r>
              <w:rPr>
                <w:rFonts w:ascii="Arial" w:hAnsi="Arial" w:cs="Arial"/>
              </w:rPr>
              <w:t>Consultant in Respiratory and Critical Care Medicine</w:t>
            </w:r>
          </w:p>
        </w:tc>
      </w:tr>
      <w:tr w:rsidR="00093242" w14:paraId="40F9435B" w14:textId="77777777" w:rsidTr="00093242">
        <w:trPr>
          <w:cnfStyle w:val="000000100000" w:firstRow="0" w:lastRow="0" w:firstColumn="0" w:lastColumn="0" w:oddVBand="0" w:evenVBand="0" w:oddHBand="1" w:evenHBand="0"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1103" w:type="pct"/>
            <w:tcBorders>
              <w:top w:val="none" w:sz="0" w:space="0" w:color="auto"/>
              <w:left w:val="none" w:sz="0" w:space="0" w:color="auto"/>
              <w:bottom w:val="none" w:sz="0" w:space="0" w:color="auto"/>
              <w:right w:val="none" w:sz="0" w:space="0" w:color="auto"/>
            </w:tcBorders>
            <w:shd w:val="clear" w:color="auto" w:fill="DBE5F1" w:themeFill="accent1" w:themeFillTint="33"/>
          </w:tcPr>
          <w:p w14:paraId="40F94358" w14:textId="77777777" w:rsidR="00E71972" w:rsidRDefault="00E71972" w:rsidP="00E71972">
            <w:pPr>
              <w:rPr>
                <w:rFonts w:ascii="Arial" w:hAnsi="Arial" w:cs="Arial"/>
              </w:rPr>
            </w:pPr>
            <w:r>
              <w:rPr>
                <w:rFonts w:ascii="Arial" w:hAnsi="Arial" w:cs="Arial"/>
              </w:rPr>
              <w:t>Eric Power</w:t>
            </w:r>
          </w:p>
        </w:tc>
        <w:tc>
          <w:tcPr>
            <w:tcW w:w="1648" w:type="pct"/>
            <w:tcBorders>
              <w:top w:val="none" w:sz="0" w:space="0" w:color="auto"/>
              <w:bottom w:val="none" w:sz="0" w:space="0" w:color="auto"/>
            </w:tcBorders>
            <w:shd w:val="clear" w:color="auto" w:fill="DBE5F1" w:themeFill="accent1" w:themeFillTint="33"/>
          </w:tcPr>
          <w:p w14:paraId="40F94359" w14:textId="77777777" w:rsidR="00E71972" w:rsidRDefault="00E71972" w:rsidP="00E7197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NHS England (RightCare)</w:t>
            </w:r>
          </w:p>
        </w:tc>
        <w:tc>
          <w:tcPr>
            <w:cnfStyle w:val="000010000000" w:firstRow="0" w:lastRow="0" w:firstColumn="0" w:lastColumn="0" w:oddVBand="1" w:evenVBand="0" w:oddHBand="0" w:evenHBand="0" w:firstRowFirstColumn="0" w:firstRowLastColumn="0" w:lastRowFirstColumn="0" w:lastRowLastColumn="0"/>
            <w:tcW w:w="2249" w:type="pct"/>
            <w:tcBorders>
              <w:top w:val="none" w:sz="0" w:space="0" w:color="auto"/>
              <w:left w:val="none" w:sz="0" w:space="0" w:color="auto"/>
              <w:bottom w:val="none" w:sz="0" w:space="0" w:color="auto"/>
              <w:right w:val="none" w:sz="0" w:space="0" w:color="auto"/>
            </w:tcBorders>
            <w:shd w:val="clear" w:color="auto" w:fill="DBE5F1" w:themeFill="accent1" w:themeFillTint="33"/>
          </w:tcPr>
          <w:p w14:paraId="40F9435A" w14:textId="77777777" w:rsidR="00E71972" w:rsidRDefault="00E71972" w:rsidP="00E71972">
            <w:pPr>
              <w:rPr>
                <w:rFonts w:ascii="Arial" w:hAnsi="Arial" w:cs="Arial"/>
              </w:rPr>
            </w:pPr>
            <w:r>
              <w:rPr>
                <w:rFonts w:ascii="Arial" w:hAnsi="Arial" w:cs="Arial"/>
              </w:rPr>
              <w:t>Delivery Partner</w:t>
            </w:r>
          </w:p>
        </w:tc>
      </w:tr>
      <w:tr w:rsidR="00E71972" w14:paraId="40F9435F" w14:textId="77777777" w:rsidTr="00093242">
        <w:trPr>
          <w:trHeight w:val="440"/>
        </w:trPr>
        <w:tc>
          <w:tcPr>
            <w:cnfStyle w:val="000010000000" w:firstRow="0" w:lastRow="0" w:firstColumn="0" w:lastColumn="0" w:oddVBand="1" w:evenVBand="0" w:oddHBand="0" w:evenHBand="0" w:firstRowFirstColumn="0" w:firstRowLastColumn="0" w:lastRowFirstColumn="0" w:lastRowLastColumn="0"/>
            <w:tcW w:w="1103" w:type="pct"/>
            <w:tcBorders>
              <w:left w:val="none" w:sz="0" w:space="0" w:color="auto"/>
              <w:bottom w:val="none" w:sz="0" w:space="0" w:color="auto"/>
              <w:right w:val="none" w:sz="0" w:space="0" w:color="auto"/>
            </w:tcBorders>
          </w:tcPr>
          <w:p w14:paraId="40F9435C" w14:textId="77777777" w:rsidR="00E71972" w:rsidRDefault="00E71972" w:rsidP="00E71972">
            <w:pPr>
              <w:rPr>
                <w:rFonts w:ascii="Arial" w:hAnsi="Arial" w:cs="Arial"/>
              </w:rPr>
            </w:pPr>
            <w:r>
              <w:rPr>
                <w:rFonts w:ascii="Arial" w:hAnsi="Arial" w:cs="Arial"/>
              </w:rPr>
              <w:t>Monica Mason</w:t>
            </w:r>
          </w:p>
        </w:tc>
        <w:tc>
          <w:tcPr>
            <w:tcW w:w="1648" w:type="pct"/>
          </w:tcPr>
          <w:p w14:paraId="40F9435D" w14:textId="77777777" w:rsidR="00E71972" w:rsidRDefault="00E71972" w:rsidP="00E7197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Regional Drug and Therapeutics Centre (RDTC)</w:t>
            </w:r>
          </w:p>
        </w:tc>
        <w:tc>
          <w:tcPr>
            <w:cnfStyle w:val="000010000000" w:firstRow="0" w:lastRow="0" w:firstColumn="0" w:lastColumn="0" w:oddVBand="1" w:evenVBand="0" w:oddHBand="0" w:evenHBand="0" w:firstRowFirstColumn="0" w:firstRowLastColumn="0" w:lastRowFirstColumn="0" w:lastRowLastColumn="0"/>
            <w:tcW w:w="2249" w:type="pct"/>
            <w:tcBorders>
              <w:left w:val="none" w:sz="0" w:space="0" w:color="auto"/>
              <w:bottom w:val="none" w:sz="0" w:space="0" w:color="auto"/>
              <w:right w:val="none" w:sz="0" w:space="0" w:color="auto"/>
            </w:tcBorders>
          </w:tcPr>
          <w:p w14:paraId="40F9435E" w14:textId="77777777" w:rsidR="00E71972" w:rsidRDefault="00E71972" w:rsidP="00E71972">
            <w:pPr>
              <w:rPr>
                <w:rFonts w:ascii="Arial" w:hAnsi="Arial" w:cs="Arial"/>
              </w:rPr>
            </w:pPr>
            <w:r>
              <w:rPr>
                <w:rFonts w:ascii="Arial" w:hAnsi="Arial" w:cs="Arial"/>
              </w:rPr>
              <w:t>Senior Pharmacist</w:t>
            </w:r>
          </w:p>
        </w:tc>
      </w:tr>
    </w:tbl>
    <w:p w14:paraId="40F94360" w14:textId="77777777" w:rsidR="00F273AC" w:rsidRDefault="00F273AC">
      <w:pPr>
        <w:rPr>
          <w:rFonts w:ascii="Arial" w:eastAsia="Arial" w:hAnsi="Arial" w:cs="Arial"/>
          <w:b/>
        </w:rPr>
      </w:pPr>
    </w:p>
    <w:p w14:paraId="40F94361" w14:textId="77777777" w:rsidR="00810077" w:rsidRDefault="00855C24">
      <w:pPr>
        <w:rPr>
          <w:rFonts w:ascii="Arial" w:eastAsia="Arial" w:hAnsi="Arial" w:cs="Arial"/>
        </w:rPr>
      </w:pPr>
      <w:r>
        <w:rPr>
          <w:rFonts w:ascii="Arial" w:eastAsia="Arial" w:hAnsi="Arial" w:cs="Arial"/>
          <w:b/>
        </w:rPr>
        <w:t>Expert input provided by:</w:t>
      </w:r>
    </w:p>
    <w:tbl>
      <w:tblPr>
        <w:tblStyle w:val="TableGrid"/>
        <w:tblW w:w="5637" w:type="dxa"/>
        <w:tblLayout w:type="fixed"/>
        <w:tblLook w:val="0000" w:firstRow="0" w:lastRow="0" w:firstColumn="0" w:lastColumn="0" w:noHBand="0" w:noVBand="0"/>
      </w:tblPr>
      <w:tblGrid>
        <w:gridCol w:w="1985"/>
        <w:gridCol w:w="3652"/>
      </w:tblGrid>
      <w:tr w:rsidR="00810077" w:rsidRPr="00093242" w14:paraId="40F94364" w14:textId="77777777" w:rsidTr="00093242">
        <w:trPr>
          <w:trHeight w:val="480"/>
        </w:trPr>
        <w:tc>
          <w:tcPr>
            <w:tcW w:w="1985" w:type="dxa"/>
            <w:shd w:val="clear" w:color="auto" w:fill="4F81BD" w:themeFill="accent1"/>
          </w:tcPr>
          <w:p w14:paraId="40F94362" w14:textId="77777777" w:rsidR="00810077" w:rsidRPr="00093242" w:rsidRDefault="00855C24">
            <w:pPr>
              <w:rPr>
                <w:rFonts w:ascii="Arial" w:eastAsia="Arial" w:hAnsi="Arial" w:cs="Arial"/>
                <w:sz w:val="24"/>
                <w:szCs w:val="24"/>
              </w:rPr>
            </w:pPr>
            <w:r w:rsidRPr="00093242">
              <w:rPr>
                <w:rFonts w:ascii="Arial" w:eastAsia="Arial" w:hAnsi="Arial" w:cs="Arial"/>
                <w:b/>
                <w:sz w:val="24"/>
                <w:szCs w:val="24"/>
              </w:rPr>
              <w:t>Name</w:t>
            </w:r>
          </w:p>
        </w:tc>
        <w:tc>
          <w:tcPr>
            <w:tcW w:w="3652" w:type="dxa"/>
            <w:shd w:val="clear" w:color="auto" w:fill="4F81BD" w:themeFill="accent1"/>
          </w:tcPr>
          <w:p w14:paraId="40F94363" w14:textId="77777777" w:rsidR="00810077" w:rsidRPr="00093242" w:rsidRDefault="00855C24">
            <w:pPr>
              <w:rPr>
                <w:rFonts w:ascii="Arial" w:eastAsia="Arial" w:hAnsi="Arial" w:cs="Arial"/>
                <w:sz w:val="24"/>
                <w:szCs w:val="24"/>
              </w:rPr>
            </w:pPr>
            <w:r w:rsidRPr="00093242">
              <w:rPr>
                <w:rFonts w:ascii="Arial" w:eastAsia="Arial" w:hAnsi="Arial" w:cs="Arial"/>
                <w:b/>
                <w:sz w:val="24"/>
                <w:szCs w:val="24"/>
              </w:rPr>
              <w:t>Role/Organisation</w:t>
            </w:r>
          </w:p>
        </w:tc>
      </w:tr>
      <w:tr w:rsidR="00810077" w14:paraId="40F94367" w14:textId="77777777" w:rsidTr="00E71972">
        <w:trPr>
          <w:trHeight w:val="440"/>
        </w:trPr>
        <w:tc>
          <w:tcPr>
            <w:tcW w:w="1985" w:type="dxa"/>
          </w:tcPr>
          <w:p w14:paraId="40F94365" w14:textId="77777777" w:rsidR="00810077" w:rsidRDefault="00810077">
            <w:pPr>
              <w:rPr>
                <w:rFonts w:ascii="Arial" w:eastAsia="Arial" w:hAnsi="Arial" w:cs="Arial"/>
                <w:sz w:val="20"/>
                <w:szCs w:val="20"/>
              </w:rPr>
            </w:pPr>
          </w:p>
        </w:tc>
        <w:tc>
          <w:tcPr>
            <w:tcW w:w="3652" w:type="dxa"/>
          </w:tcPr>
          <w:p w14:paraId="40F94366" w14:textId="77777777" w:rsidR="008C348E" w:rsidRPr="00093242" w:rsidRDefault="00961FF0">
            <w:pPr>
              <w:rPr>
                <w:rFonts w:ascii="Arial" w:eastAsia="Arial" w:hAnsi="Arial" w:cs="Arial"/>
              </w:rPr>
            </w:pPr>
            <w:r w:rsidRPr="00093242">
              <w:rPr>
                <w:rFonts w:ascii="Arial" w:eastAsia="Arial" w:hAnsi="Arial" w:cs="Arial"/>
              </w:rPr>
              <w:t>London Procurement Partnership</w:t>
            </w:r>
          </w:p>
        </w:tc>
      </w:tr>
      <w:tr w:rsidR="008C348E" w14:paraId="40F9436A" w14:textId="77777777" w:rsidTr="00E71972">
        <w:trPr>
          <w:trHeight w:val="440"/>
        </w:trPr>
        <w:tc>
          <w:tcPr>
            <w:tcW w:w="1985" w:type="dxa"/>
          </w:tcPr>
          <w:p w14:paraId="40F94368" w14:textId="77777777" w:rsidR="008C348E" w:rsidRDefault="008C348E">
            <w:pPr>
              <w:rPr>
                <w:rFonts w:ascii="Arial" w:eastAsia="Arial" w:hAnsi="Arial" w:cs="Arial"/>
                <w:sz w:val="20"/>
                <w:szCs w:val="20"/>
              </w:rPr>
            </w:pPr>
          </w:p>
        </w:tc>
        <w:tc>
          <w:tcPr>
            <w:tcW w:w="3652" w:type="dxa"/>
          </w:tcPr>
          <w:p w14:paraId="40F94369" w14:textId="77777777" w:rsidR="008C348E" w:rsidRPr="00093242" w:rsidRDefault="008C348E">
            <w:pPr>
              <w:rPr>
                <w:rFonts w:ascii="Arial" w:eastAsia="Arial" w:hAnsi="Arial" w:cs="Arial"/>
              </w:rPr>
            </w:pPr>
            <w:r>
              <w:rPr>
                <w:rFonts w:ascii="Arial" w:eastAsia="Arial" w:hAnsi="Arial" w:cs="Arial"/>
              </w:rPr>
              <w:t>Sustainable Development Unit (SDU)</w:t>
            </w:r>
          </w:p>
        </w:tc>
      </w:tr>
    </w:tbl>
    <w:p w14:paraId="40F9436B" w14:textId="77777777" w:rsidR="00810077" w:rsidRDefault="00810077" w:rsidP="00961FF0"/>
    <w:p w14:paraId="40F9436C" w14:textId="77777777" w:rsidR="00E71972" w:rsidRDefault="00AE2A4F" w:rsidP="00AE2A4F">
      <w:pPr>
        <w:pStyle w:val="Heading2"/>
        <w:rPr>
          <w:sz w:val="24"/>
        </w:rPr>
      </w:pPr>
      <w:bookmarkStart w:id="35" w:name="_Toc89761270"/>
      <w:r>
        <w:rPr>
          <w:sz w:val="24"/>
        </w:rPr>
        <w:t>Appendix 2</w:t>
      </w:r>
      <w:bookmarkEnd w:id="35"/>
    </w:p>
    <w:p w14:paraId="40F9436D" w14:textId="77777777" w:rsidR="00AE2A4F" w:rsidRPr="00AE2A4F" w:rsidRDefault="00AE2A4F" w:rsidP="00AE2A4F">
      <w:pPr>
        <w:rPr>
          <w:rFonts w:ascii="Arial" w:hAnsi="Arial" w:cs="Arial"/>
        </w:rPr>
      </w:pPr>
      <w:r>
        <w:rPr>
          <w:rFonts w:ascii="Arial" w:hAnsi="Arial" w:cs="Arial"/>
        </w:rPr>
        <w:t>The drug lists for each metric are provided in a separate docu</w:t>
      </w:r>
      <w:r w:rsidR="002A5046">
        <w:rPr>
          <w:rFonts w:ascii="Arial" w:hAnsi="Arial" w:cs="Arial"/>
        </w:rPr>
        <w:t xml:space="preserve">ment available from our website at </w:t>
      </w:r>
      <w:hyperlink r:id="rId12" w:history="1">
        <w:r w:rsidR="002A5046" w:rsidRPr="00DA2E41">
          <w:rPr>
            <w:rStyle w:val="Hyperlink"/>
            <w:rFonts w:ascii="Arial" w:hAnsi="Arial" w:cs="Arial"/>
          </w:rPr>
          <w:t>https://www.nhsbsa.nhs.uk/epact2/dashboards-and-specifications/respiratory-dashboard</w:t>
        </w:r>
      </w:hyperlink>
      <w:r w:rsidR="002A5046">
        <w:rPr>
          <w:rFonts w:ascii="Arial" w:hAnsi="Arial" w:cs="Arial"/>
        </w:rPr>
        <w:t xml:space="preserve">. </w:t>
      </w:r>
    </w:p>
    <w:p w14:paraId="40F9436E" w14:textId="77777777" w:rsidR="00E71972" w:rsidRDefault="00E71972" w:rsidP="00961FF0"/>
    <w:sectPr w:rsidR="00E71972">
      <w:footerReference w:type="default" r:id="rId13"/>
      <w:headerReference w:type="first" r:id="rId14"/>
      <w:footerReference w:type="first" r:id="rId15"/>
      <w:pgSz w:w="11906" w:h="16838"/>
      <w:pgMar w:top="1077" w:right="1134" w:bottom="1077"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23FB2" w14:textId="77777777" w:rsidR="00890AF1" w:rsidRDefault="00890AF1">
      <w:pPr>
        <w:spacing w:after="0" w:line="240" w:lineRule="auto"/>
      </w:pPr>
      <w:r>
        <w:separator/>
      </w:r>
    </w:p>
  </w:endnote>
  <w:endnote w:type="continuationSeparator" w:id="0">
    <w:p w14:paraId="50FF9309" w14:textId="77777777" w:rsidR="00890AF1" w:rsidRDefault="00890AF1">
      <w:pPr>
        <w:spacing w:after="0" w:line="240" w:lineRule="auto"/>
      </w:pPr>
      <w:r>
        <w:continuationSeparator/>
      </w:r>
    </w:p>
  </w:endnote>
  <w:endnote w:type="continuationNotice" w:id="1">
    <w:p w14:paraId="013EF2D4" w14:textId="77777777" w:rsidR="00890AF1" w:rsidRDefault="00890A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4373" w14:textId="4B701DBA" w:rsidR="008C348E" w:rsidRPr="004F67A0" w:rsidRDefault="004F67A0" w:rsidP="004F67A0">
    <w:pPr>
      <w:rPr>
        <w:rFonts w:ascii="Arial" w:hAnsi="Arial" w:cs="Arial"/>
        <w:sz w:val="18"/>
        <w:szCs w:val="18"/>
      </w:rPr>
    </w:pPr>
    <w:r w:rsidRPr="00315ADB">
      <w:rPr>
        <w:rFonts w:ascii="Arial" w:hAnsi="Arial" w:cs="Arial"/>
        <w:sz w:val="18"/>
        <w:szCs w:val="18"/>
      </w:rPr>
      <w:t>Version 5</w:t>
    </w:r>
    <w:r w:rsidR="00524AB1">
      <w:rPr>
        <w:rFonts w:ascii="Arial" w:hAnsi="Arial" w:cs="Arial"/>
        <w:sz w:val="18"/>
        <w:szCs w:val="18"/>
      </w:rPr>
      <w:t>.2</w:t>
    </w:r>
    <w:r w:rsidRPr="00315ADB">
      <w:rPr>
        <w:rFonts w:ascii="Arial" w:hAnsi="Arial" w:cs="Arial"/>
        <w:sz w:val="18"/>
        <w:szCs w:val="18"/>
      </w:rPr>
      <w:t xml:space="preserve"> December 2021</w:t>
    </w:r>
    <w:r w:rsidRPr="00315ADB">
      <w:rPr>
        <w:rFonts w:ascii="Arial" w:hAnsi="Arial" w:cs="Arial"/>
        <w:sz w:val="18"/>
        <w:szCs w:val="18"/>
      </w:rPr>
      <w:tab/>
    </w:r>
    <w:r w:rsidRPr="00315ADB">
      <w:rPr>
        <w:rFonts w:ascii="Arial" w:hAnsi="Arial" w:cs="Arial"/>
        <w:sz w:val="18"/>
        <w:szCs w:val="18"/>
      </w:rPr>
      <w:tab/>
    </w:r>
    <w:r>
      <w:rPr>
        <w:rFonts w:ascii="Arial" w:hAnsi="Arial" w:cs="Arial"/>
        <w:sz w:val="18"/>
        <w:szCs w:val="18"/>
      </w:rPr>
      <w:t xml:space="preserve">        </w:t>
    </w:r>
    <w:r w:rsidRPr="00315ADB">
      <w:rPr>
        <w:rFonts w:ascii="Arial" w:hAnsi="Arial" w:cs="Arial"/>
        <w:sz w:val="18"/>
        <w:szCs w:val="18"/>
      </w:rPr>
      <w:t xml:space="preserve">Page </w:t>
    </w:r>
    <w:r w:rsidRPr="00315ADB">
      <w:rPr>
        <w:rFonts w:ascii="Arial" w:hAnsi="Arial" w:cs="Arial"/>
        <w:b/>
        <w:sz w:val="18"/>
        <w:szCs w:val="18"/>
      </w:rPr>
      <w:fldChar w:fldCharType="begin"/>
    </w:r>
    <w:r w:rsidRPr="00315ADB">
      <w:rPr>
        <w:rFonts w:ascii="Arial" w:hAnsi="Arial" w:cs="Arial"/>
        <w:b/>
        <w:sz w:val="18"/>
        <w:szCs w:val="18"/>
      </w:rPr>
      <w:instrText>PAGE</w:instrText>
    </w:r>
    <w:r w:rsidRPr="00315ADB">
      <w:rPr>
        <w:rFonts w:ascii="Arial" w:hAnsi="Arial" w:cs="Arial"/>
        <w:b/>
        <w:sz w:val="18"/>
        <w:szCs w:val="18"/>
      </w:rPr>
      <w:fldChar w:fldCharType="separate"/>
    </w:r>
    <w:r>
      <w:rPr>
        <w:rFonts w:ascii="Arial" w:hAnsi="Arial" w:cs="Arial"/>
        <w:b/>
        <w:sz w:val="18"/>
        <w:szCs w:val="18"/>
      </w:rPr>
      <w:t>1</w:t>
    </w:r>
    <w:r w:rsidRPr="00315ADB">
      <w:rPr>
        <w:rFonts w:ascii="Arial" w:hAnsi="Arial" w:cs="Arial"/>
        <w:b/>
        <w:sz w:val="18"/>
        <w:szCs w:val="18"/>
      </w:rPr>
      <w:fldChar w:fldCharType="end"/>
    </w:r>
    <w:r w:rsidRPr="00315ADB">
      <w:rPr>
        <w:rFonts w:ascii="Arial" w:hAnsi="Arial" w:cs="Arial"/>
        <w:sz w:val="18"/>
        <w:szCs w:val="18"/>
      </w:rPr>
      <w:t xml:space="preserve"> of </w:t>
    </w:r>
    <w:r w:rsidRPr="00315ADB">
      <w:rPr>
        <w:rFonts w:ascii="Arial" w:hAnsi="Arial" w:cs="Arial"/>
        <w:b/>
        <w:sz w:val="18"/>
        <w:szCs w:val="18"/>
      </w:rPr>
      <w:fldChar w:fldCharType="begin"/>
    </w:r>
    <w:r w:rsidRPr="00315ADB">
      <w:rPr>
        <w:rFonts w:ascii="Arial" w:hAnsi="Arial" w:cs="Arial"/>
        <w:b/>
        <w:sz w:val="18"/>
        <w:szCs w:val="18"/>
      </w:rPr>
      <w:instrText>NUMPAGES</w:instrText>
    </w:r>
    <w:r w:rsidRPr="00315ADB">
      <w:rPr>
        <w:rFonts w:ascii="Arial" w:hAnsi="Arial" w:cs="Arial"/>
        <w:b/>
        <w:sz w:val="18"/>
        <w:szCs w:val="18"/>
      </w:rPr>
      <w:fldChar w:fldCharType="separate"/>
    </w:r>
    <w:r>
      <w:rPr>
        <w:rFonts w:ascii="Arial" w:hAnsi="Arial" w:cs="Arial"/>
        <w:b/>
        <w:sz w:val="18"/>
        <w:szCs w:val="18"/>
      </w:rPr>
      <w:t>18</w:t>
    </w:r>
    <w:r w:rsidRPr="00315ADB">
      <w:rPr>
        <w:rFonts w:ascii="Arial" w:hAnsi="Arial" w:cs="Arial"/>
        <w:b/>
        <w:sz w:val="18"/>
        <w:szCs w:val="18"/>
      </w:rPr>
      <w:fldChar w:fldCharType="end"/>
    </w:r>
    <w:r w:rsidRPr="00315ADB">
      <w:rPr>
        <w:rFonts w:ascii="Arial" w:hAnsi="Arial" w:cs="Arial"/>
        <w:b/>
        <w:sz w:val="18"/>
        <w:szCs w:val="18"/>
      </w:rPr>
      <w:t xml:space="preserve"> </w:t>
    </w:r>
    <w:r w:rsidRPr="00315ADB">
      <w:rPr>
        <w:rFonts w:ascii="Arial" w:hAnsi="Arial" w:cs="Arial"/>
        <w:b/>
        <w:sz w:val="18"/>
        <w:szCs w:val="18"/>
      </w:rPr>
      <w:tab/>
    </w:r>
    <w:r w:rsidRPr="00315ADB">
      <w:rPr>
        <w:rFonts w:ascii="Arial" w:hAnsi="Arial" w:cs="Arial"/>
        <w:b/>
        <w:sz w:val="18"/>
        <w:szCs w:val="18"/>
      </w:rPr>
      <w:tab/>
    </w:r>
    <w:r w:rsidRPr="00315ADB">
      <w:rPr>
        <w:rFonts w:ascii="Arial" w:hAnsi="Arial" w:cs="Arial"/>
        <w:b/>
        <w:sz w:val="18"/>
        <w:szCs w:val="18"/>
      </w:rPr>
      <w:tab/>
    </w:r>
    <w:r w:rsidRPr="00315ADB">
      <w:rPr>
        <w:rFonts w:ascii="Arial" w:hAnsi="Arial" w:cs="Arial"/>
        <w:b/>
        <w:sz w:val="18"/>
        <w:szCs w:val="18"/>
      </w:rPr>
      <w:tab/>
    </w:r>
    <w:r>
      <w:rPr>
        <w:rFonts w:ascii="Arial" w:hAnsi="Arial" w:cs="Arial"/>
        <w:b/>
        <w:sz w:val="18"/>
        <w:szCs w:val="18"/>
      </w:rPr>
      <w:t xml:space="preserve">    </w:t>
    </w:r>
    <w:r w:rsidRPr="00315ADB">
      <w:rPr>
        <w:rFonts w:ascii="Arial" w:eastAsia="Arial" w:hAnsi="Arial" w:cs="Arial"/>
        <w:sz w:val="18"/>
        <w:szCs w:val="18"/>
      </w:rPr>
      <w:t xml:space="preserve">NHSBSA </w:t>
    </w:r>
    <w:r>
      <w:rPr>
        <w:rFonts w:ascii="Arial" w:eastAsia="Arial" w:hAnsi="Arial" w:cs="Arial"/>
        <w:sz w:val="18"/>
        <w:szCs w:val="18"/>
      </w:rPr>
      <w:t>©</w:t>
    </w:r>
    <w:r w:rsidRPr="00315ADB">
      <w:rPr>
        <w:rFonts w:ascii="Arial" w:eastAsia="Arial" w:hAnsi="Arial" w:cs="Arial"/>
        <w:sz w:val="18"/>
        <w:szCs w:val="18"/>
      </w:rPr>
      <w:t xml:space="preserve"> 20</w:t>
    </w:r>
    <w:r>
      <w:rPr>
        <w:rFonts w:ascii="Arial" w:eastAsia="Arial" w:hAnsi="Arial" w:cs="Arial"/>
        <w:sz w:val="18"/>
        <w:szCs w:val="18"/>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4376" w14:textId="1F47F7E5" w:rsidR="008C348E" w:rsidRPr="00315ADB" w:rsidRDefault="008C348E">
    <w:pPr>
      <w:rPr>
        <w:rFonts w:ascii="Arial" w:hAnsi="Arial" w:cs="Arial"/>
        <w:sz w:val="18"/>
        <w:szCs w:val="18"/>
      </w:rPr>
    </w:pPr>
    <w:r w:rsidRPr="00315ADB">
      <w:rPr>
        <w:rFonts w:ascii="Arial" w:hAnsi="Arial" w:cs="Arial"/>
        <w:sz w:val="18"/>
        <w:szCs w:val="18"/>
      </w:rPr>
      <w:t>V</w:t>
    </w:r>
    <w:r w:rsidR="00315ADB" w:rsidRPr="00315ADB">
      <w:rPr>
        <w:rFonts w:ascii="Arial" w:hAnsi="Arial" w:cs="Arial"/>
        <w:sz w:val="18"/>
        <w:szCs w:val="18"/>
      </w:rPr>
      <w:t xml:space="preserve">ersion </w:t>
    </w:r>
    <w:r w:rsidR="003758B1" w:rsidRPr="00315ADB">
      <w:rPr>
        <w:rFonts w:ascii="Arial" w:hAnsi="Arial" w:cs="Arial"/>
        <w:sz w:val="18"/>
        <w:szCs w:val="18"/>
      </w:rPr>
      <w:t>5</w:t>
    </w:r>
    <w:r w:rsidR="00524AB1">
      <w:rPr>
        <w:rFonts w:ascii="Arial" w:hAnsi="Arial" w:cs="Arial"/>
        <w:sz w:val="18"/>
        <w:szCs w:val="18"/>
      </w:rPr>
      <w:t>.</w:t>
    </w:r>
    <w:r w:rsidR="00582DB4">
      <w:rPr>
        <w:rFonts w:ascii="Arial" w:hAnsi="Arial" w:cs="Arial"/>
        <w:sz w:val="18"/>
        <w:szCs w:val="18"/>
      </w:rPr>
      <w:t>2</w:t>
    </w:r>
    <w:r w:rsidRPr="00315ADB">
      <w:rPr>
        <w:rFonts w:ascii="Arial" w:hAnsi="Arial" w:cs="Arial"/>
        <w:sz w:val="18"/>
        <w:szCs w:val="18"/>
      </w:rPr>
      <w:t xml:space="preserve"> </w:t>
    </w:r>
    <w:r w:rsidR="003758B1" w:rsidRPr="00315ADB">
      <w:rPr>
        <w:rFonts w:ascii="Arial" w:hAnsi="Arial" w:cs="Arial"/>
        <w:sz w:val="18"/>
        <w:szCs w:val="18"/>
      </w:rPr>
      <w:t>December 2021</w:t>
    </w:r>
    <w:r w:rsidRPr="00315ADB">
      <w:rPr>
        <w:rFonts w:ascii="Arial" w:hAnsi="Arial" w:cs="Arial"/>
        <w:sz w:val="18"/>
        <w:szCs w:val="18"/>
      </w:rPr>
      <w:tab/>
    </w:r>
    <w:r w:rsidRPr="00315ADB">
      <w:rPr>
        <w:rFonts w:ascii="Arial" w:hAnsi="Arial" w:cs="Arial"/>
        <w:sz w:val="18"/>
        <w:szCs w:val="18"/>
      </w:rPr>
      <w:tab/>
    </w:r>
    <w:r w:rsidR="003452AC">
      <w:rPr>
        <w:rFonts w:ascii="Arial" w:hAnsi="Arial" w:cs="Arial"/>
        <w:sz w:val="18"/>
        <w:szCs w:val="18"/>
      </w:rPr>
      <w:t xml:space="preserve">        </w:t>
    </w:r>
    <w:r w:rsidRPr="00315ADB">
      <w:rPr>
        <w:rFonts w:ascii="Arial" w:hAnsi="Arial" w:cs="Arial"/>
        <w:sz w:val="18"/>
        <w:szCs w:val="18"/>
      </w:rPr>
      <w:t xml:space="preserve">Page </w:t>
    </w:r>
    <w:r w:rsidRPr="00315ADB">
      <w:rPr>
        <w:rFonts w:ascii="Arial" w:hAnsi="Arial" w:cs="Arial"/>
        <w:b/>
        <w:sz w:val="18"/>
        <w:szCs w:val="18"/>
      </w:rPr>
      <w:fldChar w:fldCharType="begin"/>
    </w:r>
    <w:r w:rsidRPr="00315ADB">
      <w:rPr>
        <w:rFonts w:ascii="Arial" w:hAnsi="Arial" w:cs="Arial"/>
        <w:b/>
        <w:sz w:val="18"/>
        <w:szCs w:val="18"/>
      </w:rPr>
      <w:instrText>PAGE</w:instrText>
    </w:r>
    <w:r w:rsidRPr="00315ADB">
      <w:rPr>
        <w:rFonts w:ascii="Arial" w:hAnsi="Arial" w:cs="Arial"/>
        <w:b/>
        <w:sz w:val="18"/>
        <w:szCs w:val="18"/>
      </w:rPr>
      <w:fldChar w:fldCharType="separate"/>
    </w:r>
    <w:r w:rsidR="00F75ACE" w:rsidRPr="00315ADB">
      <w:rPr>
        <w:rFonts w:ascii="Arial" w:hAnsi="Arial" w:cs="Arial"/>
        <w:b/>
        <w:noProof/>
        <w:sz w:val="18"/>
        <w:szCs w:val="18"/>
      </w:rPr>
      <w:t>1</w:t>
    </w:r>
    <w:r w:rsidRPr="00315ADB">
      <w:rPr>
        <w:rFonts w:ascii="Arial" w:hAnsi="Arial" w:cs="Arial"/>
        <w:b/>
        <w:sz w:val="18"/>
        <w:szCs w:val="18"/>
      </w:rPr>
      <w:fldChar w:fldCharType="end"/>
    </w:r>
    <w:r w:rsidRPr="00315ADB">
      <w:rPr>
        <w:rFonts w:ascii="Arial" w:hAnsi="Arial" w:cs="Arial"/>
        <w:sz w:val="18"/>
        <w:szCs w:val="18"/>
      </w:rPr>
      <w:t xml:space="preserve"> of </w:t>
    </w:r>
    <w:r w:rsidRPr="00315ADB">
      <w:rPr>
        <w:rFonts w:ascii="Arial" w:hAnsi="Arial" w:cs="Arial"/>
        <w:b/>
        <w:sz w:val="18"/>
        <w:szCs w:val="18"/>
      </w:rPr>
      <w:fldChar w:fldCharType="begin"/>
    </w:r>
    <w:r w:rsidRPr="00315ADB">
      <w:rPr>
        <w:rFonts w:ascii="Arial" w:hAnsi="Arial" w:cs="Arial"/>
        <w:b/>
        <w:sz w:val="18"/>
        <w:szCs w:val="18"/>
      </w:rPr>
      <w:instrText>NUMPAGES</w:instrText>
    </w:r>
    <w:r w:rsidRPr="00315ADB">
      <w:rPr>
        <w:rFonts w:ascii="Arial" w:hAnsi="Arial" w:cs="Arial"/>
        <w:b/>
        <w:sz w:val="18"/>
        <w:szCs w:val="18"/>
      </w:rPr>
      <w:fldChar w:fldCharType="separate"/>
    </w:r>
    <w:r w:rsidR="00F75ACE" w:rsidRPr="00315ADB">
      <w:rPr>
        <w:rFonts w:ascii="Arial" w:hAnsi="Arial" w:cs="Arial"/>
        <w:b/>
        <w:noProof/>
        <w:sz w:val="18"/>
        <w:szCs w:val="18"/>
      </w:rPr>
      <w:t>16</w:t>
    </w:r>
    <w:r w:rsidRPr="00315ADB">
      <w:rPr>
        <w:rFonts w:ascii="Arial" w:hAnsi="Arial" w:cs="Arial"/>
        <w:b/>
        <w:sz w:val="18"/>
        <w:szCs w:val="18"/>
      </w:rPr>
      <w:fldChar w:fldCharType="end"/>
    </w:r>
    <w:r w:rsidRPr="00315ADB">
      <w:rPr>
        <w:rFonts w:ascii="Arial" w:hAnsi="Arial" w:cs="Arial"/>
        <w:b/>
        <w:sz w:val="18"/>
        <w:szCs w:val="18"/>
      </w:rPr>
      <w:t xml:space="preserve"> </w:t>
    </w:r>
    <w:r w:rsidRPr="00315ADB">
      <w:rPr>
        <w:rFonts w:ascii="Arial" w:hAnsi="Arial" w:cs="Arial"/>
        <w:b/>
        <w:sz w:val="18"/>
        <w:szCs w:val="18"/>
      </w:rPr>
      <w:tab/>
    </w:r>
    <w:r w:rsidRPr="00315ADB">
      <w:rPr>
        <w:rFonts w:ascii="Arial" w:hAnsi="Arial" w:cs="Arial"/>
        <w:b/>
        <w:sz w:val="18"/>
        <w:szCs w:val="18"/>
      </w:rPr>
      <w:tab/>
    </w:r>
    <w:r w:rsidRPr="00315ADB">
      <w:rPr>
        <w:rFonts w:ascii="Arial" w:hAnsi="Arial" w:cs="Arial"/>
        <w:b/>
        <w:sz w:val="18"/>
        <w:szCs w:val="18"/>
      </w:rPr>
      <w:tab/>
    </w:r>
    <w:r w:rsidRPr="00315ADB">
      <w:rPr>
        <w:rFonts w:ascii="Arial" w:hAnsi="Arial" w:cs="Arial"/>
        <w:b/>
        <w:sz w:val="18"/>
        <w:szCs w:val="18"/>
      </w:rPr>
      <w:tab/>
    </w:r>
    <w:r w:rsidR="003452AC">
      <w:rPr>
        <w:rFonts w:ascii="Arial" w:hAnsi="Arial" w:cs="Arial"/>
        <w:b/>
        <w:sz w:val="18"/>
        <w:szCs w:val="18"/>
      </w:rPr>
      <w:t xml:space="preserve">    </w:t>
    </w:r>
    <w:r w:rsidRPr="00315ADB">
      <w:rPr>
        <w:rFonts w:ascii="Arial" w:eastAsia="Arial" w:hAnsi="Arial" w:cs="Arial"/>
        <w:sz w:val="18"/>
        <w:szCs w:val="18"/>
      </w:rPr>
      <w:t xml:space="preserve">NHSBSA </w:t>
    </w:r>
    <w:r w:rsidR="003452AC">
      <w:rPr>
        <w:rFonts w:ascii="Arial" w:eastAsia="Arial" w:hAnsi="Arial" w:cs="Arial"/>
        <w:sz w:val="18"/>
        <w:szCs w:val="18"/>
      </w:rPr>
      <w:t>©</w:t>
    </w:r>
    <w:r w:rsidRPr="00315ADB">
      <w:rPr>
        <w:rFonts w:ascii="Arial" w:eastAsia="Arial" w:hAnsi="Arial" w:cs="Arial"/>
        <w:sz w:val="18"/>
        <w:szCs w:val="18"/>
      </w:rPr>
      <w:t xml:space="preserve"> 20</w:t>
    </w:r>
    <w:r w:rsidR="003452AC">
      <w:rPr>
        <w:rFonts w:ascii="Arial" w:eastAsia="Arial" w:hAnsi="Arial" w:cs="Arial"/>
        <w:sz w:val="18"/>
        <w:szCs w:val="18"/>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9CFAA" w14:textId="77777777" w:rsidR="00890AF1" w:rsidRDefault="00890AF1">
      <w:pPr>
        <w:spacing w:after="0" w:line="240" w:lineRule="auto"/>
      </w:pPr>
      <w:r>
        <w:separator/>
      </w:r>
    </w:p>
  </w:footnote>
  <w:footnote w:type="continuationSeparator" w:id="0">
    <w:p w14:paraId="1E820787" w14:textId="77777777" w:rsidR="00890AF1" w:rsidRDefault="00890AF1">
      <w:pPr>
        <w:spacing w:after="0" w:line="240" w:lineRule="auto"/>
      </w:pPr>
      <w:r>
        <w:continuationSeparator/>
      </w:r>
    </w:p>
  </w:footnote>
  <w:footnote w:type="continuationNotice" w:id="1">
    <w:p w14:paraId="057FB710" w14:textId="77777777" w:rsidR="00890AF1" w:rsidRDefault="00890A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4374" w14:textId="77777777" w:rsidR="008C348E" w:rsidRDefault="008C348E">
    <w:pPr>
      <w:tabs>
        <w:tab w:val="center" w:pos="4513"/>
        <w:tab w:val="right" w:pos="9026"/>
      </w:tabs>
      <w:spacing w:after="0" w:line="240" w:lineRule="auto"/>
    </w:pPr>
    <w:r>
      <w:rPr>
        <w:noProof/>
      </w:rPr>
      <w:drawing>
        <wp:anchor distT="0" distB="0" distL="114300" distR="114300" simplePos="0" relativeHeight="251658240" behindDoc="0" locked="0" layoutInCell="1" hidden="0" allowOverlap="1" wp14:anchorId="40F94377" wp14:editId="40F94378">
          <wp:simplePos x="0" y="0"/>
          <wp:positionH relativeFrom="margin">
            <wp:posOffset>-720089</wp:posOffset>
          </wp:positionH>
          <wp:positionV relativeFrom="paragraph">
            <wp:posOffset>0</wp:posOffset>
          </wp:positionV>
          <wp:extent cx="7559675" cy="1543050"/>
          <wp:effectExtent l="0" t="0" r="0" b="0"/>
          <wp:wrapSquare wrapText="bothSides" distT="0" distB="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1543050"/>
                  </a:xfrm>
                  <a:prstGeom prst="rect">
                    <a:avLst/>
                  </a:prstGeom>
                  <a:ln/>
                </pic:spPr>
              </pic:pic>
            </a:graphicData>
          </a:graphic>
        </wp:anchor>
      </w:drawing>
    </w:r>
  </w:p>
  <w:p w14:paraId="40F94375" w14:textId="77777777" w:rsidR="008C348E" w:rsidRDefault="008C348E">
    <w:pPr>
      <w:tabs>
        <w:tab w:val="center" w:pos="4513"/>
        <w:tab w:val="right" w:pos="9026"/>
      </w:tabs>
      <w:spacing w:after="0" w:line="240" w:lineRule="aut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530AA"/>
    <w:multiLevelType w:val="multilevel"/>
    <w:tmpl w:val="31969B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077"/>
    <w:rsid w:val="00024BEC"/>
    <w:rsid w:val="0003346B"/>
    <w:rsid w:val="00093242"/>
    <w:rsid w:val="000B781E"/>
    <w:rsid w:val="000C0C81"/>
    <w:rsid w:val="000F2284"/>
    <w:rsid w:val="00113781"/>
    <w:rsid w:val="00122089"/>
    <w:rsid w:val="001620B8"/>
    <w:rsid w:val="0019307B"/>
    <w:rsid w:val="001A5748"/>
    <w:rsid w:val="001D3075"/>
    <w:rsid w:val="00240709"/>
    <w:rsid w:val="002A5046"/>
    <w:rsid w:val="002E36A3"/>
    <w:rsid w:val="00315ADB"/>
    <w:rsid w:val="003205A6"/>
    <w:rsid w:val="003452AC"/>
    <w:rsid w:val="00345F75"/>
    <w:rsid w:val="00361AD8"/>
    <w:rsid w:val="00366A50"/>
    <w:rsid w:val="003758B1"/>
    <w:rsid w:val="003C6112"/>
    <w:rsid w:val="003D5FF2"/>
    <w:rsid w:val="004177B1"/>
    <w:rsid w:val="00457A27"/>
    <w:rsid w:val="00487B06"/>
    <w:rsid w:val="004D44EC"/>
    <w:rsid w:val="004F19AC"/>
    <w:rsid w:val="004F67A0"/>
    <w:rsid w:val="00505641"/>
    <w:rsid w:val="00524AB1"/>
    <w:rsid w:val="00582DB4"/>
    <w:rsid w:val="005B2630"/>
    <w:rsid w:val="005E3A7D"/>
    <w:rsid w:val="006A0B56"/>
    <w:rsid w:val="006B70CC"/>
    <w:rsid w:val="006C09C0"/>
    <w:rsid w:val="006D396C"/>
    <w:rsid w:val="00713023"/>
    <w:rsid w:val="0079383E"/>
    <w:rsid w:val="007F119B"/>
    <w:rsid w:val="00810077"/>
    <w:rsid w:val="008444F0"/>
    <w:rsid w:val="00855C24"/>
    <w:rsid w:val="00862C05"/>
    <w:rsid w:val="008819D1"/>
    <w:rsid w:val="00890AF1"/>
    <w:rsid w:val="0089544D"/>
    <w:rsid w:val="00895D0C"/>
    <w:rsid w:val="008A7769"/>
    <w:rsid w:val="008C348E"/>
    <w:rsid w:val="00954B73"/>
    <w:rsid w:val="00961FF0"/>
    <w:rsid w:val="00980D87"/>
    <w:rsid w:val="009F2EA7"/>
    <w:rsid w:val="009F5668"/>
    <w:rsid w:val="00A12004"/>
    <w:rsid w:val="00A15E5C"/>
    <w:rsid w:val="00A2687B"/>
    <w:rsid w:val="00A55577"/>
    <w:rsid w:val="00A94E4B"/>
    <w:rsid w:val="00AE2A4F"/>
    <w:rsid w:val="00B20F38"/>
    <w:rsid w:val="00B45D09"/>
    <w:rsid w:val="00B83EC1"/>
    <w:rsid w:val="00C45C63"/>
    <w:rsid w:val="00C83036"/>
    <w:rsid w:val="00CB03A0"/>
    <w:rsid w:val="00CE0051"/>
    <w:rsid w:val="00CF6183"/>
    <w:rsid w:val="00D0796A"/>
    <w:rsid w:val="00D56B86"/>
    <w:rsid w:val="00D71ECB"/>
    <w:rsid w:val="00D93D8F"/>
    <w:rsid w:val="00DB3127"/>
    <w:rsid w:val="00E21B40"/>
    <w:rsid w:val="00E27AA0"/>
    <w:rsid w:val="00E71972"/>
    <w:rsid w:val="00E96AA1"/>
    <w:rsid w:val="00EB07B3"/>
    <w:rsid w:val="00F11B9A"/>
    <w:rsid w:val="00F14DAD"/>
    <w:rsid w:val="00F166FE"/>
    <w:rsid w:val="00F25CAE"/>
    <w:rsid w:val="00F273AC"/>
    <w:rsid w:val="00F653C8"/>
    <w:rsid w:val="00F75ACE"/>
    <w:rsid w:val="00FA0B17"/>
    <w:rsid w:val="00FD1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940BF"/>
  <w15:docId w15:val="{27453F99-81A2-4D48-B264-D0FD765A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F5668"/>
  </w:style>
  <w:style w:type="paragraph" w:styleId="Heading1">
    <w:name w:val="heading 1"/>
    <w:basedOn w:val="Normal"/>
    <w:next w:val="Normal"/>
    <w:pPr>
      <w:keepNext/>
      <w:keepLines/>
      <w:spacing w:before="480" w:after="0"/>
      <w:outlineLvl w:val="0"/>
    </w:pPr>
    <w:rPr>
      <w:rFonts w:ascii="Arial" w:eastAsia="Arial" w:hAnsi="Arial" w:cs="Arial"/>
      <w:b/>
      <w:sz w:val="24"/>
      <w:szCs w:val="24"/>
    </w:rPr>
  </w:style>
  <w:style w:type="paragraph" w:styleId="Heading2">
    <w:name w:val="heading 2"/>
    <w:basedOn w:val="Normal"/>
    <w:next w:val="Normal"/>
    <w:pPr>
      <w:keepNext/>
      <w:keepLines/>
      <w:spacing w:before="200" w:after="0"/>
      <w:outlineLvl w:val="1"/>
    </w:pPr>
    <w:rPr>
      <w:rFonts w:ascii="Arial" w:eastAsia="Arial" w:hAnsi="Arial" w:cs="Arial"/>
      <w:b/>
      <w:sz w:val="20"/>
      <w:szCs w:val="20"/>
    </w:rPr>
  </w:style>
  <w:style w:type="paragraph" w:styleId="Heading3">
    <w:name w:val="heading 3"/>
    <w:basedOn w:val="Normal"/>
    <w:next w:val="Normal"/>
    <w:pPr>
      <w:keepNext/>
      <w:spacing w:before="240" w:after="60"/>
      <w:outlineLvl w:val="2"/>
    </w:pPr>
    <w:rPr>
      <w:rFonts w:ascii="Arial" w:eastAsia="Arial" w:hAnsi="Arial" w:cs="Arial"/>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28" w:type="dxa"/>
        <w:left w:w="57" w:type="dxa"/>
        <w:bottom w:w="28" w:type="dxa"/>
        <w:right w:w="57"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28" w:type="dxa"/>
        <w:left w:w="57" w:type="dxa"/>
        <w:bottom w:w="28" w:type="dxa"/>
        <w:right w:w="57"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top w:w="28" w:type="dxa"/>
        <w:left w:w="57" w:type="dxa"/>
        <w:bottom w:w="28" w:type="dxa"/>
        <w:right w:w="57" w:type="dxa"/>
      </w:tblCellMar>
    </w:tblPr>
  </w:style>
  <w:style w:type="table" w:customStyle="1" w:styleId="a5">
    <w:basedOn w:val="TableNormal"/>
    <w:tblPr>
      <w:tblStyleRowBandSize w:val="1"/>
      <w:tblStyleColBandSize w:val="1"/>
      <w:tblCellMar>
        <w:top w:w="28" w:type="dxa"/>
        <w:left w:w="57" w:type="dxa"/>
        <w:bottom w:w="28" w:type="dxa"/>
        <w:right w:w="57" w:type="dxa"/>
      </w:tblCellMar>
    </w:tblPr>
  </w:style>
  <w:style w:type="table" w:customStyle="1" w:styleId="a6">
    <w:basedOn w:val="TableNormal"/>
    <w:tblPr>
      <w:tblStyleRowBandSize w:val="1"/>
      <w:tblStyleColBandSize w:val="1"/>
      <w:tblCellMar>
        <w:top w:w="28" w:type="dxa"/>
        <w:left w:w="57" w:type="dxa"/>
        <w:bottom w:w="28" w:type="dxa"/>
        <w:right w:w="57"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top w:w="28" w:type="dxa"/>
        <w:left w:w="57" w:type="dxa"/>
        <w:bottom w:w="28" w:type="dxa"/>
        <w:right w:w="57"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top w:w="28" w:type="dxa"/>
        <w:left w:w="57" w:type="dxa"/>
        <w:bottom w:w="28" w:type="dxa"/>
        <w:right w:w="57" w:type="dxa"/>
      </w:tblCellMar>
    </w:tblPr>
  </w:style>
  <w:style w:type="table" w:customStyle="1" w:styleId="ab">
    <w:basedOn w:val="TableNormal"/>
    <w:tblPr>
      <w:tblStyleRowBandSize w:val="1"/>
      <w:tblStyleColBandSize w:val="1"/>
      <w:tblCellMar>
        <w:top w:w="28" w:type="dxa"/>
        <w:left w:w="57" w:type="dxa"/>
        <w:bottom w:w="28" w:type="dxa"/>
        <w:right w:w="57"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top w:w="28" w:type="dxa"/>
        <w:left w:w="57" w:type="dxa"/>
        <w:bottom w:w="28" w:type="dxa"/>
        <w:right w:w="57" w:type="dxa"/>
      </w:tblCellMar>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top w:w="28" w:type="dxa"/>
        <w:left w:w="57" w:type="dxa"/>
        <w:bottom w:w="28" w:type="dxa"/>
        <w:right w:w="57"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6A0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B56"/>
    <w:rPr>
      <w:rFonts w:ascii="Tahoma" w:hAnsi="Tahoma" w:cs="Tahoma"/>
      <w:sz w:val="16"/>
      <w:szCs w:val="16"/>
    </w:rPr>
  </w:style>
  <w:style w:type="character" w:styleId="CommentReference">
    <w:name w:val="annotation reference"/>
    <w:basedOn w:val="DefaultParagraphFont"/>
    <w:uiPriority w:val="99"/>
    <w:semiHidden/>
    <w:unhideWhenUsed/>
    <w:rsid w:val="0089544D"/>
    <w:rPr>
      <w:sz w:val="16"/>
      <w:szCs w:val="16"/>
    </w:rPr>
  </w:style>
  <w:style w:type="paragraph" w:styleId="CommentText">
    <w:name w:val="annotation text"/>
    <w:basedOn w:val="Normal"/>
    <w:link w:val="CommentTextChar"/>
    <w:uiPriority w:val="99"/>
    <w:semiHidden/>
    <w:unhideWhenUsed/>
    <w:rsid w:val="0089544D"/>
    <w:pPr>
      <w:spacing w:line="240" w:lineRule="auto"/>
    </w:pPr>
    <w:rPr>
      <w:sz w:val="20"/>
      <w:szCs w:val="20"/>
    </w:rPr>
  </w:style>
  <w:style w:type="character" w:customStyle="1" w:styleId="CommentTextChar">
    <w:name w:val="Comment Text Char"/>
    <w:basedOn w:val="DefaultParagraphFont"/>
    <w:link w:val="CommentText"/>
    <w:uiPriority w:val="99"/>
    <w:semiHidden/>
    <w:rsid w:val="0089544D"/>
    <w:rPr>
      <w:sz w:val="20"/>
      <w:szCs w:val="20"/>
    </w:rPr>
  </w:style>
  <w:style w:type="paragraph" w:styleId="CommentSubject">
    <w:name w:val="annotation subject"/>
    <w:basedOn w:val="CommentText"/>
    <w:next w:val="CommentText"/>
    <w:link w:val="CommentSubjectChar"/>
    <w:uiPriority w:val="99"/>
    <w:semiHidden/>
    <w:unhideWhenUsed/>
    <w:rsid w:val="0089544D"/>
    <w:rPr>
      <w:b/>
      <w:bCs/>
    </w:rPr>
  </w:style>
  <w:style w:type="character" w:customStyle="1" w:styleId="CommentSubjectChar">
    <w:name w:val="Comment Subject Char"/>
    <w:basedOn w:val="CommentTextChar"/>
    <w:link w:val="CommentSubject"/>
    <w:uiPriority w:val="99"/>
    <w:semiHidden/>
    <w:rsid w:val="0089544D"/>
    <w:rPr>
      <w:b/>
      <w:bCs/>
      <w:sz w:val="20"/>
      <w:szCs w:val="20"/>
    </w:rPr>
  </w:style>
  <w:style w:type="paragraph" w:styleId="Header">
    <w:name w:val="header"/>
    <w:basedOn w:val="Normal"/>
    <w:link w:val="HeaderChar"/>
    <w:uiPriority w:val="99"/>
    <w:unhideWhenUsed/>
    <w:rsid w:val="00D71E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ECB"/>
  </w:style>
  <w:style w:type="paragraph" w:styleId="Footer">
    <w:name w:val="footer"/>
    <w:basedOn w:val="Normal"/>
    <w:link w:val="FooterChar"/>
    <w:uiPriority w:val="99"/>
    <w:unhideWhenUsed/>
    <w:rsid w:val="00D71E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ECB"/>
  </w:style>
  <w:style w:type="paragraph" w:styleId="TOC1">
    <w:name w:val="toc 1"/>
    <w:basedOn w:val="Normal"/>
    <w:next w:val="Normal"/>
    <w:autoRedefine/>
    <w:uiPriority w:val="39"/>
    <w:unhideWhenUsed/>
    <w:rsid w:val="004177B1"/>
    <w:pPr>
      <w:spacing w:after="100"/>
    </w:pPr>
  </w:style>
  <w:style w:type="paragraph" w:styleId="TOC2">
    <w:name w:val="toc 2"/>
    <w:basedOn w:val="Normal"/>
    <w:next w:val="Normal"/>
    <w:autoRedefine/>
    <w:uiPriority w:val="39"/>
    <w:unhideWhenUsed/>
    <w:rsid w:val="004177B1"/>
    <w:pPr>
      <w:spacing w:after="100"/>
      <w:ind w:left="220"/>
    </w:pPr>
  </w:style>
  <w:style w:type="character" w:styleId="Hyperlink">
    <w:name w:val="Hyperlink"/>
    <w:basedOn w:val="DefaultParagraphFont"/>
    <w:uiPriority w:val="99"/>
    <w:unhideWhenUsed/>
    <w:rsid w:val="004177B1"/>
    <w:rPr>
      <w:color w:val="0000FF" w:themeColor="hyperlink"/>
      <w:u w:val="single"/>
    </w:rPr>
  </w:style>
  <w:style w:type="table" w:styleId="TableGrid">
    <w:name w:val="Table Grid"/>
    <w:basedOn w:val="TableNormal"/>
    <w:uiPriority w:val="59"/>
    <w:rsid w:val="00E71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E719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E7197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6">
    <w:name w:val="Light List Accent 6"/>
    <w:basedOn w:val="TableNormal"/>
    <w:uiPriority w:val="61"/>
    <w:rsid w:val="00E7197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67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hsbsa.nhs.uk/epact2/dashboards-and-specifications/respiratory-dashboar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hsbsa@nhs.ne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2D2087DE74C54DAA57B030A9EFE0EB" ma:contentTypeVersion="14" ma:contentTypeDescription="Create a new document." ma:contentTypeScope="" ma:versionID="359ebfd71ff780bf386b02028a760998">
  <xsd:schema xmlns:xsd="http://www.w3.org/2001/XMLSchema" xmlns:xs="http://www.w3.org/2001/XMLSchema" xmlns:p="http://schemas.microsoft.com/office/2006/metadata/properties" xmlns:ns1="http://schemas.microsoft.com/sharepoint/v3" xmlns:ns2="91b86cd2-d370-4f57-9db8-681c4fb37596" xmlns:ns3="563bd847-283f-48dc-9444-f54c9e765c55" targetNamespace="http://schemas.microsoft.com/office/2006/metadata/properties" ma:root="true" ma:fieldsID="96432e62a031d99472aec54889fb1874" ns1:_="" ns2:_="" ns3:_="">
    <xsd:import namespace="http://schemas.microsoft.com/sharepoint/v3"/>
    <xsd:import namespace="91b86cd2-d370-4f57-9db8-681c4fb37596"/>
    <xsd:import namespace="563bd847-283f-48dc-9444-f54c9e765c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b86cd2-d370-4f57-9db8-681c4fb37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3bd847-283f-48dc-9444-f54c9e765c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0658C-7E13-4986-B6D5-51ADC686E0D8}">
  <ds:schemaRefs>
    <ds:schemaRef ds:uri="http://schemas.microsoft.com/sharepoint/v3/contenttype/forms"/>
  </ds:schemaRefs>
</ds:datastoreItem>
</file>

<file path=customXml/itemProps2.xml><?xml version="1.0" encoding="utf-8"?>
<ds:datastoreItem xmlns:ds="http://schemas.openxmlformats.org/officeDocument/2006/customXml" ds:itemID="{22E86574-A142-4DA7-B9E5-DA360272A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b86cd2-d370-4f57-9db8-681c4fb37596"/>
    <ds:schemaRef ds:uri="563bd847-283f-48dc-9444-f54c9e765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FE1615-5CE8-4D18-AA02-367ED184844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B74F7FA-03C6-41EC-B482-6EE9CF4AA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3549</Words>
  <Characters>20230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23732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 Buckley</dc:creator>
  <cp:lastModifiedBy>Ann Adamson</cp:lastModifiedBy>
  <cp:revision>2</cp:revision>
  <cp:lastPrinted>2021-09-06T09:43:00Z</cp:lastPrinted>
  <dcterms:created xsi:type="dcterms:W3CDTF">2021-12-07T09:40:00Z</dcterms:created>
  <dcterms:modified xsi:type="dcterms:W3CDTF">2021-12-07T09:40:00Z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0x0101006B2D2087DE74C54DAA57B030A9EFE0EB</vt:lpwstr>
  </property>
  <property fmtid="{D5CDD505-2E9C-101B-9397-08002B2CF9AE}" pid="3" name="Order">
    <vt:r8>100</vt:r8>
  </property>
</Properties>
</file>