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39677985"/>
        <w:docPartObj>
          <w:docPartGallery w:val="Cover Pages"/>
          <w:docPartUnique/>
        </w:docPartObj>
      </w:sdtPr>
      <w:sdtEndPr>
        <w:rPr>
          <w:rFonts w:eastAsiaTheme="minorEastAsia"/>
          <w:lang w:val="en-US"/>
        </w:rPr>
      </w:sdtEndPr>
      <w:sdtContent>
        <w:p w14:paraId="12CB75DC" w14:textId="54B215B4" w:rsidR="007E259B" w:rsidRPr="00C33A15" w:rsidRDefault="00CB479C" w:rsidP="00C33A15">
          <w:pPr>
            <w:pStyle w:val="NoSpacing"/>
            <w:rPr>
              <w:rFonts w:cs="Arial"/>
              <w:b/>
              <w:bCs/>
            </w:rPr>
          </w:pPr>
          <w:r>
            <w:rPr>
              <w:noProof/>
              <w:lang w:eastAsia="en-GB"/>
            </w:rPr>
            <w:drawing>
              <wp:anchor distT="0" distB="0" distL="114300" distR="114300" simplePos="0" relativeHeight="251662336" behindDoc="0" locked="0" layoutInCell="1" allowOverlap="1" wp14:anchorId="56503F3B" wp14:editId="5F96A4FB">
                <wp:simplePos x="0" y="0"/>
                <wp:positionH relativeFrom="page">
                  <wp:posOffset>6353175</wp:posOffset>
                </wp:positionH>
                <wp:positionV relativeFrom="page">
                  <wp:posOffset>371475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3656B9AB" w14:textId="77777777" w:rsidR="00CB479C" w:rsidRDefault="00CB479C" w:rsidP="00CB479C">
      <w:pPr>
        <w:pStyle w:val="NoSpacing"/>
        <w:rPr>
          <w:rFonts w:cs="Arial"/>
          <w:szCs w:val="24"/>
        </w:rPr>
      </w:pPr>
    </w:p>
    <w:p w14:paraId="17FFC705" w14:textId="243BB1DC" w:rsidR="00081C80" w:rsidRDefault="00081C80" w:rsidP="00081C80">
      <w:pPr>
        <w:spacing w:after="0" w:line="240" w:lineRule="auto"/>
        <w:rPr>
          <w:rFonts w:cs="Arial"/>
        </w:rPr>
      </w:pPr>
      <w:r w:rsidRPr="00330C2E">
        <w:rPr>
          <w:rFonts w:cs="Arial"/>
        </w:rPr>
        <w:t xml:space="preserve">Dear </w:t>
      </w:r>
      <w:r w:rsidR="00085F1D" w:rsidRPr="00DC74DC">
        <w:rPr>
          <w:rFonts w:cs="Arial"/>
        </w:rPr>
        <w:t>Colleague,</w:t>
      </w:r>
    </w:p>
    <w:p w14:paraId="4A82C8DB" w14:textId="77777777" w:rsidR="00081C80" w:rsidRPr="00264F70" w:rsidRDefault="00081C80" w:rsidP="00081C80">
      <w:pPr>
        <w:spacing w:after="0" w:line="240" w:lineRule="auto"/>
        <w:rPr>
          <w:rFonts w:cs="Arial"/>
        </w:rPr>
      </w:pPr>
    </w:p>
    <w:p w14:paraId="166062B0" w14:textId="32D1874F" w:rsidR="00081C80" w:rsidRDefault="00081C80" w:rsidP="00081C80">
      <w:pPr>
        <w:spacing w:after="0" w:line="240" w:lineRule="auto"/>
        <w:rPr>
          <w:rFonts w:cs="Arial"/>
        </w:rPr>
      </w:pPr>
      <w:r w:rsidRPr="00264F70">
        <w:rPr>
          <w:rFonts w:cs="Arial"/>
        </w:rPr>
        <w:t xml:space="preserve">Following the publication of the latest letter of preparedness on </w:t>
      </w:r>
      <w:hyperlink r:id="rId12" w:history="1">
        <w:r w:rsidRPr="00264F70">
          <w:rPr>
            <w:rStyle w:val="Hyperlink"/>
            <w:rFonts w:cs="Arial"/>
          </w:rPr>
          <w:t>5 April 2022</w:t>
        </w:r>
      </w:hyperlink>
      <w:r w:rsidRPr="00264F70">
        <w:rPr>
          <w:rFonts w:cs="Arial"/>
        </w:rPr>
        <w:t xml:space="preserve"> outlining end of year reconciliation arrangements for 2021/22 and requirements for Q1 of 2022/23, </w:t>
      </w:r>
      <w:r>
        <w:rPr>
          <w:rFonts w:cs="Arial"/>
        </w:rPr>
        <w:t xml:space="preserve">on behalf of </w:t>
      </w:r>
      <w:r w:rsidRPr="00264F70">
        <w:rPr>
          <w:rFonts w:cs="Arial"/>
        </w:rPr>
        <w:t>NHS England and Improvement</w:t>
      </w:r>
      <w:r>
        <w:rPr>
          <w:rFonts w:cs="Arial"/>
        </w:rPr>
        <w:t xml:space="preserve">, we are sharing </w:t>
      </w:r>
      <w:r w:rsidRPr="00264F70">
        <w:rPr>
          <w:rFonts w:cs="Arial"/>
        </w:rPr>
        <w:t xml:space="preserve">additional information which we hope will address some </w:t>
      </w:r>
      <w:r>
        <w:rPr>
          <w:rFonts w:cs="Arial"/>
        </w:rPr>
        <w:t>questions we’ve heard from practices</w:t>
      </w:r>
      <w:r w:rsidRPr="00264F70">
        <w:rPr>
          <w:rFonts w:cs="Arial"/>
        </w:rPr>
        <w:t xml:space="preserve">. </w:t>
      </w:r>
    </w:p>
    <w:p w14:paraId="0AB6A759" w14:textId="77777777" w:rsidR="00081C80" w:rsidRDefault="00081C80" w:rsidP="00081C80">
      <w:pPr>
        <w:spacing w:after="0" w:line="240" w:lineRule="auto"/>
        <w:rPr>
          <w:rFonts w:cs="Arial"/>
        </w:rPr>
      </w:pPr>
    </w:p>
    <w:p w14:paraId="1C3EB7A8" w14:textId="77777777" w:rsidR="00081C80" w:rsidRDefault="00081C80" w:rsidP="00081C80">
      <w:pPr>
        <w:spacing w:after="0" w:line="240" w:lineRule="auto"/>
        <w:rPr>
          <w:rFonts w:cs="Arial"/>
        </w:rPr>
      </w:pPr>
      <w:r>
        <w:rPr>
          <w:rFonts w:cs="Arial"/>
        </w:rPr>
        <w:t xml:space="preserve">We appreciate many colleagues will be looking to plan now for the remainder of the year, and hope that this will provide more certainty to support that work. Thank you for your ongoing efforts. </w:t>
      </w:r>
    </w:p>
    <w:p w14:paraId="2D1875F5" w14:textId="77777777" w:rsidR="00081C80" w:rsidRPr="00264F70" w:rsidRDefault="00081C80" w:rsidP="00081C80">
      <w:pPr>
        <w:spacing w:after="0" w:line="240" w:lineRule="auto"/>
        <w:rPr>
          <w:rFonts w:cs="Arial"/>
        </w:rPr>
      </w:pPr>
    </w:p>
    <w:p w14:paraId="1E720E40" w14:textId="77777777" w:rsidR="00081C80" w:rsidRDefault="00081C80" w:rsidP="00081C80">
      <w:pPr>
        <w:spacing w:after="0" w:line="240" w:lineRule="auto"/>
        <w:rPr>
          <w:rFonts w:cs="Arial"/>
          <w:i/>
          <w:iCs/>
          <w:color w:val="0070C0"/>
        </w:rPr>
      </w:pPr>
      <w:r w:rsidRPr="00264F70">
        <w:rPr>
          <w:rFonts w:cs="Arial"/>
          <w:i/>
          <w:iCs/>
          <w:color w:val="0070C0"/>
        </w:rPr>
        <w:t xml:space="preserve">Will practices be able to make up for any delivery under 95% in quarter one in the later periods of 2022/23 </w:t>
      </w:r>
    </w:p>
    <w:p w14:paraId="1899635A" w14:textId="77777777" w:rsidR="00081C80" w:rsidRPr="00264F70" w:rsidRDefault="00081C80" w:rsidP="00081C80">
      <w:pPr>
        <w:spacing w:after="0" w:line="240" w:lineRule="auto"/>
        <w:rPr>
          <w:rFonts w:cs="Arial"/>
          <w:i/>
          <w:iCs/>
          <w:color w:val="0070C0"/>
        </w:rPr>
      </w:pPr>
      <w:r w:rsidRPr="00264F70">
        <w:rPr>
          <w:rFonts w:cs="Arial"/>
          <w:i/>
          <w:iCs/>
          <w:color w:val="0070C0"/>
        </w:rPr>
        <w:t xml:space="preserve"> </w:t>
      </w:r>
    </w:p>
    <w:p w14:paraId="4F852CB7" w14:textId="4F5258AF" w:rsidR="00081C80" w:rsidRPr="00DC74DC" w:rsidRDefault="00081C80" w:rsidP="00081C80">
      <w:pPr>
        <w:spacing w:after="0" w:line="240" w:lineRule="auto"/>
        <w:rPr>
          <w:rFonts w:cs="Arial"/>
        </w:rPr>
      </w:pPr>
      <w:r w:rsidRPr="00264F70">
        <w:rPr>
          <w:rFonts w:cs="Arial"/>
        </w:rPr>
        <w:t>Whilst we have made the offer of income protection for those who require it in Q1, we do not want any contractors to be inadvertently disadvantaged through this approach</w:t>
      </w:r>
      <w:r w:rsidRPr="00330C2E">
        <w:rPr>
          <w:rFonts w:cs="Arial"/>
        </w:rPr>
        <w:t xml:space="preserve">. </w:t>
      </w:r>
      <w:r w:rsidR="00E97BED" w:rsidRPr="00DC74DC">
        <w:rPr>
          <w:rFonts w:cs="Arial"/>
        </w:rPr>
        <w:t>In particular we want to reassure colleagues that they will be able to rely on performance calculated on a whole year basis where that additional flexibility would be to a contractor’s benefit. This means</w:t>
      </w:r>
      <w:r w:rsidRPr="00DC74DC">
        <w:rPr>
          <w:rFonts w:cs="Arial"/>
        </w:rPr>
        <w:t>:</w:t>
      </w:r>
    </w:p>
    <w:p w14:paraId="43114B16" w14:textId="77777777" w:rsidR="00081C80" w:rsidRPr="00DC74DC" w:rsidRDefault="00081C80" w:rsidP="00081C80">
      <w:pPr>
        <w:spacing w:after="0" w:line="240" w:lineRule="auto"/>
        <w:rPr>
          <w:rFonts w:cs="Arial"/>
        </w:rPr>
      </w:pPr>
    </w:p>
    <w:p w14:paraId="060ADFD8" w14:textId="4844301E" w:rsidR="000749F0" w:rsidRPr="00DC74DC" w:rsidRDefault="000749F0" w:rsidP="00081C80">
      <w:pPr>
        <w:pStyle w:val="ListParagraph"/>
        <w:numPr>
          <w:ilvl w:val="0"/>
          <w:numId w:val="1"/>
        </w:numPr>
        <w:spacing w:after="0" w:line="240" w:lineRule="auto"/>
        <w:rPr>
          <w:rFonts w:ascii="Arial" w:hAnsi="Arial" w:cs="Arial"/>
        </w:rPr>
      </w:pPr>
      <w:r w:rsidRPr="00DC74DC">
        <w:rPr>
          <w:rFonts w:ascii="Arial" w:hAnsi="Arial" w:cs="Arial"/>
        </w:rPr>
        <w:t>Where treating Q1 separately isn’t to a contractor’s advantage, the calculation of performance will be on a whole year basis, and no separate arrangements will apply to Q1;</w:t>
      </w:r>
    </w:p>
    <w:p w14:paraId="097A6655" w14:textId="69ECDBE8" w:rsidR="00081C80" w:rsidRPr="00DC74DC" w:rsidRDefault="00081C80" w:rsidP="00081C80">
      <w:pPr>
        <w:pStyle w:val="ListParagraph"/>
        <w:numPr>
          <w:ilvl w:val="0"/>
          <w:numId w:val="1"/>
        </w:numPr>
        <w:spacing w:after="0" w:line="240" w:lineRule="auto"/>
        <w:rPr>
          <w:rFonts w:ascii="Arial" w:hAnsi="Arial" w:cs="Arial"/>
        </w:rPr>
      </w:pPr>
      <w:r w:rsidRPr="00DC74DC">
        <w:rPr>
          <w:rFonts w:ascii="Arial" w:hAnsi="Arial" w:cs="Arial"/>
        </w:rPr>
        <w:t>If treating Q1 separately is to a contractor’s advantage, they will receive income protection at 95%, and accordingly won’t be able to carry forward activity from Q1 to count against their UDA requirement for the remainder of the year</w:t>
      </w:r>
      <w:r w:rsidR="000749F0" w:rsidRPr="00DC74DC">
        <w:rPr>
          <w:rFonts w:ascii="Arial" w:hAnsi="Arial" w:cs="Arial"/>
        </w:rPr>
        <w:t>. In this case, a variable cost adjustment at 12.75% will be applied to Q1.</w:t>
      </w:r>
    </w:p>
    <w:p w14:paraId="2C0885DC" w14:textId="77777777" w:rsidR="000749F0" w:rsidRDefault="000749F0" w:rsidP="000749F0">
      <w:pPr>
        <w:spacing w:after="0" w:line="240" w:lineRule="auto"/>
        <w:rPr>
          <w:rFonts w:cs="Arial"/>
        </w:rPr>
      </w:pPr>
    </w:p>
    <w:p w14:paraId="1D8326FA" w14:textId="59B2FF95" w:rsidR="00081C80" w:rsidRPr="00264F70" w:rsidRDefault="00081C80" w:rsidP="00081C80">
      <w:pPr>
        <w:spacing w:after="0" w:line="240" w:lineRule="auto"/>
        <w:rPr>
          <w:rFonts w:cs="Arial"/>
        </w:rPr>
      </w:pPr>
      <w:r w:rsidRPr="00264F70">
        <w:rPr>
          <w:rFonts w:cs="Arial"/>
        </w:rPr>
        <w:t>Contractors who receive income protection will be required to complete the Workforce Data Collection form on Compass and the Year-End Declaration when this becomes available. We will remind contractors of these requirements through the year.</w:t>
      </w:r>
    </w:p>
    <w:p w14:paraId="4B7AF466" w14:textId="77777777" w:rsidR="00081C80" w:rsidRDefault="00081C80" w:rsidP="00081C80">
      <w:pPr>
        <w:spacing w:after="0" w:line="240" w:lineRule="auto"/>
        <w:rPr>
          <w:rFonts w:cs="Arial"/>
          <w:i/>
          <w:iCs/>
          <w:color w:val="0070C0"/>
        </w:rPr>
      </w:pPr>
    </w:p>
    <w:p w14:paraId="46FED402" w14:textId="77777777" w:rsidR="00081C80" w:rsidRPr="00264F70" w:rsidRDefault="00081C80" w:rsidP="00081C80">
      <w:pPr>
        <w:spacing w:after="0" w:line="240" w:lineRule="auto"/>
        <w:rPr>
          <w:rFonts w:cs="Arial"/>
          <w:i/>
          <w:iCs/>
          <w:color w:val="0070C0"/>
        </w:rPr>
      </w:pPr>
      <w:r w:rsidRPr="00264F70">
        <w:rPr>
          <w:rFonts w:cs="Arial"/>
          <w:i/>
          <w:iCs/>
          <w:color w:val="0070C0"/>
        </w:rPr>
        <w:t>Do the Covid specific exceptional circumstances provisions continue into Q1 of 2022/23?</w:t>
      </w:r>
    </w:p>
    <w:p w14:paraId="39181A3B" w14:textId="77777777" w:rsidR="00081C80" w:rsidRDefault="00081C80" w:rsidP="00081C80">
      <w:pPr>
        <w:spacing w:after="0" w:line="240" w:lineRule="auto"/>
        <w:rPr>
          <w:rFonts w:cs="Arial"/>
        </w:rPr>
      </w:pPr>
    </w:p>
    <w:p w14:paraId="6CB32A8A" w14:textId="5122900A" w:rsidR="00081C80" w:rsidRPr="00264F70" w:rsidRDefault="000749F0" w:rsidP="00081C80">
      <w:pPr>
        <w:spacing w:after="0" w:line="240" w:lineRule="auto"/>
        <w:rPr>
          <w:rFonts w:cs="Arial"/>
        </w:rPr>
      </w:pPr>
      <w:r w:rsidRPr="00DC74DC">
        <w:rPr>
          <w:rFonts w:cs="Arial"/>
        </w:rPr>
        <w:t xml:space="preserve">The staff exceptional circumstances provisions ended </w:t>
      </w:r>
      <w:r w:rsidR="00E97BED" w:rsidRPr="00DC74DC">
        <w:rPr>
          <w:rFonts w:cs="Arial"/>
        </w:rPr>
        <w:t>on 31 March 2022 and w</w:t>
      </w:r>
      <w:r w:rsidRPr="00DC74DC">
        <w:rPr>
          <w:rFonts w:cs="Arial"/>
        </w:rPr>
        <w:t>e are unable to continue these into 2022/23.</w:t>
      </w:r>
      <w:r>
        <w:rPr>
          <w:rFonts w:cs="Arial"/>
        </w:rPr>
        <w:t xml:space="preserve"> </w:t>
      </w:r>
      <w:r w:rsidR="00081C80" w:rsidRPr="00264F70">
        <w:rPr>
          <w:rFonts w:cs="Arial"/>
        </w:rPr>
        <w:t xml:space="preserve">Contractors are encouraged to submit any outstanding </w:t>
      </w:r>
      <w:r w:rsidR="00081C80">
        <w:rPr>
          <w:rFonts w:cs="Arial"/>
        </w:rPr>
        <w:t xml:space="preserve">supporting information and/or </w:t>
      </w:r>
      <w:r w:rsidR="00081C80" w:rsidRPr="00264F70">
        <w:rPr>
          <w:rFonts w:cs="Arial"/>
        </w:rPr>
        <w:t xml:space="preserve">claims </w:t>
      </w:r>
      <w:r w:rsidR="00081C80">
        <w:rPr>
          <w:rFonts w:cs="Arial"/>
        </w:rPr>
        <w:t xml:space="preserve">and </w:t>
      </w:r>
      <w:r w:rsidR="00081C80" w:rsidRPr="00264F70">
        <w:rPr>
          <w:rFonts w:cs="Arial"/>
        </w:rPr>
        <w:t xml:space="preserve">as soon as possible, to ensure that these can be included in year-end reconciliation calculations. </w:t>
      </w:r>
    </w:p>
    <w:p w14:paraId="3073D98F" w14:textId="77777777" w:rsidR="00081C80" w:rsidRDefault="00081C80" w:rsidP="00081C80">
      <w:pPr>
        <w:spacing w:after="0" w:line="240" w:lineRule="auto"/>
        <w:rPr>
          <w:rFonts w:cs="Arial"/>
          <w:i/>
          <w:iCs/>
          <w:color w:val="0070C0"/>
        </w:rPr>
      </w:pPr>
    </w:p>
    <w:p w14:paraId="676E0C4D" w14:textId="77777777" w:rsidR="00081C80" w:rsidRPr="00264F70" w:rsidRDefault="00081C80" w:rsidP="00081C80">
      <w:pPr>
        <w:spacing w:after="0" w:line="240" w:lineRule="auto"/>
        <w:rPr>
          <w:rFonts w:cs="Arial"/>
          <w:i/>
          <w:iCs/>
          <w:color w:val="0070C0"/>
        </w:rPr>
      </w:pPr>
      <w:r w:rsidRPr="00264F70">
        <w:rPr>
          <w:rFonts w:cs="Arial"/>
          <w:i/>
          <w:iCs/>
          <w:color w:val="0070C0"/>
        </w:rPr>
        <w:t>Can orthodontic delivery be carried forward (normally allowable up to 102%)?</w:t>
      </w:r>
    </w:p>
    <w:p w14:paraId="03DADF83" w14:textId="77777777" w:rsidR="00081C80" w:rsidRDefault="00081C80" w:rsidP="00081C80">
      <w:pPr>
        <w:spacing w:after="0" w:line="240" w:lineRule="auto"/>
        <w:rPr>
          <w:rFonts w:cs="Arial"/>
        </w:rPr>
      </w:pPr>
    </w:p>
    <w:p w14:paraId="7EBD4987" w14:textId="77777777" w:rsidR="00081C80" w:rsidRPr="00264F70" w:rsidRDefault="00081C80" w:rsidP="00081C80">
      <w:pPr>
        <w:spacing w:after="0" w:line="240" w:lineRule="auto"/>
        <w:rPr>
          <w:rFonts w:cs="Arial"/>
        </w:rPr>
      </w:pPr>
      <w:r w:rsidRPr="00264F70">
        <w:rPr>
          <w:rFonts w:cs="Arial"/>
        </w:rPr>
        <w:t xml:space="preserve">Yes. If an orthodontic contract has delivered in excess of 100% of actual contracted activity normal tolerances will apply and activity up to a maximum of 2% may be carried forward. This applies for contract years 2021/2022 and 2022/2023. </w:t>
      </w:r>
    </w:p>
    <w:p w14:paraId="3EBAAEF0" w14:textId="77777777" w:rsidR="00081C80" w:rsidRPr="00264F70" w:rsidRDefault="00081C80" w:rsidP="00081C80">
      <w:pPr>
        <w:spacing w:after="0" w:line="240" w:lineRule="auto"/>
        <w:rPr>
          <w:rFonts w:cs="Arial"/>
        </w:rPr>
      </w:pPr>
    </w:p>
    <w:p w14:paraId="1AD6006F" w14:textId="77777777" w:rsidR="00081C80" w:rsidRPr="00264F70" w:rsidRDefault="00081C80" w:rsidP="00081C80">
      <w:pPr>
        <w:spacing w:after="0" w:line="240" w:lineRule="auto"/>
        <w:rPr>
          <w:rFonts w:cs="Arial"/>
          <w:color w:val="0070C0"/>
        </w:rPr>
      </w:pPr>
      <w:r w:rsidRPr="00264F70">
        <w:rPr>
          <w:rFonts w:cs="Arial"/>
          <w:i/>
          <w:iCs/>
          <w:color w:val="0070C0"/>
        </w:rPr>
        <w:t>Are you able to confirm whether urgent care centres continue to operate?</w:t>
      </w:r>
    </w:p>
    <w:p w14:paraId="1EDB7499" w14:textId="77777777" w:rsidR="00081C80" w:rsidRDefault="00081C80" w:rsidP="00081C80">
      <w:pPr>
        <w:spacing w:after="0" w:line="240" w:lineRule="auto"/>
        <w:rPr>
          <w:rFonts w:cs="Arial"/>
        </w:rPr>
      </w:pPr>
    </w:p>
    <w:p w14:paraId="0E6244E6" w14:textId="4089641B" w:rsidR="00081C80" w:rsidRDefault="00081C80" w:rsidP="00081C80">
      <w:pPr>
        <w:spacing w:after="0" w:line="240" w:lineRule="auto"/>
        <w:rPr>
          <w:rFonts w:cs="Arial"/>
        </w:rPr>
      </w:pPr>
      <w:r>
        <w:rPr>
          <w:rFonts w:cs="Arial"/>
        </w:rPr>
        <w:lastRenderedPageBreak/>
        <w:t>T</w:t>
      </w:r>
      <w:r w:rsidRPr="00264F70">
        <w:rPr>
          <w:rFonts w:cs="Arial"/>
        </w:rPr>
        <w:t>he continuation of urgent dental care centres will be a decision that is made by regional commissioning teams.</w:t>
      </w:r>
      <w:r>
        <w:rPr>
          <w:rFonts w:cs="Arial"/>
        </w:rPr>
        <w:br/>
      </w:r>
    </w:p>
    <w:p w14:paraId="6AF9D3F0" w14:textId="77777777" w:rsidR="00081C80" w:rsidRDefault="00081C80" w:rsidP="00081C80">
      <w:pPr>
        <w:spacing w:after="0" w:line="240" w:lineRule="auto"/>
        <w:rPr>
          <w:rFonts w:cs="Arial"/>
          <w:i/>
          <w:iCs/>
          <w:color w:val="0070C0"/>
        </w:rPr>
      </w:pPr>
      <w:r w:rsidRPr="00D67030">
        <w:rPr>
          <w:rFonts w:cs="Arial"/>
          <w:i/>
          <w:iCs/>
          <w:color w:val="0070C0"/>
        </w:rPr>
        <w:t>Dental foundation trainees</w:t>
      </w:r>
    </w:p>
    <w:p w14:paraId="0D449AB9" w14:textId="77777777" w:rsidR="00081C80" w:rsidRDefault="00081C80" w:rsidP="00081C80">
      <w:pPr>
        <w:spacing w:after="0" w:line="240" w:lineRule="auto"/>
        <w:rPr>
          <w:rFonts w:cs="Arial"/>
          <w:i/>
          <w:iCs/>
          <w:color w:val="0070C0"/>
        </w:rPr>
      </w:pPr>
    </w:p>
    <w:p w14:paraId="1BF05A7D" w14:textId="3A570A41" w:rsidR="00081C80" w:rsidRDefault="00081C80" w:rsidP="00081C80">
      <w:pPr>
        <w:spacing w:after="0" w:line="240" w:lineRule="auto"/>
        <w:rPr>
          <w:rFonts w:cs="Arial"/>
        </w:rPr>
      </w:pPr>
      <w:r>
        <w:rPr>
          <w:rFonts w:cs="Arial"/>
        </w:rPr>
        <w:t xml:space="preserve">Income protection arrangements have been agreed through Q1 2022/23 for those who require it as set out above, </w:t>
      </w:r>
      <w:r w:rsidRPr="00DC74DC">
        <w:rPr>
          <w:rFonts w:cs="Arial"/>
        </w:rPr>
        <w:t xml:space="preserve">as further support </w:t>
      </w:r>
      <w:r w:rsidR="000749F0" w:rsidRPr="00DC74DC">
        <w:rPr>
          <w:rFonts w:cs="Arial"/>
        </w:rPr>
        <w:t xml:space="preserve">during </w:t>
      </w:r>
      <w:r w:rsidR="00E97BED" w:rsidRPr="00DC74DC">
        <w:rPr>
          <w:rFonts w:cs="Arial"/>
        </w:rPr>
        <w:t>this</w:t>
      </w:r>
      <w:r w:rsidR="000749F0" w:rsidRPr="00DC74DC">
        <w:rPr>
          <w:rFonts w:cs="Arial"/>
        </w:rPr>
        <w:t xml:space="preserve"> period where practices are adapting to living with covid</w:t>
      </w:r>
      <w:r w:rsidRPr="00330C2E">
        <w:rPr>
          <w:rFonts w:cs="Arial"/>
        </w:rPr>
        <w:t xml:space="preserve">.  </w:t>
      </w:r>
      <w:r w:rsidRPr="00DC74DC">
        <w:rPr>
          <w:rFonts w:cs="Arial"/>
        </w:rPr>
        <w:t>During this period</w:t>
      </w:r>
      <w:r w:rsidRPr="00330C2E">
        <w:rPr>
          <w:rFonts w:cs="Arial"/>
        </w:rPr>
        <w:t>,</w:t>
      </w:r>
      <w:r>
        <w:rPr>
          <w:rFonts w:cs="Arial"/>
        </w:rPr>
        <w:t xml:space="preserve"> we will continue to recognise a</w:t>
      </w:r>
      <w:r w:rsidRPr="00D67030">
        <w:rPr>
          <w:rFonts w:cs="Arial"/>
        </w:rPr>
        <w:t xml:space="preserve">ctivity undertaken by dental foundation trainees </w:t>
      </w:r>
      <w:r>
        <w:rPr>
          <w:rFonts w:cs="Arial"/>
        </w:rPr>
        <w:t xml:space="preserve">as </w:t>
      </w:r>
      <w:r w:rsidRPr="00D67030">
        <w:rPr>
          <w:rFonts w:cs="Arial"/>
        </w:rPr>
        <w:t>count</w:t>
      </w:r>
      <w:r>
        <w:rPr>
          <w:rFonts w:cs="Arial"/>
        </w:rPr>
        <w:t>ing</w:t>
      </w:r>
      <w:r w:rsidRPr="00D67030">
        <w:rPr>
          <w:rFonts w:cs="Arial"/>
        </w:rPr>
        <w:t xml:space="preserve"> towards delivery of the train</w:t>
      </w:r>
      <w:r>
        <w:rPr>
          <w:rFonts w:cs="Arial"/>
        </w:rPr>
        <w:t xml:space="preserve">ing practice’s </w:t>
      </w:r>
      <w:r w:rsidRPr="00D67030">
        <w:rPr>
          <w:rFonts w:cs="Arial"/>
        </w:rPr>
        <w:t>mandatory services contract</w:t>
      </w:r>
      <w:r>
        <w:rPr>
          <w:rFonts w:cs="Arial"/>
        </w:rPr>
        <w:t xml:space="preserve">. This will apply to activity from </w:t>
      </w:r>
      <w:r w:rsidRPr="00D67030">
        <w:rPr>
          <w:rFonts w:cs="Arial"/>
        </w:rPr>
        <w:t xml:space="preserve">1 </w:t>
      </w:r>
      <w:r>
        <w:rPr>
          <w:rFonts w:cs="Arial"/>
        </w:rPr>
        <w:t xml:space="preserve">April to 30 June 2022, and activity must as always be submitted within the </w:t>
      </w:r>
      <w:proofErr w:type="gramStart"/>
      <w:r>
        <w:rPr>
          <w:rFonts w:cs="Arial"/>
        </w:rPr>
        <w:t>60 day</w:t>
      </w:r>
      <w:proofErr w:type="gramEnd"/>
      <w:r>
        <w:rPr>
          <w:rFonts w:cs="Arial"/>
        </w:rPr>
        <w:t xml:space="preserve"> rule. </w:t>
      </w:r>
    </w:p>
    <w:p w14:paraId="6ECC387C" w14:textId="77777777" w:rsidR="00081C80" w:rsidRDefault="00081C80" w:rsidP="00081C80">
      <w:pPr>
        <w:spacing w:after="0" w:line="240" w:lineRule="auto"/>
        <w:rPr>
          <w:rFonts w:cs="Arial"/>
        </w:rPr>
      </w:pPr>
    </w:p>
    <w:p w14:paraId="2B9FED67" w14:textId="77777777" w:rsidR="00081C80" w:rsidRDefault="00081C80" w:rsidP="00081C80">
      <w:pPr>
        <w:spacing w:after="0" w:line="240" w:lineRule="auto"/>
        <w:rPr>
          <w:rFonts w:cs="Arial"/>
        </w:rPr>
      </w:pPr>
      <w:r>
        <w:rPr>
          <w:rFonts w:cs="Arial"/>
        </w:rPr>
        <w:t xml:space="preserve">We will provide a further update on this position for the remainder of the year. </w:t>
      </w:r>
    </w:p>
    <w:p w14:paraId="316341BD" w14:textId="77777777" w:rsidR="00081C80" w:rsidRDefault="00081C80" w:rsidP="00081C80">
      <w:pPr>
        <w:spacing w:after="0" w:line="240" w:lineRule="auto"/>
        <w:rPr>
          <w:rFonts w:cs="Arial"/>
        </w:rPr>
      </w:pPr>
    </w:p>
    <w:p w14:paraId="47DDC7C7" w14:textId="7DAC1EB6" w:rsidR="00081C80" w:rsidRPr="00D67030" w:rsidRDefault="00081C80" w:rsidP="00081C80">
      <w:pPr>
        <w:spacing w:after="0" w:line="240" w:lineRule="auto"/>
        <w:rPr>
          <w:rFonts w:cs="Arial"/>
          <w:i/>
          <w:iCs/>
          <w:color w:val="0070C0"/>
        </w:rPr>
      </w:pPr>
      <w:r w:rsidRPr="00D67030">
        <w:rPr>
          <w:rFonts w:cs="Arial"/>
          <w:i/>
          <w:iCs/>
          <w:color w:val="0070C0"/>
        </w:rPr>
        <w:t>In the year end reconciliation guidance, the wording in relation to covid absence exceptional circumstances talks about the relevant period being from the start of any staff absence</w:t>
      </w:r>
      <w:r w:rsidR="00E97BED">
        <w:rPr>
          <w:rFonts w:cs="Arial"/>
          <w:i/>
          <w:iCs/>
          <w:color w:val="0070C0"/>
        </w:rPr>
        <w:t>. D</w:t>
      </w:r>
      <w:r w:rsidRPr="00D67030">
        <w:rPr>
          <w:rFonts w:cs="Arial"/>
          <w:i/>
          <w:iCs/>
          <w:color w:val="0070C0"/>
        </w:rPr>
        <w:t>oes this mean ‘from when the absence impacts NHS delivery’?</w:t>
      </w:r>
    </w:p>
    <w:p w14:paraId="2245E826" w14:textId="77777777" w:rsidR="00081C80" w:rsidRDefault="00081C80" w:rsidP="00081C80">
      <w:pPr>
        <w:spacing w:after="0" w:line="240" w:lineRule="auto"/>
        <w:rPr>
          <w:rFonts w:cs="Arial"/>
        </w:rPr>
      </w:pPr>
    </w:p>
    <w:p w14:paraId="59D5B7DA" w14:textId="4F232F17" w:rsidR="00CB479C" w:rsidRPr="00E97BED" w:rsidRDefault="00081C80" w:rsidP="00E97BED">
      <w:pPr>
        <w:spacing w:after="0" w:line="240" w:lineRule="auto"/>
        <w:rPr>
          <w:rFonts w:cs="Arial"/>
          <w:i/>
          <w:iCs/>
        </w:rPr>
      </w:pPr>
      <w:r w:rsidRPr="00264F70">
        <w:rPr>
          <w:rFonts w:cs="Arial"/>
        </w:rPr>
        <w:t xml:space="preserve">NHS England will award any relevant lost activity due to a staff member testing positive and impacting on contractual delivery. The relevant period would commence as soon as the staff absence had an impact on contractual delivery, based on the sessions that were unable to be completed during the period 1 December 2021 to 31 March 2022. </w:t>
      </w:r>
    </w:p>
    <w:p w14:paraId="78081F9A" w14:textId="30A67FC6" w:rsidR="006F70C3" w:rsidRDefault="006F70C3"/>
    <w:p w14:paraId="42C81DD0" w14:textId="0E902185" w:rsidR="002F5B7E" w:rsidRPr="00DC74DC" w:rsidRDefault="002F5B7E" w:rsidP="002F5B7E">
      <w:pPr>
        <w:spacing w:after="0" w:line="240" w:lineRule="auto"/>
        <w:rPr>
          <w:szCs w:val="24"/>
        </w:rPr>
      </w:pPr>
      <w:r w:rsidRPr="00DC74DC">
        <w:rPr>
          <w:szCs w:val="24"/>
        </w:rPr>
        <w:t>Yours faithfully,</w:t>
      </w:r>
    </w:p>
    <w:p w14:paraId="4A6297E6" w14:textId="436A2F51" w:rsidR="002F5B7E" w:rsidRPr="00DC74DC" w:rsidRDefault="002F5B7E" w:rsidP="002F5B7E">
      <w:pPr>
        <w:spacing w:after="0" w:line="240" w:lineRule="auto"/>
        <w:rPr>
          <w:szCs w:val="24"/>
        </w:rPr>
      </w:pPr>
    </w:p>
    <w:p w14:paraId="5BA60B51" w14:textId="1FF7C771" w:rsidR="002F5B7E" w:rsidRPr="00DC74DC" w:rsidRDefault="002F5B7E" w:rsidP="002F5B7E">
      <w:pPr>
        <w:spacing w:after="0" w:line="240" w:lineRule="auto"/>
        <w:rPr>
          <w:szCs w:val="24"/>
        </w:rPr>
      </w:pPr>
    </w:p>
    <w:p w14:paraId="7FAAECB3" w14:textId="31D33E22" w:rsidR="002F5B7E" w:rsidRPr="00DC74DC" w:rsidRDefault="00330C2E" w:rsidP="002F5B7E">
      <w:pPr>
        <w:spacing w:after="0" w:line="240" w:lineRule="auto"/>
        <w:rPr>
          <w:szCs w:val="24"/>
        </w:rPr>
      </w:pPr>
      <w:r w:rsidRPr="00330C2E">
        <w:rPr>
          <w:rFonts w:cs="Arial"/>
          <w:noProof/>
          <w:sz w:val="22"/>
        </w:rPr>
        <w:drawing>
          <wp:inline distT="0" distB="0" distL="0" distR="0" wp14:anchorId="10036683" wp14:editId="6D805FFE">
            <wp:extent cx="1454656"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5090" cy="360709"/>
                    </a:xfrm>
                    <a:prstGeom prst="rect">
                      <a:avLst/>
                    </a:prstGeom>
                    <a:noFill/>
                    <a:ln>
                      <a:noFill/>
                    </a:ln>
                  </pic:spPr>
                </pic:pic>
              </a:graphicData>
            </a:graphic>
          </wp:inline>
        </w:drawing>
      </w:r>
    </w:p>
    <w:p w14:paraId="62182A25" w14:textId="77777777" w:rsidR="002F5B7E" w:rsidRPr="00DC74DC" w:rsidRDefault="002F5B7E" w:rsidP="002F5B7E">
      <w:pPr>
        <w:spacing w:after="0" w:line="240" w:lineRule="auto"/>
        <w:rPr>
          <w:szCs w:val="24"/>
        </w:rPr>
      </w:pPr>
    </w:p>
    <w:p w14:paraId="6DCE397A" w14:textId="1B7FFF8C" w:rsidR="002F5B7E" w:rsidRPr="00DC74DC" w:rsidRDefault="002F5B7E" w:rsidP="002F5B7E">
      <w:pPr>
        <w:spacing w:after="0" w:line="240" w:lineRule="auto"/>
        <w:rPr>
          <w:szCs w:val="24"/>
        </w:rPr>
      </w:pPr>
    </w:p>
    <w:p w14:paraId="187B6C03" w14:textId="23124CF4" w:rsidR="002F5B7E" w:rsidRPr="002F5B7E" w:rsidRDefault="002F5B7E" w:rsidP="002F5B7E">
      <w:pPr>
        <w:spacing w:after="0" w:line="240" w:lineRule="auto"/>
        <w:rPr>
          <w:szCs w:val="24"/>
        </w:rPr>
      </w:pPr>
      <w:r w:rsidRPr="00DC74DC">
        <w:rPr>
          <w:rStyle w:val="Strong"/>
          <w:rFonts w:cs="Arial"/>
          <w:color w:val="030303"/>
          <w:position w:val="17"/>
          <w:szCs w:val="24"/>
        </w:rPr>
        <w:t>Ali Sparke</w:t>
      </w:r>
      <w:r w:rsidRPr="00DC74DC">
        <w:rPr>
          <w:rFonts w:cs="Arial"/>
          <w:color w:val="030303"/>
          <w:position w:val="17"/>
          <w:szCs w:val="24"/>
        </w:rPr>
        <w:br/>
        <w:t>Director for Dentistry, Community Pharmacy, Optometry, and the NHS Standard Contract</w:t>
      </w:r>
    </w:p>
    <w:p w14:paraId="50C92879" w14:textId="77777777" w:rsidR="002F5B7E" w:rsidRPr="002F5B7E" w:rsidRDefault="002F5B7E" w:rsidP="002F5B7E">
      <w:pPr>
        <w:spacing w:after="0" w:line="240" w:lineRule="auto"/>
        <w:rPr>
          <w:szCs w:val="24"/>
        </w:rPr>
      </w:pPr>
    </w:p>
    <w:p w14:paraId="3892F84C" w14:textId="794C5093" w:rsidR="002F5B7E" w:rsidRPr="002F5B7E" w:rsidRDefault="002F5B7E" w:rsidP="002F5B7E">
      <w:pPr>
        <w:spacing w:after="0" w:line="240" w:lineRule="auto"/>
        <w:rPr>
          <w:szCs w:val="24"/>
        </w:rPr>
      </w:pPr>
    </w:p>
    <w:p w14:paraId="7FBC16DA" w14:textId="77777777" w:rsidR="002F5B7E" w:rsidRPr="008675D5" w:rsidRDefault="002F5B7E"/>
    <w:sectPr w:rsidR="002F5B7E" w:rsidRPr="008675D5" w:rsidSect="00CB479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EBCD" w14:textId="77777777" w:rsidR="00CC3545" w:rsidRDefault="00CC3545" w:rsidP="00CB479C">
      <w:pPr>
        <w:spacing w:after="0" w:line="240" w:lineRule="auto"/>
      </w:pPr>
      <w:r>
        <w:separator/>
      </w:r>
    </w:p>
  </w:endnote>
  <w:endnote w:type="continuationSeparator" w:id="0">
    <w:p w14:paraId="6FF06834" w14:textId="77777777" w:rsidR="00CC3545" w:rsidRDefault="00CC3545"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FC9" w14:textId="77777777" w:rsidR="00522BB1" w:rsidRDefault="00522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441" w14:textId="77777777" w:rsidR="00522BB1" w:rsidRDefault="00522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87" w14:textId="27D029FF" w:rsidR="00CB479C" w:rsidRDefault="00CB479C">
    <w:pPr>
      <w:pStyle w:val="Footer"/>
    </w:pPr>
    <w:r>
      <w:rPr>
        <w:noProof/>
      </w:rPr>
      <mc:AlternateContent>
        <mc:Choice Requires="wps">
          <w:drawing>
            <wp:anchor distT="0" distB="0" distL="114300" distR="114300" simplePos="0" relativeHeight="251661312" behindDoc="0" locked="0" layoutInCell="1" allowOverlap="1" wp14:anchorId="6C682EDA" wp14:editId="73DA5AA7">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57BBD98F" w14:textId="27DB6C22" w:rsidR="00CB479C" w:rsidRPr="00FC4EFF" w:rsidRDefault="00CB479C" w:rsidP="00CB479C">
                          <w:pPr>
                            <w:pStyle w:val="NoSpacing"/>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82EDA" id="_x0000_t202" coordsize="21600,21600" o:spt="202" path="m,l,21600r21600,l21600,xe">
              <v:stroke joinstyle="miter"/>
              <v:path gradientshapeok="t" o:connecttype="rect"/>
            </v:shapetype>
            <v:shape id="Text Box 4" o:spid="_x0000_s1026"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bLQIAAFQEAAAOAAAAZHJzL2Uyb0RvYy54bWysVEuP2jAQvlfqf7B8Lwks0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" fillcolor="white [3201]" stroked="f" strokeweight=".5pt">
              <v:textbox>
                <w:txbxContent>
                  <w:p w14:paraId="57BBD98F" w14:textId="27DB6C22" w:rsidR="00CB479C" w:rsidRPr="00FC4EFF" w:rsidRDefault="00CB479C" w:rsidP="00CB479C">
                    <w:pPr>
                      <w:pStyle w:val="NoSpacing"/>
                      <w:jc w:val="center"/>
                      <w:rPr>
                        <w:sz w:val="28"/>
                        <w:szCs w:val="28"/>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7941" w14:textId="77777777" w:rsidR="00CC3545" w:rsidRDefault="00CC3545" w:rsidP="00CB479C">
      <w:pPr>
        <w:spacing w:after="0" w:line="240" w:lineRule="auto"/>
      </w:pPr>
      <w:r>
        <w:separator/>
      </w:r>
    </w:p>
  </w:footnote>
  <w:footnote w:type="continuationSeparator" w:id="0">
    <w:p w14:paraId="689A7159" w14:textId="77777777" w:rsidR="00CC3545" w:rsidRDefault="00CC3545"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7E3D" w14:textId="77777777" w:rsidR="00522BB1" w:rsidRDefault="0052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8980" w14:textId="77777777" w:rsidR="00522BB1" w:rsidRDefault="00522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AFDF" w14:textId="77777777" w:rsidR="00522BB1" w:rsidRDefault="00522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4A24"/>
    <w:multiLevelType w:val="hybridMultilevel"/>
    <w:tmpl w:val="F126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12418"/>
    <w:rsid w:val="000749F0"/>
    <w:rsid w:val="00081C80"/>
    <w:rsid w:val="00085F1D"/>
    <w:rsid w:val="001E4977"/>
    <w:rsid w:val="0021299E"/>
    <w:rsid w:val="00222AEE"/>
    <w:rsid w:val="002566B1"/>
    <w:rsid w:val="002A3AEA"/>
    <w:rsid w:val="002C0503"/>
    <w:rsid w:val="002C5D56"/>
    <w:rsid w:val="002F5B7E"/>
    <w:rsid w:val="00316C00"/>
    <w:rsid w:val="00330C2E"/>
    <w:rsid w:val="00331816"/>
    <w:rsid w:val="003E2F89"/>
    <w:rsid w:val="004B6AED"/>
    <w:rsid w:val="004E3336"/>
    <w:rsid w:val="00522BB1"/>
    <w:rsid w:val="005C0676"/>
    <w:rsid w:val="00696A45"/>
    <w:rsid w:val="006F70C3"/>
    <w:rsid w:val="007671AF"/>
    <w:rsid w:val="007E259B"/>
    <w:rsid w:val="008379C1"/>
    <w:rsid w:val="008675D5"/>
    <w:rsid w:val="0087252C"/>
    <w:rsid w:val="008E5777"/>
    <w:rsid w:val="0091396B"/>
    <w:rsid w:val="00975479"/>
    <w:rsid w:val="00A6700D"/>
    <w:rsid w:val="00A97E44"/>
    <w:rsid w:val="00AB56EF"/>
    <w:rsid w:val="00B60B28"/>
    <w:rsid w:val="00B9414E"/>
    <w:rsid w:val="00B97EBC"/>
    <w:rsid w:val="00C33A15"/>
    <w:rsid w:val="00C44227"/>
    <w:rsid w:val="00C65C70"/>
    <w:rsid w:val="00CB479C"/>
    <w:rsid w:val="00CC3545"/>
    <w:rsid w:val="00CF5151"/>
    <w:rsid w:val="00D87CB0"/>
    <w:rsid w:val="00D950E3"/>
    <w:rsid w:val="00DC74DC"/>
    <w:rsid w:val="00E368CE"/>
    <w:rsid w:val="00E54E53"/>
    <w:rsid w:val="00E97BED"/>
    <w:rsid w:val="00EB4C83"/>
    <w:rsid w:val="00FF0FAE"/>
    <w:rsid w:val="00FF7DC3"/>
    <w:rsid w:val="635C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6E54D"/>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081C80"/>
    <w:rPr>
      <w:color w:val="0563C1" w:themeColor="hyperlink"/>
      <w:u w:val="single"/>
    </w:rPr>
  </w:style>
  <w:style w:type="paragraph" w:styleId="ListParagraph">
    <w:name w:val="List Paragraph"/>
    <w:basedOn w:val="Normal"/>
    <w:uiPriority w:val="34"/>
    <w:qFormat/>
    <w:rsid w:val="00081C80"/>
    <w:pPr>
      <w:ind w:left="720"/>
      <w:contextualSpacing/>
    </w:pPr>
    <w:rPr>
      <w:rFonts w:asciiTheme="minorHAnsi" w:hAnsiTheme="minorHAnsi"/>
      <w:sz w:val="22"/>
    </w:rPr>
  </w:style>
  <w:style w:type="character" w:styleId="Strong">
    <w:name w:val="Strong"/>
    <w:basedOn w:val="DefaultParagraphFont"/>
    <w:uiPriority w:val="22"/>
    <w:qFormat/>
    <w:rsid w:val="002F5B7E"/>
    <w:rPr>
      <w:b/>
      <w:bCs/>
    </w:rPr>
  </w:style>
  <w:style w:type="paragraph" w:styleId="BalloonText">
    <w:name w:val="Balloon Text"/>
    <w:basedOn w:val="Normal"/>
    <w:link w:val="BalloonTextChar"/>
    <w:uiPriority w:val="99"/>
    <w:semiHidden/>
    <w:unhideWhenUsed/>
    <w:rsid w:val="00E5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coronavirus/wp-content/uploads/sites/52/2020/03/B1500-dental-letter-outlining-year-end-arrangements-and-performance-requirements-in-dentistry_05042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Props1.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7B20198A-E9EF-4036-BF84-4A00DD1E93DE}">
  <ds:schemaRefs>
    <ds:schemaRef ds:uri="http://schemas.openxmlformats.org/officeDocument/2006/bibliography"/>
  </ds:schemaRefs>
</ds:datastoreItem>
</file>

<file path=customXml/itemProps4.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f90e7bc6-a3db-487f-b513-bfabef5bed32"/>
    <ds:schemaRef ds:uri="5d66da30-c57e-467e-bd92-94ce3dcc2d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Samantha Murphy</cp:lastModifiedBy>
  <cp:revision>2</cp:revision>
  <dcterms:created xsi:type="dcterms:W3CDTF">2022-04-20T15:58:00Z</dcterms:created>
  <dcterms:modified xsi:type="dcterms:W3CDTF">2022-04-20T15:58:00Z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