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8D46" w14:textId="5DB28D74" w:rsidR="00877675" w:rsidRPr="00431E28"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Opioid Prescribing </w:t>
      </w:r>
      <w:r w:rsidR="002102FB" w:rsidRPr="00431E28">
        <w:rPr>
          <w:rFonts w:eastAsia="Times New Roman" w:cstheme="minorHAnsi"/>
          <w:b/>
          <w:bCs w:val="0"/>
          <w:noProof/>
          <w:color w:val="005EB8"/>
          <w:sz w:val="40"/>
          <w:szCs w:val="40"/>
          <w:lang w:eastAsia="en-GB"/>
        </w:rPr>
        <w:t>comparators</w:t>
      </w:r>
    </w:p>
    <w:p w14:paraId="4A93DBF4" w14:textId="77777777" w:rsidR="006D5DEE" w:rsidRPr="001F3797" w:rsidRDefault="006D5DEE" w:rsidP="0035674C">
      <w:pPr>
        <w:rPr>
          <w:rFonts w:cstheme="minorHAnsi"/>
        </w:rPr>
      </w:pPr>
    </w:p>
    <w:bookmarkStart w:id="0" w:name="_Toc102729685" w:displacedByCustomXml="next"/>
    <w:sdt>
      <w:sdtPr>
        <w:rPr>
          <w:rFonts w:asciiTheme="minorHAnsi" w:eastAsiaTheme="minorHAnsi" w:hAnsiTheme="minorHAnsi" w:cstheme="minorHAnsi"/>
          <w:color w:val="auto"/>
          <w:sz w:val="20"/>
          <w:szCs w:val="20"/>
        </w:rPr>
        <w:id w:val="-227155261"/>
        <w:docPartObj>
          <w:docPartGallery w:val="Table of Contents"/>
          <w:docPartUnique/>
        </w:docPartObj>
      </w:sdtPr>
      <w:sdtEndPr>
        <w:rPr>
          <w:b/>
          <w:noProof/>
        </w:rPr>
      </w:sdtEndPr>
      <w:sdtContent>
        <w:p w14:paraId="5D6FD323" w14:textId="195814AB" w:rsidR="003629ED" w:rsidRPr="00431E28" w:rsidRDefault="003629ED" w:rsidP="003629ED">
          <w:pPr>
            <w:pStyle w:val="Heading1"/>
            <w:rPr>
              <w:rFonts w:asciiTheme="minorHAnsi" w:hAnsiTheme="minorHAnsi" w:cstheme="minorHAnsi"/>
            </w:rPr>
          </w:pPr>
          <w:r w:rsidRPr="00431E28">
            <w:rPr>
              <w:rFonts w:asciiTheme="minorHAnsi" w:hAnsiTheme="minorHAnsi" w:cstheme="minorHAnsi"/>
            </w:rPr>
            <w:t>Contents</w:t>
          </w:r>
          <w:bookmarkEnd w:id="0"/>
        </w:p>
        <w:p w14:paraId="20207358" w14:textId="2AD47EEC" w:rsidR="00ED1739" w:rsidRDefault="00ED1739">
          <w:pPr>
            <w:pStyle w:val="TOC1"/>
            <w:rPr>
              <w:rFonts w:eastAsiaTheme="minorEastAsia"/>
              <w:bCs w:val="0"/>
              <w:noProof/>
              <w:sz w:val="22"/>
              <w:szCs w:val="22"/>
              <w:lang w:eastAsia="en-GB"/>
            </w:rPr>
          </w:pPr>
          <w:r>
            <w:rPr>
              <w:rFonts w:cstheme="minorHAnsi"/>
            </w:rPr>
            <w:fldChar w:fldCharType="begin"/>
          </w:r>
          <w:r>
            <w:rPr>
              <w:rFonts w:cstheme="minorHAnsi"/>
            </w:rPr>
            <w:instrText xml:space="preserve"> TOC \o "1-2" \h \z \u </w:instrText>
          </w:r>
          <w:r>
            <w:rPr>
              <w:rFonts w:cstheme="minorHAnsi"/>
            </w:rPr>
            <w:fldChar w:fldCharType="separate"/>
          </w:r>
          <w:hyperlink w:anchor="_Toc102729685" w:history="1">
            <w:r w:rsidRPr="00A23B77">
              <w:rPr>
                <w:rStyle w:val="Hyperlink"/>
                <w:rFonts w:cstheme="minorHAnsi"/>
                <w:noProof/>
              </w:rPr>
              <w:t>1.</w:t>
            </w:r>
            <w:r>
              <w:rPr>
                <w:rFonts w:eastAsiaTheme="minorEastAsia"/>
                <w:bCs w:val="0"/>
                <w:noProof/>
                <w:sz w:val="22"/>
                <w:szCs w:val="22"/>
                <w:lang w:eastAsia="en-GB"/>
              </w:rPr>
              <w:tab/>
            </w:r>
            <w:r w:rsidRPr="00A23B77">
              <w:rPr>
                <w:rStyle w:val="Hyperlink"/>
                <w:rFonts w:cstheme="minorHAnsi"/>
                <w:noProof/>
              </w:rPr>
              <w:t>Contents</w:t>
            </w:r>
            <w:r>
              <w:rPr>
                <w:noProof/>
                <w:webHidden/>
              </w:rPr>
              <w:tab/>
            </w:r>
            <w:r>
              <w:rPr>
                <w:noProof/>
                <w:webHidden/>
              </w:rPr>
              <w:fldChar w:fldCharType="begin"/>
            </w:r>
            <w:r>
              <w:rPr>
                <w:noProof/>
                <w:webHidden/>
              </w:rPr>
              <w:instrText xml:space="preserve"> PAGEREF _Toc102729685 \h </w:instrText>
            </w:r>
            <w:r>
              <w:rPr>
                <w:noProof/>
                <w:webHidden/>
              </w:rPr>
            </w:r>
            <w:r>
              <w:rPr>
                <w:noProof/>
                <w:webHidden/>
              </w:rPr>
              <w:fldChar w:fldCharType="separate"/>
            </w:r>
            <w:r>
              <w:rPr>
                <w:noProof/>
                <w:webHidden/>
              </w:rPr>
              <w:t>1</w:t>
            </w:r>
            <w:r>
              <w:rPr>
                <w:noProof/>
                <w:webHidden/>
              </w:rPr>
              <w:fldChar w:fldCharType="end"/>
            </w:r>
          </w:hyperlink>
        </w:p>
        <w:p w14:paraId="17F5CB91" w14:textId="74F652D5" w:rsidR="00ED1739" w:rsidRDefault="0089156C">
          <w:pPr>
            <w:pStyle w:val="TOC1"/>
            <w:rPr>
              <w:rFonts w:eastAsiaTheme="minorEastAsia"/>
              <w:bCs w:val="0"/>
              <w:noProof/>
              <w:sz w:val="22"/>
              <w:szCs w:val="22"/>
              <w:lang w:eastAsia="en-GB"/>
            </w:rPr>
          </w:pPr>
          <w:hyperlink w:anchor="_Toc102729686" w:history="1">
            <w:r w:rsidR="00ED1739" w:rsidRPr="00A23B77">
              <w:rPr>
                <w:rStyle w:val="Hyperlink"/>
                <w:rFonts w:cstheme="minorHAnsi"/>
                <w:noProof/>
              </w:rPr>
              <w:t>1.</w:t>
            </w:r>
            <w:r w:rsidR="00ED1739">
              <w:rPr>
                <w:rFonts w:eastAsiaTheme="minorEastAsia"/>
                <w:bCs w:val="0"/>
                <w:noProof/>
                <w:sz w:val="22"/>
                <w:szCs w:val="22"/>
                <w:lang w:eastAsia="en-GB"/>
              </w:rPr>
              <w:tab/>
            </w:r>
            <w:r w:rsidR="00ED1739" w:rsidRPr="00A23B77">
              <w:rPr>
                <w:rStyle w:val="Hyperlink"/>
                <w:rFonts w:cstheme="minorHAnsi"/>
                <w:noProof/>
              </w:rPr>
              <w:t>Background</w:t>
            </w:r>
            <w:r w:rsidR="00ED1739">
              <w:rPr>
                <w:noProof/>
                <w:webHidden/>
              </w:rPr>
              <w:tab/>
            </w:r>
            <w:r w:rsidR="00ED1739">
              <w:rPr>
                <w:noProof/>
                <w:webHidden/>
              </w:rPr>
              <w:fldChar w:fldCharType="begin"/>
            </w:r>
            <w:r w:rsidR="00ED1739">
              <w:rPr>
                <w:noProof/>
                <w:webHidden/>
              </w:rPr>
              <w:instrText xml:space="preserve"> PAGEREF _Toc102729686 \h </w:instrText>
            </w:r>
            <w:r w:rsidR="00ED1739">
              <w:rPr>
                <w:noProof/>
                <w:webHidden/>
              </w:rPr>
            </w:r>
            <w:r w:rsidR="00ED1739">
              <w:rPr>
                <w:noProof/>
                <w:webHidden/>
              </w:rPr>
              <w:fldChar w:fldCharType="separate"/>
            </w:r>
            <w:r w:rsidR="00ED1739">
              <w:rPr>
                <w:noProof/>
                <w:webHidden/>
              </w:rPr>
              <w:t>1</w:t>
            </w:r>
            <w:r w:rsidR="00ED1739">
              <w:rPr>
                <w:noProof/>
                <w:webHidden/>
              </w:rPr>
              <w:fldChar w:fldCharType="end"/>
            </w:r>
          </w:hyperlink>
        </w:p>
        <w:p w14:paraId="4B8F2FEC" w14:textId="555ED1BB" w:rsidR="00ED1739" w:rsidRDefault="0089156C">
          <w:pPr>
            <w:pStyle w:val="TOC1"/>
            <w:rPr>
              <w:rFonts w:eastAsiaTheme="minorEastAsia"/>
              <w:bCs w:val="0"/>
              <w:noProof/>
              <w:sz w:val="22"/>
              <w:szCs w:val="22"/>
              <w:lang w:eastAsia="en-GB"/>
            </w:rPr>
          </w:pPr>
          <w:hyperlink w:anchor="_Toc102729687" w:history="1">
            <w:r w:rsidR="00ED1739" w:rsidRPr="00A23B77">
              <w:rPr>
                <w:rStyle w:val="Hyperlink"/>
                <w:rFonts w:cstheme="minorHAnsi"/>
                <w:noProof/>
              </w:rPr>
              <w:t>2.</w:t>
            </w:r>
            <w:r w:rsidR="00ED1739">
              <w:rPr>
                <w:rFonts w:eastAsiaTheme="minorEastAsia"/>
                <w:bCs w:val="0"/>
                <w:noProof/>
                <w:sz w:val="22"/>
                <w:szCs w:val="22"/>
                <w:lang w:eastAsia="en-GB"/>
              </w:rPr>
              <w:tab/>
            </w:r>
            <w:r w:rsidR="00ED1739" w:rsidRPr="00A23B77">
              <w:rPr>
                <w:rStyle w:val="Hyperlink"/>
                <w:rFonts w:cstheme="minorHAnsi"/>
                <w:noProof/>
              </w:rPr>
              <w:t>Advice for healthcare professionals:</w:t>
            </w:r>
            <w:r w:rsidR="00ED1739">
              <w:rPr>
                <w:noProof/>
                <w:webHidden/>
              </w:rPr>
              <w:tab/>
            </w:r>
            <w:r w:rsidR="00ED1739">
              <w:rPr>
                <w:noProof/>
                <w:webHidden/>
              </w:rPr>
              <w:fldChar w:fldCharType="begin"/>
            </w:r>
            <w:r w:rsidR="00ED1739">
              <w:rPr>
                <w:noProof/>
                <w:webHidden/>
              </w:rPr>
              <w:instrText xml:space="preserve"> PAGEREF _Toc102729687 \h </w:instrText>
            </w:r>
            <w:r w:rsidR="00ED1739">
              <w:rPr>
                <w:noProof/>
                <w:webHidden/>
              </w:rPr>
            </w:r>
            <w:r w:rsidR="00ED1739">
              <w:rPr>
                <w:noProof/>
                <w:webHidden/>
              </w:rPr>
              <w:fldChar w:fldCharType="separate"/>
            </w:r>
            <w:r w:rsidR="00ED1739">
              <w:rPr>
                <w:noProof/>
                <w:webHidden/>
              </w:rPr>
              <w:t>2</w:t>
            </w:r>
            <w:r w:rsidR="00ED1739">
              <w:rPr>
                <w:noProof/>
                <w:webHidden/>
              </w:rPr>
              <w:fldChar w:fldCharType="end"/>
            </w:r>
          </w:hyperlink>
        </w:p>
        <w:p w14:paraId="4F2E5E0E" w14:textId="557D8312" w:rsidR="00ED1739" w:rsidRDefault="0089156C">
          <w:pPr>
            <w:pStyle w:val="TOC1"/>
            <w:rPr>
              <w:rFonts w:eastAsiaTheme="minorEastAsia"/>
              <w:bCs w:val="0"/>
              <w:noProof/>
              <w:sz w:val="22"/>
              <w:szCs w:val="22"/>
              <w:lang w:eastAsia="en-GB"/>
            </w:rPr>
          </w:pPr>
          <w:hyperlink w:anchor="_Toc102729688" w:history="1">
            <w:r w:rsidR="00ED1739" w:rsidRPr="00A23B77">
              <w:rPr>
                <w:rStyle w:val="Hyperlink"/>
                <w:rFonts w:cstheme="minorHAnsi"/>
                <w:noProof/>
              </w:rPr>
              <w:t>3.</w:t>
            </w:r>
            <w:r w:rsidR="00ED1739">
              <w:rPr>
                <w:rFonts w:eastAsiaTheme="minorEastAsia"/>
                <w:bCs w:val="0"/>
                <w:noProof/>
                <w:sz w:val="22"/>
                <w:szCs w:val="22"/>
                <w:lang w:eastAsia="en-GB"/>
              </w:rPr>
              <w:tab/>
            </w:r>
            <w:r w:rsidR="00ED1739" w:rsidRPr="00A23B77">
              <w:rPr>
                <w:rStyle w:val="Hyperlink"/>
                <w:rFonts w:cstheme="minorHAnsi"/>
                <w:noProof/>
              </w:rPr>
              <w:t>Drug groupings</w:t>
            </w:r>
            <w:r w:rsidR="00ED1739">
              <w:rPr>
                <w:noProof/>
                <w:webHidden/>
              </w:rPr>
              <w:tab/>
            </w:r>
            <w:r w:rsidR="00ED1739">
              <w:rPr>
                <w:noProof/>
                <w:webHidden/>
              </w:rPr>
              <w:fldChar w:fldCharType="begin"/>
            </w:r>
            <w:r w:rsidR="00ED1739">
              <w:rPr>
                <w:noProof/>
                <w:webHidden/>
              </w:rPr>
              <w:instrText xml:space="preserve"> PAGEREF _Toc102729688 \h </w:instrText>
            </w:r>
            <w:r w:rsidR="00ED1739">
              <w:rPr>
                <w:noProof/>
                <w:webHidden/>
              </w:rPr>
            </w:r>
            <w:r w:rsidR="00ED1739">
              <w:rPr>
                <w:noProof/>
                <w:webHidden/>
              </w:rPr>
              <w:fldChar w:fldCharType="separate"/>
            </w:r>
            <w:r w:rsidR="00ED1739">
              <w:rPr>
                <w:noProof/>
                <w:webHidden/>
              </w:rPr>
              <w:t>3</w:t>
            </w:r>
            <w:r w:rsidR="00ED1739">
              <w:rPr>
                <w:noProof/>
                <w:webHidden/>
              </w:rPr>
              <w:fldChar w:fldCharType="end"/>
            </w:r>
          </w:hyperlink>
        </w:p>
        <w:p w14:paraId="40DB1973" w14:textId="64E1F3D3" w:rsidR="00ED1739" w:rsidRDefault="0089156C">
          <w:pPr>
            <w:pStyle w:val="TOC1"/>
            <w:rPr>
              <w:rFonts w:eastAsiaTheme="minorEastAsia"/>
              <w:bCs w:val="0"/>
              <w:noProof/>
              <w:sz w:val="22"/>
              <w:szCs w:val="22"/>
              <w:lang w:eastAsia="en-GB"/>
            </w:rPr>
          </w:pPr>
          <w:hyperlink w:anchor="_Toc102729689" w:history="1">
            <w:r w:rsidR="00ED1739" w:rsidRPr="00A23B77">
              <w:rPr>
                <w:rStyle w:val="Hyperlink"/>
                <w:rFonts w:cstheme="minorHAnsi"/>
                <w:noProof/>
              </w:rPr>
              <w:t>4.</w:t>
            </w:r>
            <w:r w:rsidR="00ED1739">
              <w:rPr>
                <w:rFonts w:eastAsiaTheme="minorEastAsia"/>
                <w:bCs w:val="0"/>
                <w:noProof/>
                <w:sz w:val="22"/>
                <w:szCs w:val="22"/>
                <w:lang w:eastAsia="en-GB"/>
              </w:rPr>
              <w:tab/>
            </w:r>
            <w:r w:rsidR="00ED1739" w:rsidRPr="00A23B77">
              <w:rPr>
                <w:rStyle w:val="Hyperlink"/>
                <w:rFonts w:cstheme="minorHAnsi"/>
                <w:noProof/>
              </w:rPr>
              <w:t>Prescribing data</w:t>
            </w:r>
            <w:r w:rsidR="00ED1739">
              <w:rPr>
                <w:noProof/>
                <w:webHidden/>
              </w:rPr>
              <w:tab/>
            </w:r>
            <w:r w:rsidR="00ED1739">
              <w:rPr>
                <w:noProof/>
                <w:webHidden/>
              </w:rPr>
              <w:fldChar w:fldCharType="begin"/>
            </w:r>
            <w:r w:rsidR="00ED1739">
              <w:rPr>
                <w:noProof/>
                <w:webHidden/>
              </w:rPr>
              <w:instrText xml:space="preserve"> PAGEREF _Toc102729689 \h </w:instrText>
            </w:r>
            <w:r w:rsidR="00ED1739">
              <w:rPr>
                <w:noProof/>
                <w:webHidden/>
              </w:rPr>
            </w:r>
            <w:r w:rsidR="00ED1739">
              <w:rPr>
                <w:noProof/>
                <w:webHidden/>
              </w:rPr>
              <w:fldChar w:fldCharType="separate"/>
            </w:r>
            <w:r w:rsidR="00ED1739">
              <w:rPr>
                <w:noProof/>
                <w:webHidden/>
              </w:rPr>
              <w:t>4</w:t>
            </w:r>
            <w:r w:rsidR="00ED1739">
              <w:rPr>
                <w:noProof/>
                <w:webHidden/>
              </w:rPr>
              <w:fldChar w:fldCharType="end"/>
            </w:r>
          </w:hyperlink>
        </w:p>
        <w:p w14:paraId="306C2CDE" w14:textId="7109DEA5" w:rsidR="00ED1739" w:rsidRDefault="0089156C">
          <w:pPr>
            <w:pStyle w:val="TOC1"/>
            <w:rPr>
              <w:rFonts w:eastAsiaTheme="minorEastAsia"/>
              <w:bCs w:val="0"/>
              <w:noProof/>
              <w:sz w:val="22"/>
              <w:szCs w:val="22"/>
              <w:lang w:eastAsia="en-GB"/>
            </w:rPr>
          </w:pPr>
          <w:hyperlink w:anchor="_Toc102729690" w:history="1">
            <w:r w:rsidR="00ED1739" w:rsidRPr="00A23B77">
              <w:rPr>
                <w:rStyle w:val="Hyperlink"/>
                <w:rFonts w:cstheme="minorHAnsi"/>
                <w:noProof/>
              </w:rPr>
              <w:t>5.</w:t>
            </w:r>
            <w:r w:rsidR="00ED1739">
              <w:rPr>
                <w:rFonts w:eastAsiaTheme="minorEastAsia"/>
                <w:bCs w:val="0"/>
                <w:noProof/>
                <w:sz w:val="22"/>
                <w:szCs w:val="22"/>
                <w:lang w:eastAsia="en-GB"/>
              </w:rPr>
              <w:tab/>
            </w:r>
            <w:r w:rsidR="00ED1739" w:rsidRPr="00A23B77">
              <w:rPr>
                <w:rStyle w:val="Hyperlink"/>
                <w:rFonts w:cstheme="minorHAnsi"/>
                <w:noProof/>
              </w:rPr>
              <w:t>Identified patients</w:t>
            </w:r>
            <w:r w:rsidR="00ED1739">
              <w:rPr>
                <w:noProof/>
                <w:webHidden/>
              </w:rPr>
              <w:tab/>
            </w:r>
            <w:r w:rsidR="00ED1739">
              <w:rPr>
                <w:noProof/>
                <w:webHidden/>
              </w:rPr>
              <w:fldChar w:fldCharType="begin"/>
            </w:r>
            <w:r w:rsidR="00ED1739">
              <w:rPr>
                <w:noProof/>
                <w:webHidden/>
              </w:rPr>
              <w:instrText xml:space="preserve"> PAGEREF _Toc102729690 \h </w:instrText>
            </w:r>
            <w:r w:rsidR="00ED1739">
              <w:rPr>
                <w:noProof/>
                <w:webHidden/>
              </w:rPr>
            </w:r>
            <w:r w:rsidR="00ED1739">
              <w:rPr>
                <w:noProof/>
                <w:webHidden/>
              </w:rPr>
              <w:fldChar w:fldCharType="separate"/>
            </w:r>
            <w:r w:rsidR="00ED1739">
              <w:rPr>
                <w:noProof/>
                <w:webHidden/>
              </w:rPr>
              <w:t>4</w:t>
            </w:r>
            <w:r w:rsidR="00ED1739">
              <w:rPr>
                <w:noProof/>
                <w:webHidden/>
              </w:rPr>
              <w:fldChar w:fldCharType="end"/>
            </w:r>
          </w:hyperlink>
        </w:p>
        <w:p w14:paraId="4101FD31" w14:textId="1A2229BD" w:rsidR="00ED1739" w:rsidRDefault="0089156C">
          <w:pPr>
            <w:pStyle w:val="TOC1"/>
            <w:rPr>
              <w:rFonts w:eastAsiaTheme="minorEastAsia"/>
              <w:bCs w:val="0"/>
              <w:noProof/>
              <w:sz w:val="22"/>
              <w:szCs w:val="22"/>
              <w:lang w:eastAsia="en-GB"/>
            </w:rPr>
          </w:pPr>
          <w:hyperlink w:anchor="_Toc102729691" w:history="1">
            <w:r w:rsidR="00ED1739" w:rsidRPr="00A23B77">
              <w:rPr>
                <w:rStyle w:val="Hyperlink"/>
                <w:rFonts w:cs="Arial"/>
                <w:noProof/>
              </w:rPr>
              <w:t>5.1.</w:t>
            </w:r>
            <w:r w:rsidR="00ED1739">
              <w:rPr>
                <w:rFonts w:eastAsiaTheme="minorEastAsia"/>
                <w:bCs w:val="0"/>
                <w:noProof/>
                <w:sz w:val="22"/>
                <w:szCs w:val="22"/>
                <w:lang w:eastAsia="en-GB"/>
              </w:rPr>
              <w:tab/>
            </w:r>
            <w:r w:rsidR="00ED1739" w:rsidRPr="00A23B77">
              <w:rPr>
                <w:rStyle w:val="Hyperlink"/>
                <w:rFonts w:cstheme="minorHAnsi"/>
                <w:noProof/>
              </w:rPr>
              <w:t>NHS structure</w:t>
            </w:r>
            <w:r w:rsidR="00ED1739">
              <w:rPr>
                <w:noProof/>
                <w:webHidden/>
              </w:rPr>
              <w:tab/>
            </w:r>
            <w:r w:rsidR="00ED1739">
              <w:rPr>
                <w:noProof/>
                <w:webHidden/>
              </w:rPr>
              <w:fldChar w:fldCharType="begin"/>
            </w:r>
            <w:r w:rsidR="00ED1739">
              <w:rPr>
                <w:noProof/>
                <w:webHidden/>
              </w:rPr>
              <w:instrText xml:space="preserve"> PAGEREF _Toc102729691 \h </w:instrText>
            </w:r>
            <w:r w:rsidR="00ED1739">
              <w:rPr>
                <w:noProof/>
                <w:webHidden/>
              </w:rPr>
            </w:r>
            <w:r w:rsidR="00ED1739">
              <w:rPr>
                <w:noProof/>
                <w:webHidden/>
              </w:rPr>
              <w:fldChar w:fldCharType="separate"/>
            </w:r>
            <w:r w:rsidR="00ED1739">
              <w:rPr>
                <w:noProof/>
                <w:webHidden/>
              </w:rPr>
              <w:t>4</w:t>
            </w:r>
            <w:r w:rsidR="00ED1739">
              <w:rPr>
                <w:noProof/>
                <w:webHidden/>
              </w:rPr>
              <w:fldChar w:fldCharType="end"/>
            </w:r>
          </w:hyperlink>
        </w:p>
        <w:p w14:paraId="045B11A7" w14:textId="4AC047D2" w:rsidR="00ED1739" w:rsidRDefault="0089156C">
          <w:pPr>
            <w:pStyle w:val="TOC1"/>
            <w:rPr>
              <w:rFonts w:eastAsiaTheme="minorEastAsia"/>
              <w:bCs w:val="0"/>
              <w:noProof/>
              <w:sz w:val="22"/>
              <w:szCs w:val="22"/>
              <w:lang w:eastAsia="en-GB"/>
            </w:rPr>
          </w:pPr>
          <w:hyperlink w:anchor="_Toc102729692" w:history="1">
            <w:r w:rsidR="00ED1739" w:rsidRPr="00A23B77">
              <w:rPr>
                <w:rStyle w:val="Hyperlink"/>
                <w:rFonts w:cs="Arial"/>
                <w:noProof/>
              </w:rPr>
              <w:t>5.2.</w:t>
            </w:r>
            <w:r w:rsidR="00ED1739">
              <w:rPr>
                <w:rFonts w:eastAsiaTheme="minorEastAsia"/>
                <w:bCs w:val="0"/>
                <w:noProof/>
                <w:sz w:val="22"/>
                <w:szCs w:val="22"/>
                <w:lang w:eastAsia="en-GB"/>
              </w:rPr>
              <w:tab/>
            </w:r>
            <w:r w:rsidR="00ED1739" w:rsidRPr="00A23B77">
              <w:rPr>
                <w:rStyle w:val="Hyperlink"/>
                <w:rFonts w:cstheme="minorHAnsi"/>
                <w:noProof/>
              </w:rPr>
              <w:t>Other breakdowns</w:t>
            </w:r>
            <w:r w:rsidR="00ED1739">
              <w:rPr>
                <w:noProof/>
                <w:webHidden/>
              </w:rPr>
              <w:tab/>
            </w:r>
            <w:r w:rsidR="00ED1739">
              <w:rPr>
                <w:noProof/>
                <w:webHidden/>
              </w:rPr>
              <w:fldChar w:fldCharType="begin"/>
            </w:r>
            <w:r w:rsidR="00ED1739">
              <w:rPr>
                <w:noProof/>
                <w:webHidden/>
              </w:rPr>
              <w:instrText xml:space="preserve"> PAGEREF _Toc102729692 \h </w:instrText>
            </w:r>
            <w:r w:rsidR="00ED1739">
              <w:rPr>
                <w:noProof/>
                <w:webHidden/>
              </w:rPr>
            </w:r>
            <w:r w:rsidR="00ED1739">
              <w:rPr>
                <w:noProof/>
                <w:webHidden/>
              </w:rPr>
              <w:fldChar w:fldCharType="separate"/>
            </w:r>
            <w:r w:rsidR="00ED1739">
              <w:rPr>
                <w:noProof/>
                <w:webHidden/>
              </w:rPr>
              <w:t>5</w:t>
            </w:r>
            <w:r w:rsidR="00ED1739">
              <w:rPr>
                <w:noProof/>
                <w:webHidden/>
              </w:rPr>
              <w:fldChar w:fldCharType="end"/>
            </w:r>
          </w:hyperlink>
        </w:p>
        <w:p w14:paraId="34C0E6C5" w14:textId="673971D4" w:rsidR="00ED1739" w:rsidRDefault="0089156C">
          <w:pPr>
            <w:pStyle w:val="TOC1"/>
            <w:rPr>
              <w:rFonts w:eastAsiaTheme="minorEastAsia"/>
              <w:bCs w:val="0"/>
              <w:noProof/>
              <w:sz w:val="22"/>
              <w:szCs w:val="22"/>
              <w:lang w:eastAsia="en-GB"/>
            </w:rPr>
          </w:pPr>
          <w:hyperlink w:anchor="_Toc102729693" w:history="1">
            <w:r w:rsidR="00ED1739" w:rsidRPr="00A23B77">
              <w:rPr>
                <w:rStyle w:val="Hyperlink"/>
                <w:rFonts w:cs="Arial"/>
                <w:noProof/>
              </w:rPr>
              <w:t>5.3.</w:t>
            </w:r>
            <w:r w:rsidR="00ED1739">
              <w:rPr>
                <w:rFonts w:eastAsiaTheme="minorEastAsia"/>
                <w:bCs w:val="0"/>
                <w:noProof/>
                <w:sz w:val="22"/>
                <w:szCs w:val="22"/>
                <w:lang w:eastAsia="en-GB"/>
              </w:rPr>
              <w:tab/>
            </w:r>
            <w:r w:rsidR="00ED1739" w:rsidRPr="00A23B77">
              <w:rPr>
                <w:rStyle w:val="Hyperlink"/>
                <w:rFonts w:cstheme="minorHAnsi"/>
                <w:noProof/>
              </w:rPr>
              <w:t>Electronic Prescribing System (EPS) data</w:t>
            </w:r>
            <w:r w:rsidR="00ED1739">
              <w:rPr>
                <w:noProof/>
                <w:webHidden/>
              </w:rPr>
              <w:tab/>
            </w:r>
            <w:r w:rsidR="00ED1739">
              <w:rPr>
                <w:noProof/>
                <w:webHidden/>
              </w:rPr>
              <w:fldChar w:fldCharType="begin"/>
            </w:r>
            <w:r w:rsidR="00ED1739">
              <w:rPr>
                <w:noProof/>
                <w:webHidden/>
              </w:rPr>
              <w:instrText xml:space="preserve"> PAGEREF _Toc102729693 \h </w:instrText>
            </w:r>
            <w:r w:rsidR="00ED1739">
              <w:rPr>
                <w:noProof/>
                <w:webHidden/>
              </w:rPr>
            </w:r>
            <w:r w:rsidR="00ED1739">
              <w:rPr>
                <w:noProof/>
                <w:webHidden/>
              </w:rPr>
              <w:fldChar w:fldCharType="separate"/>
            </w:r>
            <w:r w:rsidR="00ED1739">
              <w:rPr>
                <w:noProof/>
                <w:webHidden/>
              </w:rPr>
              <w:t>6</w:t>
            </w:r>
            <w:r w:rsidR="00ED1739">
              <w:rPr>
                <w:noProof/>
                <w:webHidden/>
              </w:rPr>
              <w:fldChar w:fldCharType="end"/>
            </w:r>
          </w:hyperlink>
        </w:p>
        <w:p w14:paraId="6761E8C2" w14:textId="15799694" w:rsidR="00ED1739" w:rsidRDefault="0089156C">
          <w:pPr>
            <w:pStyle w:val="TOC1"/>
            <w:rPr>
              <w:rFonts w:eastAsiaTheme="minorEastAsia"/>
              <w:bCs w:val="0"/>
              <w:noProof/>
              <w:sz w:val="22"/>
              <w:szCs w:val="22"/>
              <w:lang w:eastAsia="en-GB"/>
            </w:rPr>
          </w:pPr>
          <w:hyperlink w:anchor="_Toc102729694" w:history="1">
            <w:r w:rsidR="00ED1739" w:rsidRPr="00A23B77">
              <w:rPr>
                <w:rStyle w:val="Hyperlink"/>
                <w:noProof/>
              </w:rPr>
              <w:t>6.</w:t>
            </w:r>
            <w:r w:rsidR="00ED1739">
              <w:rPr>
                <w:rFonts w:eastAsiaTheme="minorEastAsia"/>
                <w:bCs w:val="0"/>
                <w:noProof/>
                <w:sz w:val="22"/>
                <w:szCs w:val="22"/>
                <w:lang w:eastAsia="en-GB"/>
              </w:rPr>
              <w:tab/>
            </w:r>
            <w:r w:rsidR="00ED1739" w:rsidRPr="00A23B77">
              <w:rPr>
                <w:rStyle w:val="Hyperlink"/>
                <w:noProof/>
              </w:rPr>
              <w:t>Guiding principles</w:t>
            </w:r>
            <w:r w:rsidR="00ED1739">
              <w:rPr>
                <w:noProof/>
                <w:webHidden/>
              </w:rPr>
              <w:tab/>
            </w:r>
            <w:r w:rsidR="00ED1739">
              <w:rPr>
                <w:noProof/>
                <w:webHidden/>
              </w:rPr>
              <w:fldChar w:fldCharType="begin"/>
            </w:r>
            <w:r w:rsidR="00ED1739">
              <w:rPr>
                <w:noProof/>
                <w:webHidden/>
              </w:rPr>
              <w:instrText xml:space="preserve"> PAGEREF _Toc102729694 \h </w:instrText>
            </w:r>
            <w:r w:rsidR="00ED1739">
              <w:rPr>
                <w:noProof/>
                <w:webHidden/>
              </w:rPr>
            </w:r>
            <w:r w:rsidR="00ED1739">
              <w:rPr>
                <w:noProof/>
                <w:webHidden/>
              </w:rPr>
              <w:fldChar w:fldCharType="separate"/>
            </w:r>
            <w:r w:rsidR="00ED1739">
              <w:rPr>
                <w:noProof/>
                <w:webHidden/>
              </w:rPr>
              <w:t>6</w:t>
            </w:r>
            <w:r w:rsidR="00ED1739">
              <w:rPr>
                <w:noProof/>
                <w:webHidden/>
              </w:rPr>
              <w:fldChar w:fldCharType="end"/>
            </w:r>
          </w:hyperlink>
        </w:p>
        <w:p w14:paraId="322B4879" w14:textId="60E423B5" w:rsidR="00ED1739" w:rsidRDefault="0089156C">
          <w:pPr>
            <w:pStyle w:val="TOC1"/>
            <w:rPr>
              <w:rFonts w:eastAsiaTheme="minorEastAsia"/>
              <w:bCs w:val="0"/>
              <w:noProof/>
              <w:sz w:val="22"/>
              <w:szCs w:val="22"/>
              <w:lang w:eastAsia="en-GB"/>
            </w:rPr>
          </w:pPr>
          <w:hyperlink w:anchor="_Toc102729695" w:history="1">
            <w:r w:rsidR="00ED1739" w:rsidRPr="00A23B77">
              <w:rPr>
                <w:rStyle w:val="Hyperlink"/>
                <w:rFonts w:cstheme="minorHAnsi"/>
                <w:noProof/>
              </w:rPr>
              <w:t>7.</w:t>
            </w:r>
            <w:r w:rsidR="00ED1739">
              <w:rPr>
                <w:rFonts w:eastAsiaTheme="minorEastAsia"/>
                <w:bCs w:val="0"/>
                <w:noProof/>
                <w:sz w:val="22"/>
                <w:szCs w:val="22"/>
                <w:lang w:eastAsia="en-GB"/>
              </w:rPr>
              <w:tab/>
            </w:r>
            <w:r w:rsidR="00ED1739" w:rsidRPr="00A23B77">
              <w:rPr>
                <w:rStyle w:val="Hyperlink"/>
                <w:rFonts w:cstheme="minorHAnsi"/>
                <w:noProof/>
              </w:rPr>
              <w:t>Comparator Specifications</w:t>
            </w:r>
            <w:r w:rsidR="00ED1739">
              <w:rPr>
                <w:noProof/>
                <w:webHidden/>
              </w:rPr>
              <w:tab/>
            </w:r>
            <w:r w:rsidR="00ED1739">
              <w:rPr>
                <w:noProof/>
                <w:webHidden/>
              </w:rPr>
              <w:fldChar w:fldCharType="begin"/>
            </w:r>
            <w:r w:rsidR="00ED1739">
              <w:rPr>
                <w:noProof/>
                <w:webHidden/>
              </w:rPr>
              <w:instrText xml:space="preserve"> PAGEREF _Toc102729695 \h </w:instrText>
            </w:r>
            <w:r w:rsidR="00ED1739">
              <w:rPr>
                <w:noProof/>
                <w:webHidden/>
              </w:rPr>
            </w:r>
            <w:r w:rsidR="00ED1739">
              <w:rPr>
                <w:noProof/>
                <w:webHidden/>
              </w:rPr>
              <w:fldChar w:fldCharType="separate"/>
            </w:r>
            <w:r w:rsidR="00ED1739">
              <w:rPr>
                <w:noProof/>
                <w:webHidden/>
              </w:rPr>
              <w:t>7</w:t>
            </w:r>
            <w:r w:rsidR="00ED1739">
              <w:rPr>
                <w:noProof/>
                <w:webHidden/>
              </w:rPr>
              <w:fldChar w:fldCharType="end"/>
            </w:r>
          </w:hyperlink>
        </w:p>
        <w:p w14:paraId="4188164F" w14:textId="7E582963" w:rsidR="00ED1739" w:rsidRDefault="0089156C">
          <w:pPr>
            <w:pStyle w:val="TOC1"/>
            <w:rPr>
              <w:rFonts w:eastAsiaTheme="minorEastAsia"/>
              <w:bCs w:val="0"/>
              <w:noProof/>
              <w:sz w:val="22"/>
              <w:szCs w:val="22"/>
              <w:lang w:eastAsia="en-GB"/>
            </w:rPr>
          </w:pPr>
          <w:hyperlink w:anchor="_Toc102729696" w:history="1">
            <w:r w:rsidR="00ED1739" w:rsidRPr="00A23B77">
              <w:rPr>
                <w:rStyle w:val="Hyperlink"/>
                <w:rFonts w:cs="Arial"/>
                <w:noProof/>
              </w:rPr>
              <w:t>7.1.</w:t>
            </w:r>
            <w:r w:rsidR="00ED1739">
              <w:rPr>
                <w:rFonts w:eastAsiaTheme="minorEastAsia"/>
                <w:bCs w:val="0"/>
                <w:noProof/>
                <w:sz w:val="22"/>
                <w:szCs w:val="22"/>
                <w:lang w:eastAsia="en-GB"/>
              </w:rPr>
              <w:tab/>
            </w:r>
            <w:r w:rsidR="00ED1739" w:rsidRPr="00A23B77">
              <w:rPr>
                <w:rStyle w:val="Hyperlink"/>
                <w:rFonts w:cstheme="minorHAnsi"/>
                <w:noProof/>
              </w:rPr>
              <w:t>EPS comparators</w:t>
            </w:r>
            <w:r w:rsidR="00ED1739">
              <w:rPr>
                <w:noProof/>
                <w:webHidden/>
              </w:rPr>
              <w:tab/>
            </w:r>
            <w:r w:rsidR="00ED1739">
              <w:rPr>
                <w:noProof/>
                <w:webHidden/>
              </w:rPr>
              <w:fldChar w:fldCharType="begin"/>
            </w:r>
            <w:r w:rsidR="00ED1739">
              <w:rPr>
                <w:noProof/>
                <w:webHidden/>
              </w:rPr>
              <w:instrText xml:space="preserve"> PAGEREF _Toc102729696 \h </w:instrText>
            </w:r>
            <w:r w:rsidR="00ED1739">
              <w:rPr>
                <w:noProof/>
                <w:webHidden/>
              </w:rPr>
            </w:r>
            <w:r w:rsidR="00ED1739">
              <w:rPr>
                <w:noProof/>
                <w:webHidden/>
              </w:rPr>
              <w:fldChar w:fldCharType="separate"/>
            </w:r>
            <w:r w:rsidR="00ED1739">
              <w:rPr>
                <w:noProof/>
                <w:webHidden/>
              </w:rPr>
              <w:t>7</w:t>
            </w:r>
            <w:r w:rsidR="00ED1739">
              <w:rPr>
                <w:noProof/>
                <w:webHidden/>
              </w:rPr>
              <w:fldChar w:fldCharType="end"/>
            </w:r>
          </w:hyperlink>
        </w:p>
        <w:p w14:paraId="1CCCB210" w14:textId="183CE83F" w:rsidR="00ED1739" w:rsidRDefault="0089156C">
          <w:pPr>
            <w:pStyle w:val="TOC2"/>
            <w:tabs>
              <w:tab w:val="right" w:leader="dot" w:pos="9016"/>
            </w:tabs>
            <w:rPr>
              <w:rFonts w:eastAsiaTheme="minorEastAsia"/>
              <w:bCs w:val="0"/>
              <w:noProof/>
              <w:sz w:val="22"/>
              <w:szCs w:val="22"/>
              <w:lang w:eastAsia="en-GB"/>
            </w:rPr>
          </w:pPr>
          <w:hyperlink w:anchor="_Toc102729697" w:history="1">
            <w:r w:rsidR="00ED1739" w:rsidRPr="00A23B77">
              <w:rPr>
                <w:rStyle w:val="Hyperlink"/>
                <w:noProof/>
              </w:rPr>
              <w:t>OP01 Overall Opioid comparator - EPS</w:t>
            </w:r>
            <w:r w:rsidR="00ED1739">
              <w:rPr>
                <w:noProof/>
                <w:webHidden/>
              </w:rPr>
              <w:tab/>
            </w:r>
            <w:r w:rsidR="00ED1739">
              <w:rPr>
                <w:noProof/>
                <w:webHidden/>
              </w:rPr>
              <w:fldChar w:fldCharType="begin"/>
            </w:r>
            <w:r w:rsidR="00ED1739">
              <w:rPr>
                <w:noProof/>
                <w:webHidden/>
              </w:rPr>
              <w:instrText xml:space="preserve"> PAGEREF _Toc102729697 \h </w:instrText>
            </w:r>
            <w:r w:rsidR="00ED1739">
              <w:rPr>
                <w:noProof/>
                <w:webHidden/>
              </w:rPr>
            </w:r>
            <w:r w:rsidR="00ED1739">
              <w:rPr>
                <w:noProof/>
                <w:webHidden/>
              </w:rPr>
              <w:fldChar w:fldCharType="separate"/>
            </w:r>
            <w:r w:rsidR="00ED1739">
              <w:rPr>
                <w:noProof/>
                <w:webHidden/>
              </w:rPr>
              <w:t>7</w:t>
            </w:r>
            <w:r w:rsidR="00ED1739">
              <w:rPr>
                <w:noProof/>
                <w:webHidden/>
              </w:rPr>
              <w:fldChar w:fldCharType="end"/>
            </w:r>
          </w:hyperlink>
        </w:p>
        <w:p w14:paraId="73D7CFB9" w14:textId="2DCB1927" w:rsidR="00ED1739" w:rsidRDefault="0089156C">
          <w:pPr>
            <w:pStyle w:val="TOC2"/>
            <w:tabs>
              <w:tab w:val="right" w:leader="dot" w:pos="9016"/>
            </w:tabs>
            <w:rPr>
              <w:rFonts w:eastAsiaTheme="minorEastAsia"/>
              <w:bCs w:val="0"/>
              <w:noProof/>
              <w:sz w:val="22"/>
              <w:szCs w:val="22"/>
              <w:lang w:eastAsia="en-GB"/>
            </w:rPr>
          </w:pPr>
          <w:hyperlink w:anchor="_Toc102729698" w:history="1">
            <w:r w:rsidR="00ED1739" w:rsidRPr="00A23B77">
              <w:rPr>
                <w:rStyle w:val="Hyperlink"/>
                <w:noProof/>
              </w:rPr>
              <w:t>OP02 Opioids by duration - EPS</w:t>
            </w:r>
            <w:r w:rsidR="00ED1739">
              <w:rPr>
                <w:noProof/>
                <w:webHidden/>
              </w:rPr>
              <w:tab/>
            </w:r>
            <w:r w:rsidR="00ED1739">
              <w:rPr>
                <w:noProof/>
                <w:webHidden/>
              </w:rPr>
              <w:fldChar w:fldCharType="begin"/>
            </w:r>
            <w:r w:rsidR="00ED1739">
              <w:rPr>
                <w:noProof/>
                <w:webHidden/>
              </w:rPr>
              <w:instrText xml:space="preserve"> PAGEREF _Toc102729698 \h </w:instrText>
            </w:r>
            <w:r w:rsidR="00ED1739">
              <w:rPr>
                <w:noProof/>
                <w:webHidden/>
              </w:rPr>
            </w:r>
            <w:r w:rsidR="00ED1739">
              <w:rPr>
                <w:noProof/>
                <w:webHidden/>
              </w:rPr>
              <w:fldChar w:fldCharType="separate"/>
            </w:r>
            <w:r w:rsidR="00ED1739">
              <w:rPr>
                <w:noProof/>
                <w:webHidden/>
              </w:rPr>
              <w:t>8</w:t>
            </w:r>
            <w:r w:rsidR="00ED1739">
              <w:rPr>
                <w:noProof/>
                <w:webHidden/>
              </w:rPr>
              <w:fldChar w:fldCharType="end"/>
            </w:r>
          </w:hyperlink>
        </w:p>
        <w:p w14:paraId="3948EA16" w14:textId="7C8C3E99" w:rsidR="00ED1739" w:rsidRDefault="0089156C">
          <w:pPr>
            <w:pStyle w:val="TOC2"/>
            <w:tabs>
              <w:tab w:val="right" w:leader="dot" w:pos="9016"/>
            </w:tabs>
            <w:rPr>
              <w:rFonts w:eastAsiaTheme="minorEastAsia"/>
              <w:bCs w:val="0"/>
              <w:noProof/>
              <w:sz w:val="22"/>
              <w:szCs w:val="22"/>
              <w:lang w:eastAsia="en-GB"/>
            </w:rPr>
          </w:pPr>
          <w:hyperlink w:anchor="_Toc102729699" w:history="1">
            <w:r w:rsidR="00ED1739" w:rsidRPr="00A23B77">
              <w:rPr>
                <w:rStyle w:val="Hyperlink"/>
                <w:noProof/>
              </w:rPr>
              <w:t>OP03 Opioids in combination with other medicines known to increase the risk of harm - EPS</w:t>
            </w:r>
            <w:r w:rsidR="00ED1739">
              <w:rPr>
                <w:noProof/>
                <w:webHidden/>
              </w:rPr>
              <w:tab/>
            </w:r>
            <w:r w:rsidR="00ED1739">
              <w:rPr>
                <w:noProof/>
                <w:webHidden/>
              </w:rPr>
              <w:fldChar w:fldCharType="begin"/>
            </w:r>
            <w:r w:rsidR="00ED1739">
              <w:rPr>
                <w:noProof/>
                <w:webHidden/>
              </w:rPr>
              <w:instrText xml:space="preserve"> PAGEREF _Toc102729699 \h </w:instrText>
            </w:r>
            <w:r w:rsidR="00ED1739">
              <w:rPr>
                <w:noProof/>
                <w:webHidden/>
              </w:rPr>
            </w:r>
            <w:r w:rsidR="00ED1739">
              <w:rPr>
                <w:noProof/>
                <w:webHidden/>
              </w:rPr>
              <w:fldChar w:fldCharType="separate"/>
            </w:r>
            <w:r w:rsidR="00ED1739">
              <w:rPr>
                <w:noProof/>
                <w:webHidden/>
              </w:rPr>
              <w:t>9</w:t>
            </w:r>
            <w:r w:rsidR="00ED1739">
              <w:rPr>
                <w:noProof/>
                <w:webHidden/>
              </w:rPr>
              <w:fldChar w:fldCharType="end"/>
            </w:r>
          </w:hyperlink>
        </w:p>
        <w:p w14:paraId="3D492DD3" w14:textId="0456DB23" w:rsidR="00ED1739" w:rsidRDefault="0089156C">
          <w:pPr>
            <w:pStyle w:val="TOC2"/>
            <w:tabs>
              <w:tab w:val="right" w:leader="dot" w:pos="9016"/>
            </w:tabs>
            <w:rPr>
              <w:rFonts w:eastAsiaTheme="minorEastAsia"/>
              <w:bCs w:val="0"/>
              <w:noProof/>
              <w:sz w:val="22"/>
              <w:szCs w:val="22"/>
              <w:lang w:eastAsia="en-GB"/>
            </w:rPr>
          </w:pPr>
          <w:hyperlink w:anchor="_Toc102729700" w:history="1">
            <w:r w:rsidR="00ED1739" w:rsidRPr="00A23B77">
              <w:rPr>
                <w:rStyle w:val="Hyperlink"/>
                <w:noProof/>
              </w:rPr>
              <w:t>OP04 High Oral Morphine Equivalent volume of opioids - EPS</w:t>
            </w:r>
            <w:r w:rsidR="00ED1739">
              <w:rPr>
                <w:noProof/>
                <w:webHidden/>
              </w:rPr>
              <w:tab/>
            </w:r>
            <w:r w:rsidR="00ED1739">
              <w:rPr>
                <w:noProof/>
                <w:webHidden/>
              </w:rPr>
              <w:fldChar w:fldCharType="begin"/>
            </w:r>
            <w:r w:rsidR="00ED1739">
              <w:rPr>
                <w:noProof/>
                <w:webHidden/>
              </w:rPr>
              <w:instrText xml:space="preserve"> PAGEREF _Toc102729700 \h </w:instrText>
            </w:r>
            <w:r w:rsidR="00ED1739">
              <w:rPr>
                <w:noProof/>
                <w:webHidden/>
              </w:rPr>
            </w:r>
            <w:r w:rsidR="00ED1739">
              <w:rPr>
                <w:noProof/>
                <w:webHidden/>
              </w:rPr>
              <w:fldChar w:fldCharType="separate"/>
            </w:r>
            <w:r w:rsidR="00ED1739">
              <w:rPr>
                <w:noProof/>
                <w:webHidden/>
              </w:rPr>
              <w:t>10</w:t>
            </w:r>
            <w:r w:rsidR="00ED1739">
              <w:rPr>
                <w:noProof/>
                <w:webHidden/>
              </w:rPr>
              <w:fldChar w:fldCharType="end"/>
            </w:r>
          </w:hyperlink>
        </w:p>
        <w:p w14:paraId="3B6FDDB5" w14:textId="345F4E57" w:rsidR="00ED1739" w:rsidRDefault="0089156C">
          <w:pPr>
            <w:pStyle w:val="TOC2"/>
            <w:tabs>
              <w:tab w:val="right" w:leader="dot" w:pos="9016"/>
            </w:tabs>
            <w:rPr>
              <w:rFonts w:eastAsiaTheme="minorEastAsia"/>
              <w:bCs w:val="0"/>
              <w:noProof/>
              <w:sz w:val="22"/>
              <w:szCs w:val="22"/>
              <w:lang w:eastAsia="en-GB"/>
            </w:rPr>
          </w:pPr>
          <w:hyperlink w:anchor="_Toc102729701" w:history="1">
            <w:r w:rsidR="00ED1739" w:rsidRPr="00A23B77">
              <w:rPr>
                <w:rStyle w:val="Hyperlink"/>
                <w:noProof/>
              </w:rPr>
              <w:t>OP05 High Oral Morphine Equivalent volume in combination with other medicines known to increase risk of harm - EPS</w:t>
            </w:r>
            <w:r w:rsidR="00ED1739">
              <w:rPr>
                <w:noProof/>
                <w:webHidden/>
              </w:rPr>
              <w:tab/>
            </w:r>
            <w:r w:rsidR="00ED1739">
              <w:rPr>
                <w:noProof/>
                <w:webHidden/>
              </w:rPr>
              <w:fldChar w:fldCharType="begin"/>
            </w:r>
            <w:r w:rsidR="00ED1739">
              <w:rPr>
                <w:noProof/>
                <w:webHidden/>
              </w:rPr>
              <w:instrText xml:space="preserve"> PAGEREF _Toc102729701 \h </w:instrText>
            </w:r>
            <w:r w:rsidR="00ED1739">
              <w:rPr>
                <w:noProof/>
                <w:webHidden/>
              </w:rPr>
            </w:r>
            <w:r w:rsidR="00ED1739">
              <w:rPr>
                <w:noProof/>
                <w:webHidden/>
              </w:rPr>
              <w:fldChar w:fldCharType="separate"/>
            </w:r>
            <w:r w:rsidR="00ED1739">
              <w:rPr>
                <w:noProof/>
                <w:webHidden/>
              </w:rPr>
              <w:t>11</w:t>
            </w:r>
            <w:r w:rsidR="00ED1739">
              <w:rPr>
                <w:noProof/>
                <w:webHidden/>
              </w:rPr>
              <w:fldChar w:fldCharType="end"/>
            </w:r>
          </w:hyperlink>
        </w:p>
        <w:p w14:paraId="4D992B5D" w14:textId="1541B156" w:rsidR="00ED1739" w:rsidRDefault="0089156C">
          <w:pPr>
            <w:pStyle w:val="TOC2"/>
            <w:tabs>
              <w:tab w:val="right" w:leader="dot" w:pos="9016"/>
            </w:tabs>
            <w:rPr>
              <w:rFonts w:eastAsiaTheme="minorEastAsia"/>
              <w:bCs w:val="0"/>
              <w:noProof/>
              <w:sz w:val="22"/>
              <w:szCs w:val="22"/>
              <w:lang w:eastAsia="en-GB"/>
            </w:rPr>
          </w:pPr>
          <w:hyperlink w:anchor="_Toc102729702" w:history="1">
            <w:r w:rsidR="00ED1739" w:rsidRPr="00A23B77">
              <w:rPr>
                <w:rStyle w:val="Hyperlink"/>
                <w:noProof/>
              </w:rPr>
              <w:t>OP06 Multiple items of Morphine sulfate 10mg/5ml oral solution – EPS</w:t>
            </w:r>
            <w:r w:rsidR="00ED1739">
              <w:rPr>
                <w:noProof/>
                <w:webHidden/>
              </w:rPr>
              <w:tab/>
            </w:r>
            <w:r w:rsidR="00ED1739">
              <w:rPr>
                <w:noProof/>
                <w:webHidden/>
              </w:rPr>
              <w:fldChar w:fldCharType="begin"/>
            </w:r>
            <w:r w:rsidR="00ED1739">
              <w:rPr>
                <w:noProof/>
                <w:webHidden/>
              </w:rPr>
              <w:instrText xml:space="preserve"> PAGEREF _Toc102729702 \h </w:instrText>
            </w:r>
            <w:r w:rsidR="00ED1739">
              <w:rPr>
                <w:noProof/>
                <w:webHidden/>
              </w:rPr>
            </w:r>
            <w:r w:rsidR="00ED1739">
              <w:rPr>
                <w:noProof/>
                <w:webHidden/>
              </w:rPr>
              <w:fldChar w:fldCharType="separate"/>
            </w:r>
            <w:r w:rsidR="00ED1739">
              <w:rPr>
                <w:noProof/>
                <w:webHidden/>
              </w:rPr>
              <w:t>12</w:t>
            </w:r>
            <w:r w:rsidR="00ED1739">
              <w:rPr>
                <w:noProof/>
                <w:webHidden/>
              </w:rPr>
              <w:fldChar w:fldCharType="end"/>
            </w:r>
          </w:hyperlink>
        </w:p>
        <w:p w14:paraId="08217AFC" w14:textId="65E0C1C7" w:rsidR="00ED1739" w:rsidRDefault="0089156C">
          <w:pPr>
            <w:pStyle w:val="TOC2"/>
            <w:tabs>
              <w:tab w:val="right" w:leader="dot" w:pos="9016"/>
            </w:tabs>
            <w:rPr>
              <w:rFonts w:eastAsiaTheme="minorEastAsia"/>
              <w:bCs w:val="0"/>
              <w:noProof/>
              <w:sz w:val="22"/>
              <w:szCs w:val="22"/>
              <w:lang w:eastAsia="en-GB"/>
            </w:rPr>
          </w:pPr>
          <w:hyperlink w:anchor="_Toc102729703" w:history="1">
            <w:r w:rsidR="00ED1739" w:rsidRPr="00A23B77">
              <w:rPr>
                <w:rStyle w:val="Hyperlink"/>
                <w:noProof/>
              </w:rPr>
              <w:t>OP07 High volume of Morphine sulfate 10mg/5ml oral solution – EPS</w:t>
            </w:r>
            <w:r w:rsidR="00ED1739">
              <w:rPr>
                <w:noProof/>
                <w:webHidden/>
              </w:rPr>
              <w:tab/>
            </w:r>
            <w:r w:rsidR="00ED1739">
              <w:rPr>
                <w:noProof/>
                <w:webHidden/>
              </w:rPr>
              <w:fldChar w:fldCharType="begin"/>
            </w:r>
            <w:r w:rsidR="00ED1739">
              <w:rPr>
                <w:noProof/>
                <w:webHidden/>
              </w:rPr>
              <w:instrText xml:space="preserve"> PAGEREF _Toc102729703 \h </w:instrText>
            </w:r>
            <w:r w:rsidR="00ED1739">
              <w:rPr>
                <w:noProof/>
                <w:webHidden/>
              </w:rPr>
            </w:r>
            <w:r w:rsidR="00ED1739">
              <w:rPr>
                <w:noProof/>
                <w:webHidden/>
              </w:rPr>
              <w:fldChar w:fldCharType="separate"/>
            </w:r>
            <w:r w:rsidR="00ED1739">
              <w:rPr>
                <w:noProof/>
                <w:webHidden/>
              </w:rPr>
              <w:t>13</w:t>
            </w:r>
            <w:r w:rsidR="00ED1739">
              <w:rPr>
                <w:noProof/>
                <w:webHidden/>
              </w:rPr>
              <w:fldChar w:fldCharType="end"/>
            </w:r>
          </w:hyperlink>
        </w:p>
        <w:p w14:paraId="0777D41E" w14:textId="54CEB03B" w:rsidR="00ED1739" w:rsidRDefault="0089156C">
          <w:pPr>
            <w:pStyle w:val="TOC1"/>
            <w:rPr>
              <w:rFonts w:eastAsiaTheme="minorEastAsia"/>
              <w:bCs w:val="0"/>
              <w:noProof/>
              <w:sz w:val="22"/>
              <w:szCs w:val="22"/>
              <w:lang w:eastAsia="en-GB"/>
            </w:rPr>
          </w:pPr>
          <w:hyperlink w:anchor="_Toc102729704" w:history="1">
            <w:r w:rsidR="00ED1739" w:rsidRPr="00A23B77">
              <w:rPr>
                <w:rStyle w:val="Hyperlink"/>
                <w:rFonts w:cstheme="minorHAnsi"/>
                <w:noProof/>
              </w:rPr>
              <w:t>8.</w:t>
            </w:r>
            <w:r w:rsidR="00ED1739">
              <w:rPr>
                <w:rFonts w:eastAsiaTheme="minorEastAsia"/>
                <w:bCs w:val="0"/>
                <w:noProof/>
                <w:sz w:val="22"/>
                <w:szCs w:val="22"/>
                <w:lang w:eastAsia="en-GB"/>
              </w:rPr>
              <w:tab/>
            </w:r>
            <w:r w:rsidR="00ED1739" w:rsidRPr="00A23B77">
              <w:rPr>
                <w:rStyle w:val="Hyperlink"/>
                <w:rFonts w:cstheme="minorHAnsi"/>
                <w:noProof/>
              </w:rPr>
              <w:t>Patient Identification Rates</w:t>
            </w:r>
            <w:r w:rsidR="00ED1739">
              <w:rPr>
                <w:noProof/>
                <w:webHidden/>
              </w:rPr>
              <w:tab/>
            </w:r>
            <w:r w:rsidR="00ED1739">
              <w:rPr>
                <w:noProof/>
                <w:webHidden/>
              </w:rPr>
              <w:fldChar w:fldCharType="begin"/>
            </w:r>
            <w:r w:rsidR="00ED1739">
              <w:rPr>
                <w:noProof/>
                <w:webHidden/>
              </w:rPr>
              <w:instrText xml:space="preserve"> PAGEREF _Toc102729704 \h </w:instrText>
            </w:r>
            <w:r w:rsidR="00ED1739">
              <w:rPr>
                <w:noProof/>
                <w:webHidden/>
              </w:rPr>
            </w:r>
            <w:r w:rsidR="00ED1739">
              <w:rPr>
                <w:noProof/>
                <w:webHidden/>
              </w:rPr>
              <w:fldChar w:fldCharType="separate"/>
            </w:r>
            <w:r w:rsidR="00ED1739">
              <w:rPr>
                <w:noProof/>
                <w:webHidden/>
              </w:rPr>
              <w:t>15</w:t>
            </w:r>
            <w:r w:rsidR="00ED1739">
              <w:rPr>
                <w:noProof/>
                <w:webHidden/>
              </w:rPr>
              <w:fldChar w:fldCharType="end"/>
            </w:r>
          </w:hyperlink>
        </w:p>
        <w:p w14:paraId="1B1129B7" w14:textId="7260036D" w:rsidR="00ED1739" w:rsidRDefault="0089156C">
          <w:pPr>
            <w:pStyle w:val="TOC1"/>
            <w:rPr>
              <w:rFonts w:eastAsiaTheme="minorEastAsia"/>
              <w:bCs w:val="0"/>
              <w:noProof/>
              <w:sz w:val="22"/>
              <w:szCs w:val="22"/>
              <w:lang w:eastAsia="en-GB"/>
            </w:rPr>
          </w:pPr>
          <w:hyperlink w:anchor="_Toc102729705" w:history="1">
            <w:r w:rsidR="00ED1739" w:rsidRPr="00A23B77">
              <w:rPr>
                <w:rStyle w:val="Hyperlink"/>
                <w:rFonts w:cstheme="minorHAnsi"/>
                <w:noProof/>
              </w:rPr>
              <w:t>9.</w:t>
            </w:r>
            <w:r w:rsidR="00ED1739">
              <w:rPr>
                <w:rFonts w:eastAsiaTheme="minorEastAsia"/>
                <w:bCs w:val="0"/>
                <w:noProof/>
                <w:sz w:val="22"/>
                <w:szCs w:val="22"/>
                <w:lang w:eastAsia="en-GB"/>
              </w:rPr>
              <w:tab/>
            </w:r>
            <w:r w:rsidR="00ED1739" w:rsidRPr="00A23B77">
              <w:rPr>
                <w:rStyle w:val="Hyperlink"/>
                <w:rFonts w:cstheme="minorHAnsi"/>
                <w:noProof/>
              </w:rPr>
              <w:t>Use of the electronic prescribing system for opiates</w:t>
            </w:r>
            <w:r w:rsidR="00ED1739">
              <w:rPr>
                <w:noProof/>
                <w:webHidden/>
              </w:rPr>
              <w:tab/>
            </w:r>
            <w:r w:rsidR="00ED1739">
              <w:rPr>
                <w:noProof/>
                <w:webHidden/>
              </w:rPr>
              <w:fldChar w:fldCharType="begin"/>
            </w:r>
            <w:r w:rsidR="00ED1739">
              <w:rPr>
                <w:noProof/>
                <w:webHidden/>
              </w:rPr>
              <w:instrText xml:space="preserve"> PAGEREF _Toc102729705 \h </w:instrText>
            </w:r>
            <w:r w:rsidR="00ED1739">
              <w:rPr>
                <w:noProof/>
                <w:webHidden/>
              </w:rPr>
            </w:r>
            <w:r w:rsidR="00ED1739">
              <w:rPr>
                <w:noProof/>
                <w:webHidden/>
              </w:rPr>
              <w:fldChar w:fldCharType="separate"/>
            </w:r>
            <w:r w:rsidR="00ED1739">
              <w:rPr>
                <w:noProof/>
                <w:webHidden/>
              </w:rPr>
              <w:t>17</w:t>
            </w:r>
            <w:r w:rsidR="00ED1739">
              <w:rPr>
                <w:noProof/>
                <w:webHidden/>
              </w:rPr>
              <w:fldChar w:fldCharType="end"/>
            </w:r>
          </w:hyperlink>
        </w:p>
        <w:p w14:paraId="7C7A0866" w14:textId="5BFFB005" w:rsidR="00ED1739" w:rsidRDefault="0089156C">
          <w:pPr>
            <w:pStyle w:val="TOC1"/>
            <w:rPr>
              <w:rFonts w:eastAsiaTheme="minorEastAsia"/>
              <w:bCs w:val="0"/>
              <w:noProof/>
              <w:sz w:val="22"/>
              <w:szCs w:val="22"/>
              <w:lang w:eastAsia="en-GB"/>
            </w:rPr>
          </w:pPr>
          <w:hyperlink w:anchor="_Toc102729706" w:history="1">
            <w:r w:rsidR="00ED1739" w:rsidRPr="00A23B77">
              <w:rPr>
                <w:rStyle w:val="Hyperlink"/>
                <w:rFonts w:cstheme="minorHAnsi"/>
                <w:noProof/>
              </w:rPr>
              <w:t>10.</w:t>
            </w:r>
            <w:r w:rsidR="00ED1739">
              <w:rPr>
                <w:rFonts w:eastAsiaTheme="minorEastAsia"/>
                <w:bCs w:val="0"/>
                <w:noProof/>
                <w:sz w:val="22"/>
                <w:szCs w:val="22"/>
                <w:lang w:eastAsia="en-GB"/>
              </w:rPr>
              <w:tab/>
            </w:r>
            <w:r w:rsidR="00ED1739" w:rsidRPr="00A23B77">
              <w:rPr>
                <w:rStyle w:val="Hyperlink"/>
                <w:rFonts w:cstheme="minorHAnsi"/>
                <w:noProof/>
              </w:rPr>
              <w:t>Appendix 1: PMR medicine classes</w:t>
            </w:r>
            <w:r w:rsidR="00ED1739">
              <w:rPr>
                <w:noProof/>
                <w:webHidden/>
              </w:rPr>
              <w:tab/>
            </w:r>
            <w:r w:rsidR="00ED1739">
              <w:rPr>
                <w:noProof/>
                <w:webHidden/>
              </w:rPr>
              <w:fldChar w:fldCharType="begin"/>
            </w:r>
            <w:r w:rsidR="00ED1739">
              <w:rPr>
                <w:noProof/>
                <w:webHidden/>
              </w:rPr>
              <w:instrText xml:space="preserve"> PAGEREF _Toc102729706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70A136B9" w14:textId="1ACAD797" w:rsidR="00ED1739" w:rsidRDefault="0089156C">
          <w:pPr>
            <w:pStyle w:val="TOC2"/>
            <w:tabs>
              <w:tab w:val="right" w:leader="dot" w:pos="9016"/>
            </w:tabs>
            <w:rPr>
              <w:rFonts w:eastAsiaTheme="minorEastAsia"/>
              <w:bCs w:val="0"/>
              <w:noProof/>
              <w:sz w:val="22"/>
              <w:szCs w:val="22"/>
              <w:lang w:eastAsia="en-GB"/>
            </w:rPr>
          </w:pPr>
          <w:hyperlink w:anchor="_Toc102729707" w:history="1">
            <w:r w:rsidR="00ED1739" w:rsidRPr="00A23B77">
              <w:rPr>
                <w:rStyle w:val="Hyperlink"/>
                <w:rFonts w:cstheme="minorHAnsi"/>
                <w:noProof/>
              </w:rPr>
              <w:t>Section 1: Antidepressants</w:t>
            </w:r>
            <w:r w:rsidR="00ED1739">
              <w:rPr>
                <w:noProof/>
                <w:webHidden/>
              </w:rPr>
              <w:tab/>
            </w:r>
            <w:r w:rsidR="00ED1739">
              <w:rPr>
                <w:noProof/>
                <w:webHidden/>
              </w:rPr>
              <w:fldChar w:fldCharType="begin"/>
            </w:r>
            <w:r w:rsidR="00ED1739">
              <w:rPr>
                <w:noProof/>
                <w:webHidden/>
              </w:rPr>
              <w:instrText xml:space="preserve"> PAGEREF _Toc102729707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73BD5934" w14:textId="4A69733F" w:rsidR="00ED1739" w:rsidRDefault="0089156C">
          <w:pPr>
            <w:pStyle w:val="TOC2"/>
            <w:tabs>
              <w:tab w:val="right" w:leader="dot" w:pos="9016"/>
            </w:tabs>
            <w:rPr>
              <w:rFonts w:eastAsiaTheme="minorEastAsia"/>
              <w:bCs w:val="0"/>
              <w:noProof/>
              <w:sz w:val="22"/>
              <w:szCs w:val="22"/>
              <w:lang w:eastAsia="en-GB"/>
            </w:rPr>
          </w:pPr>
          <w:hyperlink w:anchor="_Toc102729708" w:history="1">
            <w:r w:rsidR="00ED1739" w:rsidRPr="00A23B77">
              <w:rPr>
                <w:rStyle w:val="Hyperlink"/>
                <w:rFonts w:cstheme="minorHAnsi"/>
                <w:noProof/>
              </w:rPr>
              <w:t>Section 2.1: Overall Opioids (PMR)</w:t>
            </w:r>
            <w:r w:rsidR="00ED1739">
              <w:rPr>
                <w:noProof/>
                <w:webHidden/>
              </w:rPr>
              <w:tab/>
            </w:r>
            <w:r w:rsidR="00ED1739">
              <w:rPr>
                <w:noProof/>
                <w:webHidden/>
              </w:rPr>
              <w:fldChar w:fldCharType="begin"/>
            </w:r>
            <w:r w:rsidR="00ED1739">
              <w:rPr>
                <w:noProof/>
                <w:webHidden/>
              </w:rPr>
              <w:instrText xml:space="preserve"> PAGEREF _Toc102729708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421425CA" w14:textId="19059A0E" w:rsidR="00ED1739" w:rsidRDefault="0089156C">
          <w:pPr>
            <w:pStyle w:val="TOC2"/>
            <w:tabs>
              <w:tab w:val="right" w:leader="dot" w:pos="9016"/>
            </w:tabs>
            <w:rPr>
              <w:rFonts w:eastAsiaTheme="minorEastAsia"/>
              <w:bCs w:val="0"/>
              <w:noProof/>
              <w:sz w:val="22"/>
              <w:szCs w:val="22"/>
              <w:lang w:eastAsia="en-GB"/>
            </w:rPr>
          </w:pPr>
          <w:hyperlink w:anchor="_Toc102729709" w:history="1">
            <w:r w:rsidR="00ED1739" w:rsidRPr="00A23B77">
              <w:rPr>
                <w:rStyle w:val="Hyperlink"/>
                <w:rFonts w:cstheme="minorHAnsi"/>
                <w:noProof/>
              </w:rPr>
              <w:t>Section 2.2 Opioid Pain Medicines</w:t>
            </w:r>
            <w:r w:rsidR="00ED1739">
              <w:rPr>
                <w:noProof/>
                <w:webHidden/>
              </w:rPr>
              <w:tab/>
            </w:r>
            <w:r w:rsidR="00ED1739">
              <w:rPr>
                <w:noProof/>
                <w:webHidden/>
              </w:rPr>
              <w:fldChar w:fldCharType="begin"/>
            </w:r>
            <w:r w:rsidR="00ED1739">
              <w:rPr>
                <w:noProof/>
                <w:webHidden/>
              </w:rPr>
              <w:instrText xml:space="preserve"> PAGEREF _Toc102729709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19FA80A4" w14:textId="79496BAD" w:rsidR="00ED1739" w:rsidRDefault="0089156C">
          <w:pPr>
            <w:pStyle w:val="TOC2"/>
            <w:tabs>
              <w:tab w:val="right" w:leader="dot" w:pos="9016"/>
            </w:tabs>
            <w:rPr>
              <w:rFonts w:eastAsiaTheme="minorEastAsia"/>
              <w:bCs w:val="0"/>
              <w:noProof/>
              <w:sz w:val="22"/>
              <w:szCs w:val="22"/>
              <w:lang w:eastAsia="en-GB"/>
            </w:rPr>
          </w:pPr>
          <w:hyperlink w:anchor="_Toc102729710" w:history="1">
            <w:r w:rsidR="00ED1739" w:rsidRPr="00A23B77">
              <w:rPr>
                <w:rStyle w:val="Hyperlink"/>
                <w:rFonts w:cstheme="minorHAnsi"/>
                <w:noProof/>
              </w:rPr>
              <w:t>Section 2.3 Oral Morphine Equivalences</w:t>
            </w:r>
            <w:r w:rsidR="00ED1739">
              <w:rPr>
                <w:noProof/>
                <w:webHidden/>
              </w:rPr>
              <w:tab/>
            </w:r>
            <w:r w:rsidR="00ED1739">
              <w:rPr>
                <w:noProof/>
                <w:webHidden/>
              </w:rPr>
              <w:fldChar w:fldCharType="begin"/>
            </w:r>
            <w:r w:rsidR="00ED1739">
              <w:rPr>
                <w:noProof/>
                <w:webHidden/>
              </w:rPr>
              <w:instrText xml:space="preserve"> PAGEREF _Toc102729710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3A25C748" w14:textId="198F5C53" w:rsidR="00ED1739" w:rsidRDefault="0089156C">
          <w:pPr>
            <w:pStyle w:val="TOC2"/>
            <w:tabs>
              <w:tab w:val="right" w:leader="dot" w:pos="9016"/>
            </w:tabs>
            <w:rPr>
              <w:rFonts w:eastAsiaTheme="minorEastAsia"/>
              <w:bCs w:val="0"/>
              <w:noProof/>
              <w:sz w:val="22"/>
              <w:szCs w:val="22"/>
              <w:lang w:eastAsia="en-GB"/>
            </w:rPr>
          </w:pPr>
          <w:hyperlink w:anchor="_Toc102729711" w:history="1">
            <w:r w:rsidR="00ED1739" w:rsidRPr="00A23B77">
              <w:rPr>
                <w:rStyle w:val="Hyperlink"/>
                <w:rFonts w:cstheme="minorHAnsi"/>
                <w:noProof/>
              </w:rPr>
              <w:t>Section 3 Gabapentinoids</w:t>
            </w:r>
            <w:r w:rsidR="00ED1739">
              <w:rPr>
                <w:noProof/>
                <w:webHidden/>
              </w:rPr>
              <w:tab/>
            </w:r>
            <w:r w:rsidR="00ED1739">
              <w:rPr>
                <w:noProof/>
                <w:webHidden/>
              </w:rPr>
              <w:fldChar w:fldCharType="begin"/>
            </w:r>
            <w:r w:rsidR="00ED1739">
              <w:rPr>
                <w:noProof/>
                <w:webHidden/>
              </w:rPr>
              <w:instrText xml:space="preserve"> PAGEREF _Toc102729711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565AD55E" w14:textId="76B32408" w:rsidR="00ED1739" w:rsidRDefault="0089156C">
          <w:pPr>
            <w:pStyle w:val="TOC2"/>
            <w:tabs>
              <w:tab w:val="right" w:leader="dot" w:pos="9016"/>
            </w:tabs>
            <w:rPr>
              <w:rFonts w:eastAsiaTheme="minorEastAsia"/>
              <w:bCs w:val="0"/>
              <w:noProof/>
              <w:sz w:val="22"/>
              <w:szCs w:val="22"/>
              <w:lang w:eastAsia="en-GB"/>
            </w:rPr>
          </w:pPr>
          <w:hyperlink w:anchor="_Toc102729712" w:history="1">
            <w:r w:rsidR="00ED1739" w:rsidRPr="00A23B77">
              <w:rPr>
                <w:rStyle w:val="Hyperlink"/>
                <w:rFonts w:cstheme="minorHAnsi"/>
                <w:noProof/>
              </w:rPr>
              <w:t>Section 4 Benzodiazepines</w:t>
            </w:r>
            <w:r w:rsidR="00ED1739">
              <w:rPr>
                <w:noProof/>
                <w:webHidden/>
              </w:rPr>
              <w:tab/>
            </w:r>
            <w:r w:rsidR="00ED1739">
              <w:rPr>
                <w:noProof/>
                <w:webHidden/>
              </w:rPr>
              <w:fldChar w:fldCharType="begin"/>
            </w:r>
            <w:r w:rsidR="00ED1739">
              <w:rPr>
                <w:noProof/>
                <w:webHidden/>
              </w:rPr>
              <w:instrText xml:space="preserve"> PAGEREF _Toc102729712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75B86A89" w14:textId="6CEBA62B" w:rsidR="00ED1739" w:rsidRDefault="0089156C">
          <w:pPr>
            <w:pStyle w:val="TOC1"/>
            <w:rPr>
              <w:rFonts w:eastAsiaTheme="minorEastAsia"/>
              <w:bCs w:val="0"/>
              <w:noProof/>
              <w:sz w:val="22"/>
              <w:szCs w:val="22"/>
              <w:lang w:eastAsia="en-GB"/>
            </w:rPr>
          </w:pPr>
          <w:hyperlink w:anchor="_Toc102729713" w:history="1">
            <w:r w:rsidR="00ED1739" w:rsidRPr="00A23B77">
              <w:rPr>
                <w:rStyle w:val="Hyperlink"/>
                <w:rFonts w:cstheme="minorHAnsi"/>
                <w:noProof/>
              </w:rPr>
              <w:t>11.</w:t>
            </w:r>
            <w:r w:rsidR="00ED1739">
              <w:rPr>
                <w:rFonts w:eastAsiaTheme="minorEastAsia"/>
                <w:bCs w:val="0"/>
                <w:noProof/>
                <w:sz w:val="22"/>
                <w:szCs w:val="22"/>
                <w:lang w:eastAsia="en-GB"/>
              </w:rPr>
              <w:tab/>
            </w:r>
            <w:r w:rsidR="00ED1739" w:rsidRPr="00A23B77">
              <w:rPr>
                <w:rStyle w:val="Hyperlink"/>
                <w:rFonts w:cstheme="minorHAnsi"/>
                <w:noProof/>
              </w:rPr>
              <w:t>Appendix 2: Opioid pain medicines and Oral Morphine Equivalent Values</w:t>
            </w:r>
            <w:r w:rsidR="00ED1739">
              <w:rPr>
                <w:noProof/>
                <w:webHidden/>
              </w:rPr>
              <w:tab/>
            </w:r>
            <w:r w:rsidR="00ED1739">
              <w:rPr>
                <w:noProof/>
                <w:webHidden/>
              </w:rPr>
              <w:fldChar w:fldCharType="begin"/>
            </w:r>
            <w:r w:rsidR="00ED1739">
              <w:rPr>
                <w:noProof/>
                <w:webHidden/>
              </w:rPr>
              <w:instrText xml:space="preserve"> PAGEREF _Toc102729713 \h </w:instrText>
            </w:r>
            <w:r w:rsidR="00ED1739">
              <w:rPr>
                <w:noProof/>
                <w:webHidden/>
              </w:rPr>
            </w:r>
            <w:r w:rsidR="00ED1739">
              <w:rPr>
                <w:noProof/>
                <w:webHidden/>
              </w:rPr>
              <w:fldChar w:fldCharType="separate"/>
            </w:r>
            <w:r w:rsidR="00ED1739">
              <w:rPr>
                <w:noProof/>
                <w:webHidden/>
              </w:rPr>
              <w:t>19</w:t>
            </w:r>
            <w:r w:rsidR="00ED1739">
              <w:rPr>
                <w:noProof/>
                <w:webHidden/>
              </w:rPr>
              <w:fldChar w:fldCharType="end"/>
            </w:r>
          </w:hyperlink>
        </w:p>
        <w:p w14:paraId="3EDBFF7B" w14:textId="4DFD4F08" w:rsidR="00ED1739" w:rsidRDefault="0089156C">
          <w:pPr>
            <w:pStyle w:val="TOC1"/>
            <w:rPr>
              <w:rFonts w:eastAsiaTheme="minorEastAsia"/>
              <w:bCs w:val="0"/>
              <w:noProof/>
              <w:sz w:val="22"/>
              <w:szCs w:val="22"/>
              <w:lang w:eastAsia="en-GB"/>
            </w:rPr>
          </w:pPr>
          <w:hyperlink w:anchor="_Toc102729714" w:history="1">
            <w:r w:rsidR="00ED1739" w:rsidRPr="00A23B77">
              <w:rPr>
                <w:rStyle w:val="Hyperlink"/>
                <w:rFonts w:cstheme="minorHAnsi"/>
                <w:noProof/>
              </w:rPr>
              <w:t>12.</w:t>
            </w:r>
            <w:r w:rsidR="00ED1739">
              <w:rPr>
                <w:rFonts w:eastAsiaTheme="minorEastAsia"/>
                <w:bCs w:val="0"/>
                <w:noProof/>
                <w:sz w:val="22"/>
                <w:szCs w:val="22"/>
                <w:lang w:eastAsia="en-GB"/>
              </w:rPr>
              <w:tab/>
            </w:r>
            <w:r w:rsidR="00ED1739" w:rsidRPr="00A23B77">
              <w:rPr>
                <w:rStyle w:val="Hyperlink"/>
                <w:rFonts w:cstheme="minorHAnsi"/>
                <w:noProof/>
              </w:rPr>
              <w:t>Appendix 3: Working groups</w:t>
            </w:r>
            <w:r w:rsidR="00ED1739">
              <w:rPr>
                <w:noProof/>
                <w:webHidden/>
              </w:rPr>
              <w:tab/>
            </w:r>
            <w:r w:rsidR="00ED1739">
              <w:rPr>
                <w:noProof/>
                <w:webHidden/>
              </w:rPr>
              <w:fldChar w:fldCharType="begin"/>
            </w:r>
            <w:r w:rsidR="00ED1739">
              <w:rPr>
                <w:noProof/>
                <w:webHidden/>
              </w:rPr>
              <w:instrText xml:space="preserve"> PAGEREF _Toc102729714 \h </w:instrText>
            </w:r>
            <w:r w:rsidR="00ED1739">
              <w:rPr>
                <w:noProof/>
                <w:webHidden/>
              </w:rPr>
            </w:r>
            <w:r w:rsidR="00ED1739">
              <w:rPr>
                <w:noProof/>
                <w:webHidden/>
              </w:rPr>
              <w:fldChar w:fldCharType="separate"/>
            </w:r>
            <w:r w:rsidR="00ED1739">
              <w:rPr>
                <w:noProof/>
                <w:webHidden/>
              </w:rPr>
              <w:t>21</w:t>
            </w:r>
            <w:r w:rsidR="00ED1739">
              <w:rPr>
                <w:noProof/>
                <w:webHidden/>
              </w:rPr>
              <w:fldChar w:fldCharType="end"/>
            </w:r>
          </w:hyperlink>
        </w:p>
        <w:p w14:paraId="2603BE82" w14:textId="18E4F950"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bookmarkStart w:id="1" w:name="_Toc102729686"/>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r w:rsidRPr="001F3797">
        <w:rPr>
          <w:rFonts w:asciiTheme="minorHAnsi" w:hAnsiTheme="minorHAnsi" w:cstheme="minorHAnsi"/>
        </w:rPr>
        <w:lastRenderedPageBreak/>
        <w:t>Background</w:t>
      </w:r>
      <w:bookmarkEnd w:id="1"/>
      <w:r w:rsidRPr="001F3797">
        <w:rPr>
          <w:rFonts w:asciiTheme="minorHAnsi" w:hAnsiTheme="minorHAnsi" w:cstheme="minorHAnsi"/>
        </w:rPr>
        <w:t xml:space="preserve"> </w:t>
      </w:r>
    </w:p>
    <w:p w14:paraId="76A8C60D" w14:textId="3BB2507D" w:rsidR="007B278D" w:rsidRPr="001F3797" w:rsidRDefault="0041212E" w:rsidP="0035674C">
      <w:pPr>
        <w:rPr>
          <w:rFonts w:cstheme="minorHAnsi"/>
        </w:rPr>
      </w:pPr>
      <w:r w:rsidRPr="001F3797">
        <w:rPr>
          <w:rFonts w:cstheme="minorHAnsi"/>
        </w:rPr>
        <w:t>This set of comparators ha</w:t>
      </w:r>
      <w:r w:rsidR="004E0147" w:rsidRPr="001F3797">
        <w:rPr>
          <w:rFonts w:cstheme="minorHAnsi"/>
        </w:rPr>
        <w:t>s</w:t>
      </w:r>
      <w:r w:rsidRPr="001F3797">
        <w:rPr>
          <w:rFonts w:cstheme="minorHAnsi"/>
        </w:rPr>
        <w:t xml:space="preserve"> been </w:t>
      </w:r>
      <w:r w:rsidR="00934C0F" w:rsidRPr="001F3797">
        <w:rPr>
          <w:rFonts w:cstheme="minorHAnsi"/>
        </w:rPr>
        <w:t xml:space="preserve">developed following publication </w:t>
      </w:r>
      <w:r w:rsidRPr="001F3797">
        <w:rPr>
          <w:rFonts w:cstheme="minorHAnsi"/>
        </w:rPr>
        <w:t>by the Public Health England</w:t>
      </w:r>
      <w:r w:rsidR="00667B5D" w:rsidRPr="001F3797">
        <w:rPr>
          <w:rFonts w:cstheme="minorHAnsi"/>
        </w:rPr>
        <w:t xml:space="preserve"> (PHE)</w:t>
      </w:r>
      <w:r w:rsidRPr="001F3797">
        <w:rPr>
          <w:rFonts w:cstheme="minorHAnsi"/>
        </w:rPr>
        <w:t xml:space="preserve"> Prescribed Medicines Review</w:t>
      </w:r>
      <w:bookmarkStart w:id="2" w:name="_Ref76467676"/>
      <w:r w:rsidRPr="001F3797">
        <w:rPr>
          <w:rStyle w:val="EndnoteReference"/>
          <w:rFonts w:cstheme="minorHAnsi"/>
        </w:rPr>
        <w:endnoteReference w:id="2"/>
      </w:r>
      <w:bookmarkEnd w:id="2"/>
      <w:r w:rsidR="00667B5D" w:rsidRPr="001F3797">
        <w:rPr>
          <w:rFonts w:cstheme="minorHAnsi"/>
        </w:rPr>
        <w:t xml:space="preserve"> </w:t>
      </w:r>
      <w:r w:rsidR="00934C0F" w:rsidRPr="001F3797">
        <w:rPr>
          <w:rFonts w:cstheme="minorHAnsi"/>
        </w:rPr>
        <w:t>(</w:t>
      </w:r>
      <w:r w:rsidR="00667B5D" w:rsidRPr="001F3797">
        <w:rPr>
          <w:rFonts w:cstheme="minorHAnsi"/>
        </w:rPr>
        <w:t>Hereafter referred to as the “PMR”.</w:t>
      </w:r>
      <w:r w:rsidR="00934C0F" w:rsidRPr="001F3797">
        <w:rPr>
          <w:rFonts w:cstheme="minorHAnsi"/>
        </w:rPr>
        <w:t>)</w:t>
      </w:r>
    </w:p>
    <w:p w14:paraId="0DB157D2" w14:textId="6337E01D" w:rsidR="007B278D" w:rsidRPr="001F3797" w:rsidRDefault="007B278D" w:rsidP="0035674C">
      <w:pPr>
        <w:rPr>
          <w:rFonts w:cstheme="minorHAnsi"/>
        </w:rPr>
      </w:pPr>
      <w:r w:rsidRPr="001F3797">
        <w:rPr>
          <w:rFonts w:cstheme="minorHAnsi"/>
        </w:rPr>
        <w:t xml:space="preserve">In the report published by PHE in </w:t>
      </w:r>
      <w:r w:rsidR="00CE38D6">
        <w:rPr>
          <w:rFonts w:cstheme="minorHAnsi"/>
        </w:rPr>
        <w:t>September 2019</w:t>
      </w:r>
      <w:r w:rsidRPr="001F3797">
        <w:rPr>
          <w:rFonts w:cstheme="minorHAnsi"/>
        </w:rPr>
        <w:t xml:space="preserve">, analysis showed that in 2017-2018, 11.5 million adults in England </w:t>
      </w:r>
      <w:r w:rsidR="00934C0F" w:rsidRPr="001F3797">
        <w:rPr>
          <w:rFonts w:cstheme="minorHAnsi"/>
        </w:rPr>
        <w:t>(26</w:t>
      </w:r>
      <w:r w:rsidRPr="001F3797">
        <w:rPr>
          <w:rFonts w:cstheme="minorHAnsi"/>
        </w:rPr>
        <w:t>% of the adult population</w:t>
      </w:r>
      <w:r w:rsidR="00ED2827" w:rsidRPr="001F3797">
        <w:rPr>
          <w:rFonts w:cstheme="minorHAnsi"/>
        </w:rPr>
        <w:t>)</w:t>
      </w:r>
      <w:r w:rsidRPr="001F3797">
        <w:rPr>
          <w:rFonts w:cstheme="minorHAnsi"/>
        </w:rPr>
        <w:t xml:space="preserve"> received and had dispensed one or more prescriptions for </w:t>
      </w:r>
      <w:r w:rsidR="00EA32D8">
        <w:rPr>
          <w:rFonts w:cstheme="minorHAnsi"/>
        </w:rPr>
        <w:t>a</w:t>
      </w:r>
      <w:r w:rsidRPr="001F3797">
        <w:rPr>
          <w:rFonts w:cstheme="minorHAnsi"/>
        </w:rPr>
        <w:t xml:space="preserve">ntidepressants, opioid pain medicines, </w:t>
      </w:r>
      <w:proofErr w:type="spellStart"/>
      <w:r w:rsidR="00EA32D8">
        <w:rPr>
          <w:rFonts w:cstheme="minorHAnsi"/>
        </w:rPr>
        <w:t>g</w:t>
      </w:r>
      <w:r w:rsidRPr="001F3797">
        <w:rPr>
          <w:rFonts w:cstheme="minorHAnsi"/>
        </w:rPr>
        <w:t>abapentinoids</w:t>
      </w:r>
      <w:proofErr w:type="spellEnd"/>
      <w:r w:rsidRPr="001F3797">
        <w:rPr>
          <w:rFonts w:cstheme="minorHAnsi"/>
        </w:rPr>
        <w:t xml:space="preserve">, benzodiazepines or “z” drugs. </w:t>
      </w:r>
    </w:p>
    <w:p w14:paraId="55ED4527" w14:textId="6728D9C9" w:rsidR="007B278D" w:rsidRPr="001F3797" w:rsidRDefault="007B278D" w:rsidP="0035674C">
      <w:pPr>
        <w:rPr>
          <w:rFonts w:cstheme="minorHAnsi"/>
        </w:rPr>
      </w:pPr>
      <w:r w:rsidRPr="001F3797">
        <w:rPr>
          <w:rFonts w:cstheme="minorHAnsi"/>
        </w:rPr>
        <w:t xml:space="preserve">5.6 million people </w:t>
      </w:r>
      <w:r w:rsidR="00934C0F" w:rsidRPr="001F3797">
        <w:rPr>
          <w:rFonts w:cstheme="minorHAnsi"/>
        </w:rPr>
        <w:t>(13</w:t>
      </w:r>
      <w:r w:rsidRPr="001F3797">
        <w:rPr>
          <w:rFonts w:cstheme="minorHAnsi"/>
        </w:rPr>
        <w:t xml:space="preserve">% of the </w:t>
      </w:r>
      <w:r w:rsidR="00ED2827" w:rsidRPr="001F3797">
        <w:rPr>
          <w:rFonts w:cstheme="minorHAnsi"/>
        </w:rPr>
        <w:t>population)</w:t>
      </w:r>
      <w:r w:rsidRPr="001F3797">
        <w:rPr>
          <w:rFonts w:cstheme="minorHAnsi"/>
        </w:rPr>
        <w:t xml:space="preserve"> received and had dispensed a prescription for an opioid pain medicine. </w:t>
      </w:r>
    </w:p>
    <w:p w14:paraId="7F840640" w14:textId="112DCCE6" w:rsidR="007B278D" w:rsidRPr="001F3797" w:rsidRDefault="007B278D" w:rsidP="0035674C">
      <w:pPr>
        <w:rPr>
          <w:rFonts w:cstheme="minorHAnsi"/>
        </w:rPr>
      </w:pPr>
      <w:r w:rsidRPr="001F3797">
        <w:rPr>
          <w:rFonts w:cstheme="minorHAnsi"/>
        </w:rPr>
        <w:t xml:space="preserve">In response to this report, work is being done to address this and Wessex AHSN and the NHS BSA have worked together with clinicians to develop the NHS BSA Opioid </w:t>
      </w:r>
      <w:r w:rsidR="00ED2827" w:rsidRPr="001F3797">
        <w:rPr>
          <w:rFonts w:cstheme="minorHAnsi"/>
        </w:rPr>
        <w:t>P</w:t>
      </w:r>
      <w:r w:rsidRPr="001F3797">
        <w:rPr>
          <w:rFonts w:cstheme="minorHAnsi"/>
        </w:rPr>
        <w:t xml:space="preserve">rescribing </w:t>
      </w:r>
      <w:r w:rsidR="00ED2827" w:rsidRPr="001F3797">
        <w:rPr>
          <w:rFonts w:cstheme="minorHAnsi"/>
        </w:rPr>
        <w:t>C</w:t>
      </w:r>
      <w:r w:rsidRPr="001F3797">
        <w:rPr>
          <w:rFonts w:cstheme="minorHAnsi"/>
        </w:rPr>
        <w:t xml:space="preserve">omparators to help GP practices, PCNs, ICS and others to </w:t>
      </w:r>
    </w:p>
    <w:p w14:paraId="599B2A7A" w14:textId="73C18022" w:rsidR="007B278D" w:rsidRPr="001F3797" w:rsidRDefault="007B278D" w:rsidP="0016551E">
      <w:pPr>
        <w:pStyle w:val="ListParagraph"/>
        <w:numPr>
          <w:ilvl w:val="0"/>
          <w:numId w:val="10"/>
        </w:numPr>
        <w:rPr>
          <w:rFonts w:cstheme="minorHAnsi"/>
        </w:rPr>
      </w:pPr>
      <w:r w:rsidRPr="001F3797">
        <w:rPr>
          <w:rFonts w:cstheme="minorHAnsi"/>
        </w:rPr>
        <w:t xml:space="preserve">understand the scale of their local opioid issues, </w:t>
      </w:r>
    </w:p>
    <w:p w14:paraId="48F25DA2" w14:textId="0384B3FE" w:rsidR="007B278D" w:rsidRPr="001F3797" w:rsidRDefault="007B278D" w:rsidP="0016551E">
      <w:pPr>
        <w:pStyle w:val="ListParagraph"/>
        <w:numPr>
          <w:ilvl w:val="0"/>
          <w:numId w:val="10"/>
        </w:numPr>
        <w:rPr>
          <w:rFonts w:cstheme="minorHAnsi"/>
        </w:rPr>
      </w:pPr>
      <w:r w:rsidRPr="001F3797">
        <w:rPr>
          <w:rFonts w:cstheme="minorHAnsi"/>
        </w:rPr>
        <w:t>understand which areas of opioid prescribing are most problematic</w:t>
      </w:r>
      <w:r w:rsidR="00ED2827" w:rsidRPr="001F3797">
        <w:rPr>
          <w:rFonts w:cstheme="minorHAnsi"/>
        </w:rPr>
        <w:t xml:space="preserve"> locally</w:t>
      </w:r>
    </w:p>
    <w:p w14:paraId="30731EFB" w14:textId="7C332E10" w:rsidR="007B278D" w:rsidRPr="001F3797" w:rsidRDefault="00ED2827" w:rsidP="0016551E">
      <w:pPr>
        <w:pStyle w:val="ListParagraph"/>
        <w:numPr>
          <w:ilvl w:val="0"/>
          <w:numId w:val="10"/>
        </w:numPr>
        <w:rPr>
          <w:rFonts w:cstheme="minorHAnsi"/>
        </w:rPr>
      </w:pPr>
      <w:r w:rsidRPr="001F3797">
        <w:rPr>
          <w:rFonts w:cstheme="minorHAnsi"/>
        </w:rPr>
        <w:t>i</w:t>
      </w:r>
      <w:r w:rsidR="007B278D" w:rsidRPr="001F3797">
        <w:rPr>
          <w:rFonts w:cstheme="minorHAnsi"/>
        </w:rPr>
        <w:t>dentify patients who are deemed to be at greatest risk from harm to be prioritise</w:t>
      </w:r>
      <w:r w:rsidR="007123EA" w:rsidRPr="001F3797">
        <w:rPr>
          <w:rFonts w:cstheme="minorHAnsi"/>
        </w:rPr>
        <w:t>d</w:t>
      </w:r>
      <w:r w:rsidR="007B278D" w:rsidRPr="001F3797">
        <w:rPr>
          <w:rFonts w:cstheme="minorHAnsi"/>
        </w:rPr>
        <w:t xml:space="preserve"> for a structured medication review. </w:t>
      </w:r>
    </w:p>
    <w:p w14:paraId="2347D609" w14:textId="3E6CC6E7" w:rsidR="007B278D" w:rsidRPr="001F3797" w:rsidRDefault="007B278D" w:rsidP="0016551E">
      <w:pPr>
        <w:pStyle w:val="ListParagraph"/>
        <w:numPr>
          <w:ilvl w:val="0"/>
          <w:numId w:val="10"/>
        </w:numPr>
        <w:rPr>
          <w:rFonts w:cstheme="minorHAnsi"/>
        </w:rPr>
      </w:pPr>
      <w:r w:rsidRPr="001F3797">
        <w:rPr>
          <w:rFonts w:cstheme="minorHAnsi"/>
        </w:rPr>
        <w:t>measure the impact of any interventions aimed at reducing harm f</w:t>
      </w:r>
      <w:r w:rsidR="007123EA" w:rsidRPr="001F3797">
        <w:rPr>
          <w:rFonts w:cstheme="minorHAnsi"/>
        </w:rPr>
        <w:t>rom</w:t>
      </w:r>
      <w:r w:rsidRPr="001F3797">
        <w:rPr>
          <w:rFonts w:cstheme="minorHAnsi"/>
        </w:rPr>
        <w:t xml:space="preserve"> opioids. </w:t>
      </w:r>
    </w:p>
    <w:p w14:paraId="567D4573" w14:textId="5AF18CB0" w:rsidR="007B278D" w:rsidRPr="001F3797" w:rsidRDefault="0089156C" w:rsidP="0035674C">
      <w:pPr>
        <w:rPr>
          <w:rFonts w:cstheme="minorHAnsi"/>
        </w:rPr>
      </w:pPr>
      <w:hyperlink r:id="rId11" w:history="1">
        <w:r w:rsidR="007B278D" w:rsidRPr="001F3797">
          <w:rPr>
            <w:rStyle w:val="Hyperlink"/>
            <w:rFonts w:cstheme="minorHAnsi"/>
          </w:rPr>
          <w:t>https://assets.publishing.service.gov.uk/government/uploads/system/uploads/attachment_data/file/940255/PHE_PMR_report_Dec2020.pdf</w:t>
        </w:r>
      </w:hyperlink>
    </w:p>
    <w:p w14:paraId="547A01AB" w14:textId="77777777" w:rsidR="007B278D" w:rsidRPr="001F3797" w:rsidRDefault="007B278D" w:rsidP="0035674C">
      <w:pPr>
        <w:rPr>
          <w:rFonts w:cstheme="minorHAnsi"/>
        </w:rPr>
      </w:pPr>
    </w:p>
    <w:p w14:paraId="1953C9FD" w14:textId="77777777" w:rsidR="00845B0A" w:rsidRDefault="00ED2827" w:rsidP="0035674C">
      <w:pPr>
        <w:rPr>
          <w:rFonts w:cstheme="minorHAnsi"/>
        </w:rPr>
      </w:pPr>
      <w:r w:rsidRPr="001F3797">
        <w:rPr>
          <w:rFonts w:cstheme="minorHAnsi"/>
        </w:rPr>
        <w:t xml:space="preserve">This specification is a technical document aimed at setting </w:t>
      </w:r>
      <w:r w:rsidR="003B3BF9">
        <w:rPr>
          <w:rFonts w:cstheme="minorHAnsi"/>
        </w:rPr>
        <w:t xml:space="preserve">out </w:t>
      </w:r>
      <w:r w:rsidRPr="001F3797">
        <w:rPr>
          <w:rFonts w:cstheme="minorHAnsi"/>
        </w:rPr>
        <w:t xml:space="preserve">how each of the Opioid prescribing comparators has been developed. </w:t>
      </w:r>
    </w:p>
    <w:p w14:paraId="1CF69710" w14:textId="5615B1D3" w:rsidR="007B278D" w:rsidRPr="00845B0A" w:rsidRDefault="00ED2827" w:rsidP="0035674C">
      <w:pPr>
        <w:rPr>
          <w:rFonts w:cstheme="minorHAnsi"/>
          <w:b/>
          <w:bCs w:val="0"/>
        </w:rPr>
      </w:pPr>
      <w:r w:rsidRPr="00845B0A">
        <w:rPr>
          <w:rFonts w:cstheme="minorHAnsi"/>
          <w:b/>
          <w:bCs w:val="0"/>
        </w:rPr>
        <w:t>THIS IS NOT A PRESCRIBING GUIDELINE. However, the following advice has been issued by the MHRA</w:t>
      </w:r>
    </w:p>
    <w:p w14:paraId="6ED0E060" w14:textId="2B5AB348" w:rsidR="00854E32" w:rsidRPr="00431E28" w:rsidRDefault="00854E32" w:rsidP="0016551E">
      <w:pPr>
        <w:pStyle w:val="Heading1"/>
        <w:numPr>
          <w:ilvl w:val="0"/>
          <w:numId w:val="11"/>
        </w:numPr>
        <w:rPr>
          <w:rFonts w:asciiTheme="minorHAnsi" w:hAnsiTheme="minorHAnsi" w:cstheme="minorHAnsi"/>
        </w:rPr>
      </w:pPr>
      <w:bookmarkStart w:id="3" w:name="_Toc102729687"/>
      <w:r w:rsidRPr="00431E28">
        <w:rPr>
          <w:rFonts w:asciiTheme="minorHAnsi" w:hAnsiTheme="minorHAnsi" w:cstheme="minorHAnsi"/>
        </w:rPr>
        <w:t>Advice for healthcare professionals:</w:t>
      </w:r>
      <w:bookmarkEnd w:id="3"/>
      <w:r w:rsidRPr="00431E28">
        <w:rPr>
          <w:rFonts w:asciiTheme="minorHAnsi" w:hAnsiTheme="minorHAnsi" w:cstheme="minorHAnsi"/>
        </w:rPr>
        <w:t xml:space="preserve"> </w:t>
      </w:r>
    </w:p>
    <w:p w14:paraId="1B124C4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opioid medicines (opioids) provide relief from serious short-term pain; however long- term use in non-cancer pain (longer than 3 months) carries an increased risk of dependence and addiction </w:t>
      </w:r>
    </w:p>
    <w:p w14:paraId="28042033"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discuss with patients that prolonged use of opioids may lead to drug dependence and addiction, even at therapeutic doses – warnings have been added to the labels (packaging) of UK opioid medicines to support patient awareness </w:t>
      </w:r>
    </w:p>
    <w:p w14:paraId="4153FC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before starting treatment with opioids, agree with the patient a treatment strategy and plan for end of treatment </w:t>
      </w:r>
    </w:p>
    <w:p w14:paraId="4DF949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explain the risks of tolerance and potentially fatal unintentional overdose, and counsel patients and caregivers on signs and symptoms of opioid overdose to be aware of (see </w:t>
      </w:r>
      <w:r w:rsidRPr="001F3797">
        <w:rPr>
          <w:rFonts w:eastAsia="Times New Roman" w:cstheme="minorHAnsi"/>
          <w:bCs w:val="0"/>
          <w:color w:val="0000FF"/>
          <w:lang w:eastAsia="en-GB"/>
        </w:rPr>
        <w:t>opioids safety information leaflet</w:t>
      </w:r>
      <w:r w:rsidRPr="001F3797">
        <w:rPr>
          <w:rFonts w:eastAsia="Times New Roman" w:cstheme="minorHAnsi"/>
          <w:bCs w:val="0"/>
          <w:lang w:eastAsia="en-GB"/>
        </w:rPr>
        <w:t xml:space="preserve">) </w:t>
      </w:r>
    </w:p>
    <w:p w14:paraId="6F7458C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provide regular monitoring and support especially to individuals at increased risk, such as those with current or past history of substance use disorder (including alcohol misuse) or mental health disorder </w:t>
      </w:r>
    </w:p>
    <w:p w14:paraId="5D7DC69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at the end of treatment, taper dosage slowly to reduce the risk of withdrawal effects associated with sudden cessation of opioids; tapering from a high dose may take weeks or months </w:t>
      </w:r>
    </w:p>
    <w:p w14:paraId="3D379C9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consider the possibility of hyperalgesia if a patient on long-term opioid therapy presents with increased sensitivity to pain </w:t>
      </w:r>
    </w:p>
    <w:p w14:paraId="197F269F"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consult the latest advice and warnings for opioids during pregnancy in the product information and in clinical resources </w:t>
      </w:r>
    </w:p>
    <w:p w14:paraId="3DF96C7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report suspected dependence or addiction to any medicine, including to an opioid, via the </w:t>
      </w:r>
      <w:r w:rsidRPr="001F3797">
        <w:rPr>
          <w:rFonts w:eastAsia="Times New Roman" w:cstheme="minorHAnsi"/>
          <w:bCs w:val="0"/>
          <w:color w:val="0000FF"/>
          <w:lang w:eastAsia="en-GB"/>
        </w:rPr>
        <w:t xml:space="preserve">Yellow Card scheme </w:t>
      </w:r>
    </w:p>
    <w:p w14:paraId="0243158D" w14:textId="77777777" w:rsidR="00854E32" w:rsidRPr="001F3797" w:rsidRDefault="00854E32" w:rsidP="00854E32">
      <w:pPr>
        <w:rPr>
          <w:rFonts w:cstheme="minorHAnsi"/>
        </w:rPr>
      </w:pPr>
    </w:p>
    <w:p w14:paraId="629E7818" w14:textId="4A5D6593" w:rsidR="00854E32" w:rsidRPr="001F3797" w:rsidRDefault="00854E32" w:rsidP="00854E32">
      <w:pPr>
        <w:rPr>
          <w:rFonts w:cstheme="minorHAnsi"/>
          <w:b/>
          <w:bCs w:val="0"/>
        </w:rPr>
      </w:pPr>
      <w:r w:rsidRPr="001F3797">
        <w:rPr>
          <w:rFonts w:cstheme="minorHAnsi"/>
          <w:b/>
          <w:bCs w:val="0"/>
        </w:rPr>
        <w:t xml:space="preserve">THIS IS NOT A CLINICAL </w:t>
      </w:r>
      <w:r w:rsidR="00F1612B">
        <w:rPr>
          <w:rFonts w:cstheme="minorHAnsi"/>
          <w:b/>
          <w:bCs w:val="0"/>
        </w:rPr>
        <w:t xml:space="preserve">OR PRESCRIBING </w:t>
      </w:r>
      <w:r w:rsidRPr="001F3797">
        <w:rPr>
          <w:rFonts w:cstheme="minorHAnsi"/>
          <w:b/>
          <w:bCs w:val="0"/>
        </w:rPr>
        <w:t>GUIDELINE</w:t>
      </w:r>
    </w:p>
    <w:p w14:paraId="7472218F" w14:textId="1FEB243C" w:rsidR="00854E32" w:rsidRPr="001F3797" w:rsidRDefault="00854E32" w:rsidP="00854E32">
      <w:pPr>
        <w:rPr>
          <w:rFonts w:cstheme="minorHAnsi"/>
          <w:b/>
          <w:bCs w:val="0"/>
        </w:rPr>
      </w:pPr>
      <w:r w:rsidRPr="001F3797">
        <w:rPr>
          <w:rFonts w:cstheme="minorHAnsi"/>
          <w:b/>
          <w:bCs w:val="0"/>
        </w:rPr>
        <w:t xml:space="preserve">FOR </w:t>
      </w:r>
      <w:r w:rsidR="00ED2827" w:rsidRPr="001F3797">
        <w:rPr>
          <w:rFonts w:cstheme="minorHAnsi"/>
          <w:b/>
          <w:bCs w:val="0"/>
        </w:rPr>
        <w:t xml:space="preserve">FURTHER </w:t>
      </w:r>
      <w:r w:rsidRPr="001F3797">
        <w:rPr>
          <w:rFonts w:cstheme="minorHAnsi"/>
          <w:b/>
          <w:bCs w:val="0"/>
        </w:rPr>
        <w:t xml:space="preserve">SUPPORT AROUND SAFER OPIOID PRESCIRBING SEE </w:t>
      </w:r>
    </w:p>
    <w:p w14:paraId="2E752E63" w14:textId="3BF79668" w:rsidR="00854E32" w:rsidRPr="001F3797" w:rsidRDefault="0089156C" w:rsidP="0035674C">
      <w:pPr>
        <w:rPr>
          <w:rFonts w:cstheme="minorHAnsi"/>
          <w:b/>
          <w:bCs w:val="0"/>
          <w:color w:val="FF0000"/>
        </w:rPr>
      </w:pPr>
      <w:hyperlink r:id="rId12" w:history="1">
        <w:r w:rsidR="00854E32" w:rsidRPr="001F3797">
          <w:rPr>
            <w:rStyle w:val="Hyperlink"/>
            <w:rFonts w:cstheme="minorHAnsi"/>
            <w:b/>
            <w:bCs w:val="0"/>
          </w:rPr>
          <w:t>https://fpm.ac.uk/opioids-aware-opioids-addiction/terminology-and-prevalence</w:t>
        </w:r>
      </w:hyperlink>
      <w:r w:rsidR="00854E32" w:rsidRPr="001F3797">
        <w:rPr>
          <w:rFonts w:cstheme="minorHAnsi"/>
          <w:b/>
          <w:bCs w:val="0"/>
        </w:rPr>
        <w:t xml:space="preserve"> </w:t>
      </w:r>
    </w:p>
    <w:p w14:paraId="68CEA28E" w14:textId="404E7EC2" w:rsidR="00934C0F" w:rsidRPr="001F3797" w:rsidRDefault="00934C0F" w:rsidP="0035674C">
      <w:pPr>
        <w:rPr>
          <w:rFonts w:cstheme="minorHAnsi"/>
          <w:b/>
          <w:bCs w:val="0"/>
          <w:color w:val="FF0000"/>
        </w:rPr>
      </w:pPr>
    </w:p>
    <w:p w14:paraId="1E61ABE0" w14:textId="77777777" w:rsidR="00934C0F" w:rsidRPr="001F3797" w:rsidRDefault="00934C0F" w:rsidP="0035674C">
      <w:pPr>
        <w:rPr>
          <w:rFonts w:cstheme="minorHAnsi"/>
          <w:color w:val="FF0000"/>
        </w:rPr>
      </w:pPr>
    </w:p>
    <w:p w14:paraId="115C028B" w14:textId="75D41DE2" w:rsidR="0077290A" w:rsidRPr="004D2A10" w:rsidRDefault="0077290A" w:rsidP="004D2A10">
      <w:pPr>
        <w:pStyle w:val="Heading1"/>
        <w:numPr>
          <w:ilvl w:val="0"/>
          <w:numId w:val="11"/>
        </w:numPr>
        <w:rPr>
          <w:rFonts w:asciiTheme="minorHAnsi" w:hAnsiTheme="minorHAnsi" w:cstheme="minorHAnsi"/>
        </w:rPr>
      </w:pPr>
      <w:bookmarkStart w:id="4" w:name="_Toc102729688"/>
      <w:r w:rsidRPr="004D2A10">
        <w:rPr>
          <w:rFonts w:asciiTheme="minorHAnsi" w:hAnsiTheme="minorHAnsi" w:cstheme="minorHAnsi"/>
        </w:rPr>
        <w:t>Drug groupings</w:t>
      </w:r>
      <w:bookmarkEnd w:id="4"/>
    </w:p>
    <w:p w14:paraId="60DF30E6" w14:textId="115191E3" w:rsidR="00F725D6" w:rsidRPr="001F3797" w:rsidRDefault="0077290A" w:rsidP="00DF5DEA">
      <w:pPr>
        <w:rPr>
          <w:rFonts w:cstheme="minorHAnsi"/>
        </w:rPr>
      </w:pPr>
      <w:r w:rsidRPr="001F3797">
        <w:rPr>
          <w:rFonts w:cstheme="minorHAnsi"/>
        </w:rPr>
        <w:t xml:space="preserve">The PMR identified five medicine </w:t>
      </w:r>
      <w:r w:rsidR="00ED2827" w:rsidRPr="001F3797">
        <w:rPr>
          <w:rFonts w:cstheme="minorHAnsi"/>
        </w:rPr>
        <w:t>classes. These</w:t>
      </w:r>
      <w:r w:rsidR="00F725D6" w:rsidRPr="001F3797">
        <w:rPr>
          <w:rFonts w:cstheme="minorHAnsi"/>
        </w:rPr>
        <w:t xml:space="preserve"> are referred to using the following terminology in the report and datasets.</w:t>
      </w:r>
      <w:r w:rsidR="00ED65D7" w:rsidRPr="001F3797">
        <w:rPr>
          <w:rFonts w:cstheme="minorHAnsi"/>
        </w:rPr>
        <w:t xml:space="preserve"> Three additional classes have been included for the purpose of calculating additional comparators suggested by the working groups.</w:t>
      </w:r>
      <w:r w:rsidR="00DF5DEA" w:rsidRPr="001F3797" w:rsidDel="00DF5DEA">
        <w:rPr>
          <w:rFonts w:cstheme="minorHAnsi"/>
        </w:rPr>
        <w:t xml:space="preserve"> </w:t>
      </w:r>
    </w:p>
    <w:tbl>
      <w:tblPr>
        <w:tblStyle w:val="ListTable4-Accent1"/>
        <w:tblW w:w="0" w:type="auto"/>
        <w:tblLook w:val="04A0" w:firstRow="1" w:lastRow="0" w:firstColumn="1" w:lastColumn="0" w:noHBand="0" w:noVBand="1"/>
      </w:tblPr>
      <w:tblGrid>
        <w:gridCol w:w="2405"/>
        <w:gridCol w:w="3544"/>
        <w:gridCol w:w="3067"/>
      </w:tblGrid>
      <w:tr w:rsidR="00DF5DEA" w:rsidRPr="001F3797" w14:paraId="0D24B7B9" w14:textId="77777777" w:rsidTr="00E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474A01" w14:textId="4CE54E9C" w:rsidR="00DF5DEA" w:rsidRPr="001F3797" w:rsidRDefault="000A1B12" w:rsidP="0077290A">
            <w:pPr>
              <w:rPr>
                <w:rFonts w:cstheme="minorHAnsi"/>
              </w:rPr>
            </w:pPr>
            <w:r w:rsidRPr="001F3797">
              <w:rPr>
                <w:rFonts w:cstheme="minorHAnsi"/>
              </w:rPr>
              <w:t xml:space="preserve">PMR </w:t>
            </w:r>
            <w:r w:rsidR="00DF5DEA" w:rsidRPr="001F3797">
              <w:rPr>
                <w:rFonts w:cstheme="minorHAnsi"/>
              </w:rPr>
              <w:t>Medicine Class</w:t>
            </w:r>
          </w:p>
        </w:tc>
        <w:tc>
          <w:tcPr>
            <w:tcW w:w="3544" w:type="dxa"/>
          </w:tcPr>
          <w:p w14:paraId="72EEE68C" w14:textId="3053D0EE" w:rsidR="00DF5DEA" w:rsidRPr="001F3797" w:rsidRDefault="000A1B12"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Detailed Medicine s</w:t>
            </w:r>
            <w:r w:rsidR="00DF5DEA" w:rsidRPr="001F3797">
              <w:rPr>
                <w:rFonts w:cstheme="minorHAnsi"/>
              </w:rPr>
              <w:t>ub class</w:t>
            </w:r>
          </w:p>
        </w:tc>
        <w:tc>
          <w:tcPr>
            <w:tcW w:w="3067" w:type="dxa"/>
          </w:tcPr>
          <w:p w14:paraId="534EB28D" w14:textId="6BDC3DDF" w:rsidR="00DF5DEA" w:rsidRPr="001F3797" w:rsidRDefault="00B2352D"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Details</w:t>
            </w:r>
          </w:p>
        </w:tc>
      </w:tr>
      <w:tr w:rsidR="00DF5DEA" w:rsidRPr="001F3797" w14:paraId="5A6D29C6"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8E848" w14:textId="3E087369" w:rsidR="00DF5DEA" w:rsidRPr="001F3797" w:rsidRDefault="00DF5DEA" w:rsidP="00DF5DEA">
            <w:pPr>
              <w:rPr>
                <w:rFonts w:cstheme="minorHAnsi"/>
              </w:rPr>
            </w:pPr>
            <w:r w:rsidRPr="001F3797">
              <w:rPr>
                <w:rFonts w:cstheme="minorHAnsi"/>
              </w:rPr>
              <w:t>Antidepressants</w:t>
            </w:r>
          </w:p>
        </w:tc>
        <w:tc>
          <w:tcPr>
            <w:tcW w:w="3544" w:type="dxa"/>
          </w:tcPr>
          <w:p w14:paraId="6EE3F535" w14:textId="77777777" w:rsidR="00DF5DEA" w:rsidRPr="001F3797" w:rsidRDefault="00DF5DEA" w:rsidP="00DF5DE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61497728" w14:textId="0B802E35"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w:t>
            </w:r>
            <w:r w:rsidR="00B2352D" w:rsidRPr="001F3797">
              <w:rPr>
                <w:rFonts w:cstheme="minorHAnsi"/>
              </w:rPr>
              <w:t xml:space="preserve"> 1 section </w:t>
            </w:r>
            <w:r w:rsidRPr="001F3797">
              <w:rPr>
                <w:rFonts w:cstheme="minorHAnsi"/>
              </w:rPr>
              <w:t>1</w:t>
            </w:r>
          </w:p>
        </w:tc>
      </w:tr>
      <w:tr w:rsidR="00DF5DEA" w:rsidRPr="001F3797" w14:paraId="02F85D6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28E86E84" w14:textId="7F152C79" w:rsidR="00DF5DEA" w:rsidRPr="001F3797" w:rsidRDefault="00DF5DEA" w:rsidP="00DF5DEA">
            <w:pPr>
              <w:rPr>
                <w:rFonts w:cstheme="minorHAnsi"/>
              </w:rPr>
            </w:pPr>
            <w:r w:rsidRPr="001F3797">
              <w:rPr>
                <w:rFonts w:cstheme="minorHAnsi"/>
              </w:rPr>
              <w:t>Opioid pain medicines</w:t>
            </w:r>
          </w:p>
        </w:tc>
        <w:tc>
          <w:tcPr>
            <w:tcW w:w="3544" w:type="dxa"/>
          </w:tcPr>
          <w:p w14:paraId="77E492C5" w14:textId="3D2B9192" w:rsidR="00DF5DEA" w:rsidRPr="001F3797" w:rsidRDefault="00DF5DEA" w:rsidP="00DF5DE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1414F499" w14:textId="6721EFE5" w:rsidR="00DF5DEA" w:rsidRPr="001F3797" w:rsidRDefault="00DF5DE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 xml:space="preserve">1 section </w:t>
            </w:r>
            <w:r w:rsidRPr="001F3797">
              <w:rPr>
                <w:rFonts w:cstheme="minorHAnsi"/>
              </w:rPr>
              <w:t>2</w:t>
            </w:r>
          </w:p>
        </w:tc>
      </w:tr>
      <w:tr w:rsidR="00DF5DEA" w:rsidRPr="001F3797" w14:paraId="5ECBEA07"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A29549" w14:textId="77777777" w:rsidR="00DF5DEA" w:rsidRPr="001F3797" w:rsidRDefault="00DF5DEA" w:rsidP="00DF5DEA">
            <w:pPr>
              <w:rPr>
                <w:rFonts w:cstheme="minorHAnsi"/>
              </w:rPr>
            </w:pPr>
          </w:p>
        </w:tc>
        <w:tc>
          <w:tcPr>
            <w:tcW w:w="3544" w:type="dxa"/>
          </w:tcPr>
          <w:p w14:paraId="7B46020F" w14:textId="7E6D208B" w:rsidR="00DF5DEA" w:rsidRPr="001F3797" w:rsidRDefault="0084541E" w:rsidP="00DF5DE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Overall o</w:t>
            </w:r>
            <w:r w:rsidR="00DF5DEA" w:rsidRPr="001F3797">
              <w:rPr>
                <w:rFonts w:cstheme="minorHAnsi"/>
              </w:rPr>
              <w:t>pioid pain medicines (PMR)</w:t>
            </w:r>
          </w:p>
        </w:tc>
        <w:tc>
          <w:tcPr>
            <w:tcW w:w="3067" w:type="dxa"/>
          </w:tcPr>
          <w:p w14:paraId="6640CB80" w14:textId="0EFE7C46"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1 section 2.1</w:t>
            </w:r>
          </w:p>
        </w:tc>
      </w:tr>
      <w:tr w:rsidR="0012049A" w:rsidRPr="001F3797" w14:paraId="0FDB4DAD"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0D245818" w14:textId="21608085" w:rsidR="0012049A" w:rsidRPr="001F3797" w:rsidRDefault="0012049A" w:rsidP="0012049A">
            <w:pPr>
              <w:rPr>
                <w:rFonts w:cstheme="minorHAnsi"/>
              </w:rPr>
            </w:pPr>
          </w:p>
        </w:tc>
        <w:tc>
          <w:tcPr>
            <w:tcW w:w="3544" w:type="dxa"/>
          </w:tcPr>
          <w:p w14:paraId="4654471E" w14:textId="53FAB862"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Opioid pain medicines (excluding injectables and co-codamol and codydramol)</w:t>
            </w:r>
          </w:p>
        </w:tc>
        <w:tc>
          <w:tcPr>
            <w:tcW w:w="3067" w:type="dxa"/>
          </w:tcPr>
          <w:p w14:paraId="3F112593" w14:textId="00EB9ED7"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 section 2.2</w:t>
            </w:r>
          </w:p>
        </w:tc>
      </w:tr>
      <w:tr w:rsidR="0012049A" w:rsidRPr="001F3797" w14:paraId="34652523"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F8E15" w14:textId="46717DE5" w:rsidR="0012049A" w:rsidRPr="001F3797" w:rsidRDefault="0012049A" w:rsidP="0012049A">
            <w:pPr>
              <w:rPr>
                <w:rFonts w:cstheme="minorHAnsi"/>
              </w:rPr>
            </w:pPr>
          </w:p>
        </w:tc>
        <w:tc>
          <w:tcPr>
            <w:tcW w:w="3544" w:type="dxa"/>
          </w:tcPr>
          <w:p w14:paraId="003AAA3A" w14:textId="227C69BB"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Oral Morphine Equivalen</w:t>
            </w:r>
            <w:r w:rsidR="0084541E" w:rsidRPr="001F3797">
              <w:rPr>
                <w:rFonts w:cstheme="minorHAnsi"/>
              </w:rPr>
              <w:t>ce</w:t>
            </w:r>
          </w:p>
        </w:tc>
        <w:tc>
          <w:tcPr>
            <w:tcW w:w="3067" w:type="dxa"/>
          </w:tcPr>
          <w:p w14:paraId="3B7C8E20" w14:textId="301FD142"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 section 2.3</w:t>
            </w:r>
          </w:p>
        </w:tc>
      </w:tr>
      <w:tr w:rsidR="0012049A" w:rsidRPr="001F3797" w14:paraId="6829DFB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422C332B" w14:textId="4D07856E" w:rsidR="0012049A" w:rsidRPr="001F3797" w:rsidRDefault="0012049A" w:rsidP="0012049A">
            <w:pPr>
              <w:rPr>
                <w:rFonts w:cstheme="minorHAnsi"/>
              </w:rPr>
            </w:pPr>
          </w:p>
        </w:tc>
        <w:tc>
          <w:tcPr>
            <w:tcW w:w="3544" w:type="dxa"/>
          </w:tcPr>
          <w:p w14:paraId="34B3D6E2" w14:textId="5BB008E5"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Morphine </w:t>
            </w:r>
            <w:proofErr w:type="spellStart"/>
            <w:r w:rsidRPr="001F3797">
              <w:rPr>
                <w:rFonts w:cstheme="minorHAnsi"/>
              </w:rPr>
              <w:t>sulfate</w:t>
            </w:r>
            <w:proofErr w:type="spellEnd"/>
            <w:r w:rsidRPr="001F3797">
              <w:rPr>
                <w:rFonts w:cstheme="minorHAnsi"/>
              </w:rPr>
              <w:t xml:space="preserve"> 10mg/5ml</w:t>
            </w:r>
          </w:p>
        </w:tc>
        <w:tc>
          <w:tcPr>
            <w:tcW w:w="3067" w:type="dxa"/>
          </w:tcPr>
          <w:p w14:paraId="21A23DCF" w14:textId="2DB0FF14" w:rsidR="0012049A" w:rsidRPr="001F3797" w:rsidRDefault="00E10FF5"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See comparator specification</w:t>
            </w:r>
          </w:p>
        </w:tc>
      </w:tr>
      <w:tr w:rsidR="0012049A" w:rsidRPr="001F3797" w14:paraId="3DEC8399"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78BEE2" w14:textId="6CCC7C4D" w:rsidR="0012049A" w:rsidRPr="001F3797" w:rsidRDefault="0012049A" w:rsidP="0012049A">
            <w:pPr>
              <w:rPr>
                <w:rFonts w:cstheme="minorHAnsi"/>
              </w:rPr>
            </w:pPr>
            <w:proofErr w:type="spellStart"/>
            <w:r w:rsidRPr="001F3797">
              <w:rPr>
                <w:rFonts w:cstheme="minorHAnsi"/>
              </w:rPr>
              <w:t>Gabapentinoids</w:t>
            </w:r>
            <w:proofErr w:type="spellEnd"/>
          </w:p>
        </w:tc>
        <w:tc>
          <w:tcPr>
            <w:tcW w:w="3544" w:type="dxa"/>
          </w:tcPr>
          <w:p w14:paraId="183FB58D"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7A0C1E1F" w14:textId="0DC15977"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3</w:t>
            </w:r>
          </w:p>
        </w:tc>
      </w:tr>
      <w:tr w:rsidR="0012049A" w:rsidRPr="001F3797" w14:paraId="15C31AF1"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59772495" w14:textId="63DE38F0" w:rsidR="0012049A" w:rsidRPr="001F3797" w:rsidRDefault="0012049A" w:rsidP="0012049A">
            <w:pPr>
              <w:rPr>
                <w:rFonts w:cstheme="minorHAnsi"/>
              </w:rPr>
            </w:pPr>
            <w:r w:rsidRPr="001F3797">
              <w:rPr>
                <w:rFonts w:cstheme="minorHAnsi"/>
              </w:rPr>
              <w:t>Benzodiazepines</w:t>
            </w:r>
          </w:p>
        </w:tc>
        <w:tc>
          <w:tcPr>
            <w:tcW w:w="3544" w:type="dxa"/>
          </w:tcPr>
          <w:p w14:paraId="4AC35B38" w14:textId="77777777"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6E037597" w14:textId="4D91EB0B"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4</w:t>
            </w:r>
          </w:p>
        </w:tc>
      </w:tr>
      <w:tr w:rsidR="0012049A" w:rsidRPr="001F3797" w14:paraId="7B651CAD"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ED5767" w14:textId="7EFF9210" w:rsidR="0012049A" w:rsidRPr="001F3797" w:rsidRDefault="0012049A" w:rsidP="0012049A">
            <w:pPr>
              <w:rPr>
                <w:rFonts w:cstheme="minorHAnsi"/>
              </w:rPr>
            </w:pPr>
            <w:r w:rsidRPr="001F3797">
              <w:rPr>
                <w:rFonts w:cstheme="minorHAnsi"/>
              </w:rPr>
              <w:t>Z-Drugs</w:t>
            </w:r>
          </w:p>
        </w:tc>
        <w:tc>
          <w:tcPr>
            <w:tcW w:w="3544" w:type="dxa"/>
          </w:tcPr>
          <w:p w14:paraId="443F120A"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573DDD71" w14:textId="4996C205"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5</w:t>
            </w:r>
          </w:p>
        </w:tc>
      </w:tr>
    </w:tbl>
    <w:p w14:paraId="3F045ED5" w14:textId="77777777" w:rsidR="00DF5DEA" w:rsidRPr="001F3797" w:rsidRDefault="00DF5DEA" w:rsidP="0077290A">
      <w:pPr>
        <w:rPr>
          <w:rFonts w:cstheme="minorHAnsi"/>
        </w:rPr>
      </w:pPr>
    </w:p>
    <w:p w14:paraId="5D60FAE7" w14:textId="0981DC54" w:rsidR="0077290A" w:rsidRPr="001F3797" w:rsidRDefault="0077290A" w:rsidP="0077290A">
      <w:pPr>
        <w:rPr>
          <w:rFonts w:cstheme="minorHAnsi"/>
        </w:rPr>
      </w:pPr>
      <w:r w:rsidRPr="001F3797">
        <w:rPr>
          <w:rFonts w:cstheme="minorHAnsi"/>
        </w:rPr>
        <w:t>Detailed lists</w:t>
      </w:r>
      <w:r w:rsidR="00F725D6" w:rsidRPr="001F3797">
        <w:rPr>
          <w:rFonts w:cstheme="minorHAnsi"/>
        </w:rPr>
        <w:t xml:space="preserve"> by </w:t>
      </w:r>
      <w:r w:rsidR="00164CE1">
        <w:rPr>
          <w:rFonts w:cstheme="minorHAnsi"/>
        </w:rPr>
        <w:t>British National Formulary (</w:t>
      </w:r>
      <w:r w:rsidR="00F725D6" w:rsidRPr="001F3797">
        <w:rPr>
          <w:rFonts w:cstheme="minorHAnsi"/>
        </w:rPr>
        <w:t>BNF</w:t>
      </w:r>
      <w:r w:rsidR="00164CE1">
        <w:rPr>
          <w:rFonts w:cstheme="minorHAnsi"/>
        </w:rPr>
        <w:t>)</w:t>
      </w:r>
      <w:r w:rsidR="00F725D6" w:rsidRPr="001F3797">
        <w:rPr>
          <w:rFonts w:cstheme="minorHAnsi"/>
        </w:rPr>
        <w:t xml:space="preserve"> code and the methodology used to select the lists</w:t>
      </w:r>
      <w:r w:rsidRPr="001F3797">
        <w:rPr>
          <w:rFonts w:cstheme="minorHAnsi"/>
        </w:rPr>
        <w:t xml:space="preserve"> </w:t>
      </w:r>
      <w:r w:rsidR="00F725D6" w:rsidRPr="001F3797">
        <w:rPr>
          <w:rFonts w:cstheme="minorHAnsi"/>
        </w:rPr>
        <w:t>can be found</w:t>
      </w:r>
      <w:r w:rsidRPr="001F3797">
        <w:rPr>
          <w:rFonts w:cstheme="minorHAnsi"/>
        </w:rPr>
        <w:t xml:space="preserve"> in the technical annex to this report.</w:t>
      </w:r>
      <w:r w:rsidR="00164CE1">
        <w:rPr>
          <w:rFonts w:cstheme="minorHAnsi"/>
        </w:rPr>
        <w:t xml:space="preserve"> The BNF codes used in NHSBSA prescribing data </w:t>
      </w:r>
      <w:r w:rsidR="00164CE1" w:rsidRPr="00CA2E65">
        <w:rPr>
          <w:rFonts w:ascii="Arial" w:eastAsia="Arial" w:hAnsi="Arial" w:cs="Arial"/>
        </w:rPr>
        <w:t>us</w:t>
      </w:r>
      <w:r w:rsidR="00164CE1">
        <w:rPr>
          <w:rFonts w:ascii="Arial" w:eastAsia="Arial" w:hAnsi="Arial" w:cs="Arial"/>
        </w:rPr>
        <w:t>e</w:t>
      </w:r>
      <w:r w:rsidR="00164CE1" w:rsidRPr="00CA2E65">
        <w:rPr>
          <w:rFonts w:ascii="Arial" w:eastAsia="Arial" w:hAnsi="Arial" w:cs="Arial"/>
        </w:rPr>
        <w:t xml:space="preserve"> the classification system </w:t>
      </w:r>
      <w:r w:rsidR="00186A8B">
        <w:rPr>
          <w:rFonts w:ascii="Arial" w:eastAsia="Arial" w:hAnsi="Arial" w:cs="Arial"/>
        </w:rPr>
        <w:t>that was in place before</w:t>
      </w:r>
      <w:r w:rsidR="00164CE1" w:rsidRPr="00CA2E65">
        <w:rPr>
          <w:rFonts w:ascii="Arial" w:eastAsia="Arial" w:hAnsi="Arial" w:cs="Arial"/>
        </w:rPr>
        <w:t xml:space="preserve"> BNF edition 70.</w:t>
      </w:r>
    </w:p>
    <w:p w14:paraId="44BD72FC" w14:textId="310F11A0" w:rsidR="00B2352D" w:rsidRPr="001F3797" w:rsidRDefault="00B2352D" w:rsidP="00ED1739">
      <w:pPr>
        <w:pStyle w:val="Heading3"/>
      </w:pPr>
      <w:r w:rsidRPr="001F3797">
        <w:t xml:space="preserve">Oral Morphine </w:t>
      </w:r>
      <w:r w:rsidRPr="00ED1739">
        <w:t>Equivalence</w:t>
      </w:r>
    </w:p>
    <w:p w14:paraId="430C2C7B" w14:textId="0E41E489" w:rsidR="00B2352D" w:rsidRPr="00E16BDD" w:rsidRDefault="00E16BDD" w:rsidP="0077290A">
      <w:pPr>
        <w:rPr>
          <w:rFonts w:cstheme="minorHAnsi"/>
          <w:color w:val="000000" w:themeColor="text1"/>
        </w:rPr>
      </w:pPr>
      <w:r>
        <w:rPr>
          <w:rFonts w:cstheme="minorHAnsi"/>
          <w:color w:val="000000" w:themeColor="text1"/>
        </w:rPr>
        <w:t xml:space="preserve">There is no recognised, definitive list of oral morphine equivalence for all opioid preparations. </w:t>
      </w:r>
      <w:r w:rsidR="00F1612B" w:rsidRPr="00E16BDD">
        <w:rPr>
          <w:rFonts w:cstheme="minorHAnsi"/>
          <w:color w:val="000000" w:themeColor="text1"/>
        </w:rPr>
        <w:t xml:space="preserve">The </w:t>
      </w:r>
      <w:r w:rsidRPr="00E16BDD">
        <w:rPr>
          <w:rFonts w:cstheme="minorHAnsi"/>
          <w:color w:val="000000" w:themeColor="text1"/>
        </w:rPr>
        <w:t>Opioid</w:t>
      </w:r>
      <w:r w:rsidR="00F1612B" w:rsidRPr="00E16BDD">
        <w:rPr>
          <w:rFonts w:cstheme="minorHAnsi"/>
          <w:color w:val="000000" w:themeColor="text1"/>
        </w:rPr>
        <w:t xml:space="preserve"> comparators </w:t>
      </w:r>
      <w:r>
        <w:rPr>
          <w:rFonts w:cstheme="minorHAnsi"/>
          <w:color w:val="000000" w:themeColor="text1"/>
        </w:rPr>
        <w:t>wo</w:t>
      </w:r>
      <w:r w:rsidR="00F1612B" w:rsidRPr="00E16BDD">
        <w:rPr>
          <w:rFonts w:cstheme="minorHAnsi"/>
          <w:color w:val="000000" w:themeColor="text1"/>
        </w:rPr>
        <w:t xml:space="preserve">rking group are </w:t>
      </w:r>
      <w:r w:rsidR="00F23844">
        <w:rPr>
          <w:rFonts w:cstheme="minorHAnsi"/>
          <w:color w:val="000000" w:themeColor="text1"/>
        </w:rPr>
        <w:t xml:space="preserve">enormously </w:t>
      </w:r>
      <w:r w:rsidR="00F1612B" w:rsidRPr="00E16BDD">
        <w:rPr>
          <w:rFonts w:cstheme="minorHAnsi"/>
          <w:color w:val="000000" w:themeColor="text1"/>
        </w:rPr>
        <w:t xml:space="preserve">grateful to Amy Lynch </w:t>
      </w:r>
      <w:r w:rsidRPr="00E16BDD">
        <w:rPr>
          <w:rFonts w:cstheme="minorHAnsi"/>
          <w:color w:val="000000" w:themeColor="text1"/>
        </w:rPr>
        <w:t>Strategic</w:t>
      </w:r>
      <w:r w:rsidR="00F1612B" w:rsidRPr="00E16BDD">
        <w:rPr>
          <w:rFonts w:cstheme="minorHAnsi"/>
          <w:color w:val="000000" w:themeColor="text1"/>
        </w:rPr>
        <w:t xml:space="preserve"> Lead Pharmacist for Medicines </w:t>
      </w:r>
      <w:r w:rsidRPr="00E16BDD">
        <w:rPr>
          <w:rFonts w:cstheme="minorHAnsi"/>
          <w:color w:val="000000" w:themeColor="text1"/>
        </w:rPr>
        <w:t>Sussex NHS and</w:t>
      </w:r>
      <w:r w:rsidR="00F1612B" w:rsidRPr="00E16BDD">
        <w:rPr>
          <w:rFonts w:cstheme="minorHAnsi"/>
          <w:color w:val="000000" w:themeColor="text1"/>
        </w:rPr>
        <w:t xml:space="preserve"> Professor Roger Knaggs </w:t>
      </w:r>
      <w:r w:rsidRPr="00E16BDD">
        <w:rPr>
          <w:rFonts w:cstheme="minorHAnsi"/>
          <w:color w:val="000000" w:themeColor="text1"/>
        </w:rPr>
        <w:t>Associate Professor Faculty of Science</w:t>
      </w:r>
      <w:r w:rsidR="00EA32D8">
        <w:rPr>
          <w:rFonts w:cstheme="minorHAnsi"/>
          <w:color w:val="000000" w:themeColor="text1"/>
        </w:rPr>
        <w:t>,</w:t>
      </w:r>
      <w:r w:rsidRPr="00E16BDD">
        <w:rPr>
          <w:rFonts w:cstheme="minorHAnsi"/>
          <w:color w:val="000000" w:themeColor="text1"/>
        </w:rPr>
        <w:t xml:space="preserve"> </w:t>
      </w:r>
      <w:r w:rsidR="00EA32D8">
        <w:rPr>
          <w:rFonts w:cstheme="minorHAnsi"/>
          <w:color w:val="000000" w:themeColor="text1"/>
        </w:rPr>
        <w:t xml:space="preserve">The </w:t>
      </w:r>
      <w:r w:rsidRPr="00E16BDD">
        <w:rPr>
          <w:rFonts w:cstheme="minorHAnsi"/>
          <w:color w:val="000000" w:themeColor="text1"/>
        </w:rPr>
        <w:t>University</w:t>
      </w:r>
      <w:r w:rsidR="00EA32D8">
        <w:rPr>
          <w:rFonts w:cstheme="minorHAnsi"/>
          <w:color w:val="000000" w:themeColor="text1"/>
        </w:rPr>
        <w:t xml:space="preserve"> of </w:t>
      </w:r>
      <w:r w:rsidR="00EA32D8" w:rsidRPr="00E16BDD">
        <w:rPr>
          <w:rFonts w:cstheme="minorHAnsi"/>
          <w:color w:val="000000" w:themeColor="text1"/>
        </w:rPr>
        <w:t>Nottingham</w:t>
      </w:r>
      <w:r w:rsidR="00EA32D8">
        <w:rPr>
          <w:rFonts w:cstheme="minorHAnsi"/>
          <w:color w:val="000000" w:themeColor="text1"/>
        </w:rPr>
        <w:t>,</w:t>
      </w:r>
      <w:r w:rsidRPr="00E16BDD">
        <w:rPr>
          <w:rFonts w:cstheme="minorHAnsi"/>
          <w:color w:val="000000" w:themeColor="text1"/>
        </w:rPr>
        <w:t xml:space="preserve"> </w:t>
      </w:r>
      <w:r w:rsidR="00F1612B" w:rsidRPr="00E16BDD">
        <w:rPr>
          <w:rFonts w:cstheme="minorHAnsi"/>
          <w:color w:val="000000" w:themeColor="text1"/>
        </w:rPr>
        <w:t xml:space="preserve">for their </w:t>
      </w:r>
      <w:r w:rsidR="00EA32D8">
        <w:rPr>
          <w:rFonts w:cstheme="minorHAnsi"/>
          <w:color w:val="000000" w:themeColor="text1"/>
        </w:rPr>
        <w:t>invaluable</w:t>
      </w:r>
      <w:r w:rsidR="00F1612B" w:rsidRPr="00E16BDD">
        <w:rPr>
          <w:rFonts w:cstheme="minorHAnsi"/>
          <w:color w:val="000000" w:themeColor="text1"/>
        </w:rPr>
        <w:t xml:space="preserve"> work in developing our oral morphine equivalen</w:t>
      </w:r>
      <w:r w:rsidR="001A02E8">
        <w:rPr>
          <w:rFonts w:cstheme="minorHAnsi"/>
          <w:color w:val="000000" w:themeColor="text1"/>
        </w:rPr>
        <w:t>ce values which can be seen in Appendix 1 Section 2.3</w:t>
      </w:r>
      <w:r w:rsidR="00F1612B" w:rsidRPr="00E16BDD">
        <w:rPr>
          <w:rFonts w:cstheme="minorHAnsi"/>
          <w:color w:val="000000" w:themeColor="text1"/>
        </w:rPr>
        <w:t xml:space="preserve"> </w:t>
      </w:r>
    </w:p>
    <w:p w14:paraId="622DF78C" w14:textId="2487C75D" w:rsidR="00B2352D" w:rsidRPr="001F3797" w:rsidRDefault="00B2352D" w:rsidP="0077290A">
      <w:pPr>
        <w:rPr>
          <w:rFonts w:cstheme="minorHAnsi"/>
        </w:rPr>
      </w:pPr>
      <w:r w:rsidRPr="001F3797">
        <w:rPr>
          <w:rFonts w:cstheme="minorHAnsi"/>
        </w:rPr>
        <w:t>Oral morphine equivalen</w:t>
      </w:r>
      <w:r w:rsidR="003B7B62" w:rsidRPr="001F3797">
        <w:rPr>
          <w:rFonts w:cstheme="minorHAnsi"/>
        </w:rPr>
        <w:t>t</w:t>
      </w:r>
      <w:r w:rsidR="00BF165A" w:rsidRPr="001F3797">
        <w:rPr>
          <w:rFonts w:cstheme="minorHAnsi"/>
        </w:rPr>
        <w:t xml:space="preserve"> (OME)</w:t>
      </w:r>
      <w:r w:rsidR="003B7B62" w:rsidRPr="001F3797">
        <w:rPr>
          <w:rFonts w:cstheme="minorHAnsi"/>
        </w:rPr>
        <w:t xml:space="preserve"> values</w:t>
      </w:r>
      <w:r w:rsidRPr="001F3797">
        <w:rPr>
          <w:rFonts w:cstheme="minorHAnsi"/>
        </w:rPr>
        <w:t xml:space="preserve"> have been used to calculate </w:t>
      </w:r>
      <w:r w:rsidR="003B7B62" w:rsidRPr="001F3797">
        <w:rPr>
          <w:rFonts w:cstheme="minorHAnsi"/>
        </w:rPr>
        <w:t xml:space="preserve">the total volume of </w:t>
      </w:r>
      <w:r w:rsidRPr="001F3797">
        <w:rPr>
          <w:rFonts w:cstheme="minorHAnsi"/>
        </w:rPr>
        <w:t xml:space="preserve">opiates </w:t>
      </w:r>
      <w:r w:rsidR="003B7B62" w:rsidRPr="001F3797">
        <w:rPr>
          <w:rFonts w:cstheme="minorHAnsi"/>
        </w:rPr>
        <w:t>prescribed to any</w:t>
      </w:r>
      <w:r w:rsidRPr="001F3797">
        <w:rPr>
          <w:rFonts w:cstheme="minorHAnsi"/>
        </w:rPr>
        <w:t xml:space="preserve"> patient</w:t>
      </w:r>
      <w:r w:rsidR="003B7B62" w:rsidRPr="001F3797">
        <w:rPr>
          <w:rFonts w:cstheme="minorHAnsi"/>
        </w:rPr>
        <w:t xml:space="preserve"> in milligrams of oral morphine equivalent</w:t>
      </w:r>
      <w:r w:rsidR="001F3797">
        <w:rPr>
          <w:rFonts w:cstheme="minorHAnsi"/>
        </w:rPr>
        <w:t xml:space="preserve"> (</w:t>
      </w:r>
      <w:proofErr w:type="spellStart"/>
      <w:r w:rsidR="001F3797">
        <w:rPr>
          <w:rFonts w:cstheme="minorHAnsi"/>
        </w:rPr>
        <w:t>mge</w:t>
      </w:r>
      <w:proofErr w:type="spellEnd"/>
      <w:r w:rsidR="001F3797">
        <w:rPr>
          <w:rFonts w:cstheme="minorHAnsi"/>
        </w:rPr>
        <w:t>)</w:t>
      </w:r>
      <w:r w:rsidRPr="001F3797">
        <w:rPr>
          <w:rFonts w:cstheme="minorHAnsi"/>
        </w:rPr>
        <w:t xml:space="preserve">. </w:t>
      </w:r>
    </w:p>
    <w:p w14:paraId="4F85DC35" w14:textId="621EEBB6" w:rsidR="00B2352D" w:rsidRPr="001F3797" w:rsidRDefault="00BF165A" w:rsidP="00B2352D">
      <w:pPr>
        <w:rPr>
          <w:rFonts w:cstheme="minorHAnsi"/>
        </w:rPr>
      </w:pPr>
      <w:r w:rsidRPr="001F3797">
        <w:rPr>
          <w:rFonts w:cstheme="minorHAnsi"/>
        </w:rPr>
        <w:t xml:space="preserve">The OME values are set for </w:t>
      </w:r>
      <w:r w:rsidR="00F65AB6" w:rsidRPr="001F3797">
        <w:rPr>
          <w:rFonts w:cstheme="minorHAnsi"/>
        </w:rPr>
        <w:t xml:space="preserve">each of the most </w:t>
      </w:r>
      <w:r w:rsidR="003B7B62" w:rsidRPr="001F3797">
        <w:rPr>
          <w:rFonts w:cstheme="minorHAnsi"/>
        </w:rPr>
        <w:t>commonly prescribed pharmaceutical presentation</w:t>
      </w:r>
      <w:r w:rsidR="00F65AB6" w:rsidRPr="001F3797">
        <w:rPr>
          <w:rFonts w:cstheme="minorHAnsi"/>
        </w:rPr>
        <w:t>s</w:t>
      </w:r>
      <w:r w:rsidR="003B7B62" w:rsidRPr="001F3797">
        <w:rPr>
          <w:rFonts w:cstheme="minorHAnsi"/>
        </w:rPr>
        <w:t>,</w:t>
      </w:r>
      <w:r w:rsidR="00F65AB6" w:rsidRPr="001F3797">
        <w:rPr>
          <w:rFonts w:cstheme="minorHAnsi"/>
        </w:rPr>
        <w:t xml:space="preserve"> and were based on the</w:t>
      </w:r>
      <w:r w:rsidR="003B7B62" w:rsidRPr="001F3797">
        <w:rPr>
          <w:rFonts w:cstheme="minorHAnsi"/>
        </w:rPr>
        <w:t xml:space="preserve"> </w:t>
      </w:r>
      <w:r w:rsidR="00B2352D" w:rsidRPr="001F3797">
        <w:rPr>
          <w:rFonts w:cstheme="minorHAnsi"/>
        </w:rPr>
        <w:t xml:space="preserve">following sources: British National Formulary, </w:t>
      </w:r>
      <w:r w:rsidR="001F3797" w:rsidRPr="001F3797">
        <w:rPr>
          <w:rFonts w:cstheme="minorHAnsi"/>
        </w:rPr>
        <w:t>Centres</w:t>
      </w:r>
      <w:r w:rsidR="00B2352D" w:rsidRPr="001F3797">
        <w:rPr>
          <w:rFonts w:cstheme="minorHAnsi"/>
        </w:rPr>
        <w:t xml:space="preserve"> for Medicare &amp; Medicaid, Services, GP Notebook, Monthly Index of Medical Specialities, Opioids Aware, Aneurin Bevan Health Board</w:t>
      </w:r>
    </w:p>
    <w:p w14:paraId="248B9010" w14:textId="4C9DCC00" w:rsidR="00B2352D" w:rsidRPr="00A45C76" w:rsidRDefault="00B2352D" w:rsidP="0077290A">
      <w:pPr>
        <w:rPr>
          <w:rFonts w:cstheme="minorHAnsi"/>
        </w:rPr>
      </w:pPr>
      <w:r w:rsidRPr="001F3797">
        <w:rPr>
          <w:rFonts w:cstheme="minorHAnsi"/>
        </w:rPr>
        <w:t xml:space="preserve">The details </w:t>
      </w:r>
      <w:r w:rsidR="003B7B62" w:rsidRPr="001F3797">
        <w:rPr>
          <w:rFonts w:cstheme="minorHAnsi"/>
        </w:rPr>
        <w:t xml:space="preserve">and source references used for each presentation </w:t>
      </w:r>
      <w:r w:rsidRPr="001F3797">
        <w:rPr>
          <w:rFonts w:cstheme="minorHAnsi"/>
        </w:rPr>
        <w:t xml:space="preserve">are described in the Appendix 1 section </w:t>
      </w:r>
      <w:r w:rsidRPr="00A45C76">
        <w:rPr>
          <w:rFonts w:cstheme="minorHAnsi"/>
        </w:rPr>
        <w:t>2.</w:t>
      </w:r>
      <w:r w:rsidR="004979E5" w:rsidRPr="00A45C76">
        <w:rPr>
          <w:rFonts w:cstheme="minorHAnsi"/>
        </w:rPr>
        <w:t>3</w:t>
      </w:r>
      <w:r w:rsidRPr="00A45C76">
        <w:rPr>
          <w:rFonts w:cstheme="minorHAnsi"/>
        </w:rPr>
        <w:t>.</w:t>
      </w:r>
    </w:p>
    <w:p w14:paraId="096C3476" w14:textId="3DA908E2" w:rsidR="000C6359" w:rsidRPr="00A45C76" w:rsidRDefault="000C6359" w:rsidP="00F7444F">
      <w:pPr>
        <w:pStyle w:val="CommentText"/>
      </w:pPr>
      <w:r w:rsidRPr="009D6643">
        <w:rPr>
          <w:rFonts w:cstheme="minorHAnsi"/>
        </w:rPr>
        <w:t xml:space="preserve">The OME </w:t>
      </w:r>
      <w:r w:rsidR="00EA32D8" w:rsidRPr="00A45C76">
        <w:rPr>
          <w:rFonts w:cstheme="minorHAnsi"/>
        </w:rPr>
        <w:t>values</w:t>
      </w:r>
      <w:r w:rsidRPr="009D6643">
        <w:rPr>
          <w:rFonts w:cstheme="minorHAnsi"/>
        </w:rPr>
        <w:t xml:space="preserve"> </w:t>
      </w:r>
      <w:r w:rsidRPr="009D6643">
        <w:rPr>
          <w:rFonts w:cstheme="minorHAnsi"/>
          <w:b/>
          <w:bCs w:val="0"/>
        </w:rPr>
        <w:t>do not</w:t>
      </w:r>
      <w:r w:rsidRPr="009D6643">
        <w:rPr>
          <w:rFonts w:cstheme="minorHAnsi"/>
        </w:rPr>
        <w:t xml:space="preserve"> inc</w:t>
      </w:r>
      <w:r w:rsidR="00A3372F" w:rsidRPr="009D6643">
        <w:rPr>
          <w:rFonts w:cstheme="minorHAnsi"/>
        </w:rPr>
        <w:t>lude: injectables, Fentanyl presentations other than</w:t>
      </w:r>
      <w:r w:rsidR="001F3797" w:rsidRPr="009D6643">
        <w:rPr>
          <w:rFonts w:cstheme="minorHAnsi"/>
        </w:rPr>
        <w:t xml:space="preserve"> transdermal</w:t>
      </w:r>
      <w:r w:rsidR="00A3372F" w:rsidRPr="009D6643">
        <w:rPr>
          <w:rFonts w:cstheme="minorHAnsi"/>
        </w:rPr>
        <w:t xml:space="preserve"> patches</w:t>
      </w:r>
      <w:r w:rsidR="008B2AE6" w:rsidRPr="009D6643">
        <w:rPr>
          <w:rFonts w:cstheme="minorHAnsi"/>
        </w:rPr>
        <w:t xml:space="preserve"> </w:t>
      </w:r>
      <w:r w:rsidR="00F7444F" w:rsidRPr="009D6643">
        <w:rPr>
          <w:rFonts w:cstheme="minorHAnsi"/>
        </w:rPr>
        <w:t>(i.e.</w:t>
      </w:r>
      <w:r w:rsidR="008B2AE6" w:rsidRPr="009D6643">
        <w:rPr>
          <w:rFonts w:cstheme="minorHAnsi"/>
        </w:rPr>
        <w:t xml:space="preserve"> </w:t>
      </w:r>
      <w:r w:rsidR="008B2AE6" w:rsidRPr="009D6643">
        <w:rPr>
          <w:rStyle w:val="CommentReference"/>
          <w:noProof/>
          <w:sz w:val="20"/>
          <w:szCs w:val="20"/>
        </w:rPr>
        <w:t>Buccal film,</w:t>
      </w:r>
      <w:r w:rsidR="00F7444F" w:rsidRPr="009D6643">
        <w:rPr>
          <w:rStyle w:val="CommentReference"/>
          <w:noProof/>
          <w:sz w:val="20"/>
          <w:szCs w:val="20"/>
        </w:rPr>
        <w:t xml:space="preserve"> </w:t>
      </w:r>
      <w:r w:rsidR="008B2AE6" w:rsidRPr="009D6643">
        <w:rPr>
          <w:rStyle w:val="CommentReference"/>
          <w:noProof/>
          <w:sz w:val="20"/>
          <w:szCs w:val="20"/>
        </w:rPr>
        <w:t>Buccal tablet,</w:t>
      </w:r>
      <w:r w:rsidR="00F7444F" w:rsidRPr="009D6643">
        <w:rPr>
          <w:rStyle w:val="CommentReference"/>
          <w:noProof/>
          <w:sz w:val="20"/>
          <w:szCs w:val="20"/>
        </w:rPr>
        <w:t xml:space="preserve"> </w:t>
      </w:r>
      <w:r w:rsidR="008B2AE6" w:rsidRPr="009D6643">
        <w:rPr>
          <w:rStyle w:val="CommentReference"/>
          <w:noProof/>
          <w:sz w:val="20"/>
          <w:szCs w:val="20"/>
        </w:rPr>
        <w:t>Lozenge,</w:t>
      </w:r>
      <w:r w:rsidR="00F7444F" w:rsidRPr="009D6643">
        <w:rPr>
          <w:rStyle w:val="CommentReference"/>
          <w:noProof/>
          <w:sz w:val="20"/>
          <w:szCs w:val="20"/>
        </w:rPr>
        <w:t xml:space="preserve"> </w:t>
      </w:r>
      <w:r w:rsidR="008B2AE6" w:rsidRPr="009D6643">
        <w:rPr>
          <w:rStyle w:val="CommentReference"/>
          <w:noProof/>
          <w:sz w:val="20"/>
          <w:szCs w:val="20"/>
        </w:rPr>
        <w:t>Spray,</w:t>
      </w:r>
      <w:r w:rsidR="00F7444F" w:rsidRPr="009D6643">
        <w:rPr>
          <w:rStyle w:val="CommentReference"/>
          <w:noProof/>
          <w:sz w:val="20"/>
          <w:szCs w:val="20"/>
        </w:rPr>
        <w:t xml:space="preserve"> </w:t>
      </w:r>
      <w:r w:rsidR="008B2AE6" w:rsidRPr="009D6643">
        <w:rPr>
          <w:rStyle w:val="CommentReference"/>
          <w:noProof/>
          <w:sz w:val="20"/>
          <w:szCs w:val="20"/>
        </w:rPr>
        <w:t>Sublingual tables</w:t>
      </w:r>
      <w:r w:rsidR="00F7444F" w:rsidRPr="009D6643">
        <w:rPr>
          <w:rStyle w:val="CommentReference"/>
          <w:noProof/>
          <w:sz w:val="20"/>
          <w:szCs w:val="20"/>
        </w:rPr>
        <w:t xml:space="preserve">) </w:t>
      </w:r>
      <w:r w:rsidR="00A3372F" w:rsidRPr="009D6643">
        <w:t>and several other rare presentations or those with currently discontinued packs.</w:t>
      </w:r>
      <w:r w:rsidR="001F3797" w:rsidRPr="009D6643">
        <w:t xml:space="preserve"> </w:t>
      </w:r>
    </w:p>
    <w:p w14:paraId="6F64BF18" w14:textId="0265CED0" w:rsidR="00164CE1" w:rsidRDefault="00164CE1" w:rsidP="0077290A">
      <w:pPr>
        <w:rPr>
          <w:rFonts w:cstheme="minorHAnsi"/>
        </w:rPr>
      </w:pPr>
      <w:r w:rsidRPr="00A45C76">
        <w:rPr>
          <w:rFonts w:cstheme="minorHAnsi"/>
        </w:rPr>
        <w:t xml:space="preserve">The OME values </w:t>
      </w:r>
      <w:r w:rsidR="00186A8B" w:rsidRPr="00A45C76">
        <w:rPr>
          <w:rFonts w:cstheme="minorHAnsi"/>
        </w:rPr>
        <w:t xml:space="preserve">presented in the annex </w:t>
      </w:r>
      <w:r w:rsidRPr="00A45C76">
        <w:rPr>
          <w:rFonts w:cstheme="minorHAnsi"/>
        </w:rPr>
        <w:t>include values for some medicines primarily classified in BNF</w:t>
      </w:r>
      <w:r w:rsidR="00186A8B" w:rsidRPr="00A45C76">
        <w:rPr>
          <w:rFonts w:cstheme="minorHAnsi"/>
        </w:rPr>
        <w:t xml:space="preserve"> section 4.7.1 as ‘Non-opioid analgesics and compound analgesic preparations’, such as co-codamol and co-dydramol. </w:t>
      </w:r>
      <w:r w:rsidR="006D6DDF" w:rsidRPr="00A45C76">
        <w:rPr>
          <w:rFonts w:cstheme="minorHAnsi"/>
        </w:rPr>
        <w:t>For comparators specified as Opioid Pain Medicines (PMR) these medicines are used to identify patients being</w:t>
      </w:r>
      <w:r w:rsidR="006D6DDF">
        <w:rPr>
          <w:rFonts w:cstheme="minorHAnsi"/>
        </w:rPr>
        <w:t xml:space="preserve"> prescribed opioids. For comparators specified as </w:t>
      </w:r>
      <w:r w:rsidR="006D6DDF" w:rsidRPr="001F3797">
        <w:rPr>
          <w:rFonts w:cstheme="minorHAnsi"/>
        </w:rPr>
        <w:t xml:space="preserve">Opioid </w:t>
      </w:r>
      <w:r w:rsidR="006D6DDF" w:rsidRPr="001F3797">
        <w:rPr>
          <w:rFonts w:cstheme="minorHAnsi"/>
        </w:rPr>
        <w:lastRenderedPageBreak/>
        <w:t>pain medicines (excluding injectables and co-codamol and codydramol)</w:t>
      </w:r>
      <w:r w:rsidR="006D6DDF">
        <w:rPr>
          <w:rFonts w:cstheme="minorHAnsi"/>
        </w:rPr>
        <w:t xml:space="preserve"> these medicines are not used to identify those being prescribed opioid pain medicines but they are added to the total OME value for the patient. So they may contribute to a patient being included in a ‘high OME volume’ comparator.</w:t>
      </w:r>
    </w:p>
    <w:p w14:paraId="1792EE65" w14:textId="16BBC659" w:rsidR="003B7B62" w:rsidRPr="001F3797" w:rsidRDefault="004979E5" w:rsidP="003B7B62">
      <w:pPr>
        <w:rPr>
          <w:rFonts w:cstheme="minorHAnsi"/>
        </w:rPr>
      </w:pPr>
      <w:r w:rsidRPr="001F3797">
        <w:rPr>
          <w:rFonts w:cstheme="minorHAnsi"/>
        </w:rPr>
        <w:t>In some cases, notably Buprenorphine transdermal patches</w:t>
      </w:r>
      <w:r w:rsidR="008528D3">
        <w:rPr>
          <w:rFonts w:cstheme="minorHAnsi"/>
        </w:rPr>
        <w:t>,</w:t>
      </w:r>
      <w:r w:rsidRPr="001F3797">
        <w:rPr>
          <w:rFonts w:cstheme="minorHAnsi"/>
        </w:rPr>
        <w:t xml:space="preserve"> the OME value can vary by brand. This reflects the recommended time between replacement of patches. In these cases</w:t>
      </w:r>
      <w:r w:rsidR="008B2AE6">
        <w:rPr>
          <w:rFonts w:cstheme="minorHAnsi"/>
        </w:rPr>
        <w:t>,</w:t>
      </w:r>
      <w:r w:rsidRPr="001F3797">
        <w:rPr>
          <w:rFonts w:cstheme="minorHAnsi"/>
        </w:rPr>
        <w:t xml:space="preserve"> a relatively high proportion of prescriptions do specify the brand</w:t>
      </w:r>
      <w:r w:rsidR="001F3797">
        <w:rPr>
          <w:rFonts w:cstheme="minorHAnsi"/>
        </w:rPr>
        <w:t xml:space="preserve"> enabling a more accurate OME to be calculated. </w:t>
      </w:r>
      <w:r w:rsidR="008528D3" w:rsidRPr="001F3797">
        <w:rPr>
          <w:rFonts w:cstheme="minorHAnsi"/>
        </w:rPr>
        <w:t xml:space="preserve">But </w:t>
      </w:r>
      <w:r w:rsidR="008528D3">
        <w:rPr>
          <w:rFonts w:cstheme="minorHAnsi"/>
        </w:rPr>
        <w:t xml:space="preserve">many prescriptions are recorded </w:t>
      </w:r>
      <w:r w:rsidR="008528D3" w:rsidRPr="001F3797">
        <w:rPr>
          <w:rFonts w:cstheme="minorHAnsi"/>
        </w:rPr>
        <w:t>generically</w:t>
      </w:r>
      <w:r w:rsidR="008528D3">
        <w:rPr>
          <w:rFonts w:cstheme="minorHAnsi"/>
        </w:rPr>
        <w:t>; in these cases</w:t>
      </w:r>
      <w:r w:rsidR="008528D3" w:rsidRPr="001F3797">
        <w:rPr>
          <w:rFonts w:cstheme="minorHAnsi"/>
        </w:rPr>
        <w:t xml:space="preserve"> the generic OME value specified in </w:t>
      </w:r>
      <w:r w:rsidR="008528D3">
        <w:rPr>
          <w:rFonts w:cstheme="minorHAnsi"/>
        </w:rPr>
        <w:t>A</w:t>
      </w:r>
      <w:r w:rsidR="008528D3" w:rsidRPr="001F3797">
        <w:rPr>
          <w:rFonts w:cstheme="minorHAnsi"/>
        </w:rPr>
        <w:t xml:space="preserve">ppendix 1 Section 2.3 </w:t>
      </w:r>
      <w:r w:rsidR="008528D3">
        <w:rPr>
          <w:rFonts w:cstheme="minorHAnsi"/>
        </w:rPr>
        <w:t xml:space="preserve">is used as an approximation; the actual product dispensed and the recommended duration is not </w:t>
      </w:r>
      <w:r w:rsidR="006D6DDF">
        <w:rPr>
          <w:rFonts w:cstheme="minorHAnsi"/>
        </w:rPr>
        <w:t>stored in our data</w:t>
      </w:r>
      <w:r w:rsidR="008528D3" w:rsidRPr="001F3797">
        <w:rPr>
          <w:rFonts w:cstheme="minorHAnsi"/>
        </w:rPr>
        <w:t>.</w:t>
      </w:r>
    </w:p>
    <w:p w14:paraId="0844DDC9" w14:textId="77777777" w:rsidR="006B40EC" w:rsidRPr="00431E28" w:rsidRDefault="006B40EC" w:rsidP="00ED1739">
      <w:pPr>
        <w:pStyle w:val="Heading3"/>
      </w:pPr>
      <w:r w:rsidRPr="00431E28">
        <w:t xml:space="preserve">Opioids for </w:t>
      </w:r>
      <w:r w:rsidRPr="00ED1739">
        <w:t>Cancer</w:t>
      </w:r>
      <w:r w:rsidRPr="00431E28">
        <w:t xml:space="preserve"> </w:t>
      </w:r>
    </w:p>
    <w:p w14:paraId="57336D69" w14:textId="3CD4E761" w:rsidR="00A12517" w:rsidRPr="001F3797" w:rsidRDefault="00F725D6" w:rsidP="0077290A">
      <w:pPr>
        <w:rPr>
          <w:rFonts w:cstheme="minorHAnsi"/>
          <w:color w:val="000000" w:themeColor="text1"/>
        </w:rPr>
      </w:pPr>
      <w:r w:rsidRPr="001F3797">
        <w:rPr>
          <w:rFonts w:cstheme="minorHAnsi"/>
        </w:rPr>
        <w:t xml:space="preserve">Note that NHSBSA data cannot be filtered to exclude </w:t>
      </w:r>
      <w:r w:rsidR="00ED65D7" w:rsidRPr="001F3797">
        <w:rPr>
          <w:rFonts w:cstheme="minorHAnsi"/>
        </w:rPr>
        <w:t>patients</w:t>
      </w:r>
      <w:r w:rsidRPr="001F3797">
        <w:rPr>
          <w:rFonts w:cstheme="minorHAnsi"/>
        </w:rPr>
        <w:t xml:space="preserve"> </w:t>
      </w:r>
      <w:r w:rsidR="00ED65D7" w:rsidRPr="001F3797">
        <w:rPr>
          <w:rFonts w:cstheme="minorHAnsi"/>
        </w:rPr>
        <w:t>diagnosed with cancer</w:t>
      </w:r>
      <w:r w:rsidR="00F7444F">
        <w:rPr>
          <w:rFonts w:cstheme="minorHAnsi"/>
        </w:rPr>
        <w:t xml:space="preserve"> and who are using an opioid to manage the pain that can be associated with malignant diseases, especially as part of end of life care. </w:t>
      </w:r>
      <w:r w:rsidR="00ED65D7" w:rsidRPr="001F3797">
        <w:rPr>
          <w:rFonts w:cstheme="minorHAnsi"/>
        </w:rPr>
        <w:t xml:space="preserve"> This means that some </w:t>
      </w:r>
      <w:r w:rsidR="00EF2BD1" w:rsidRPr="001F3797">
        <w:rPr>
          <w:rFonts w:cstheme="minorHAnsi"/>
        </w:rPr>
        <w:t>comparators</w:t>
      </w:r>
      <w:r w:rsidR="00ED65D7" w:rsidRPr="001F3797">
        <w:rPr>
          <w:rFonts w:cstheme="minorHAnsi"/>
        </w:rPr>
        <w:t>, notably opioid pain medicines include more patients than the PMR analysis.</w:t>
      </w:r>
      <w:r w:rsidR="00B9296E" w:rsidRPr="001F3797">
        <w:rPr>
          <w:rFonts w:cstheme="minorHAnsi"/>
        </w:rPr>
        <w:t xml:space="preserve"> </w:t>
      </w:r>
      <w:r w:rsidR="0084541E" w:rsidRPr="003B3BF9">
        <w:rPr>
          <w:rFonts w:cstheme="minorHAnsi"/>
        </w:rPr>
        <w:t xml:space="preserve">The PMR estimated this proportion to be in the range of 8-9% of patients receiving one or more </w:t>
      </w:r>
      <w:r w:rsidR="00E10FF5" w:rsidRPr="003B3BF9">
        <w:rPr>
          <w:rFonts w:cstheme="minorHAnsi"/>
        </w:rPr>
        <w:t>opioid</w:t>
      </w:r>
      <w:r w:rsidR="0084541E" w:rsidRPr="003B3BF9">
        <w:rPr>
          <w:rFonts w:cstheme="minorHAnsi"/>
        </w:rPr>
        <w:t xml:space="preserve"> prescription between April 2015 and March 2018</w:t>
      </w:r>
      <w:r w:rsidR="0084541E" w:rsidRPr="00431E28">
        <w:rPr>
          <w:rStyle w:val="FootnoteReference"/>
          <w:rFonts w:cstheme="minorHAnsi"/>
        </w:rPr>
        <w:footnoteReference w:id="2"/>
      </w:r>
      <w:r w:rsidR="0084541E" w:rsidRPr="00431E28">
        <w:rPr>
          <w:rFonts w:cstheme="minorHAnsi"/>
        </w:rPr>
        <w:t>.</w:t>
      </w:r>
      <w:r w:rsidR="00A12517" w:rsidRPr="003B3BF9">
        <w:rPr>
          <w:rFonts w:cstheme="minorHAnsi"/>
        </w:rPr>
        <w:t>Therefore</w:t>
      </w:r>
      <w:r w:rsidR="00A12517" w:rsidRPr="001F3797">
        <w:rPr>
          <w:rFonts w:cstheme="minorHAnsi"/>
          <w:color w:val="000000" w:themeColor="text1"/>
        </w:rPr>
        <w:t xml:space="preserve">, all those using the comparators to select patients for a structured medication review will need to </w:t>
      </w:r>
      <w:r w:rsidR="00F23844">
        <w:rPr>
          <w:rFonts w:cstheme="minorHAnsi"/>
          <w:color w:val="000000" w:themeColor="text1"/>
        </w:rPr>
        <w:t xml:space="preserve">triage the list of patients to exclude those using opioids for the management of cancer pain. </w:t>
      </w: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5" w:name="_Toc102729689"/>
      <w:r w:rsidRPr="004D2A10">
        <w:rPr>
          <w:rFonts w:asciiTheme="minorHAnsi" w:hAnsiTheme="minorHAnsi" w:cstheme="minorHAnsi"/>
        </w:rPr>
        <w:t>Prescribing data</w:t>
      </w:r>
      <w:bookmarkEnd w:id="5"/>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7227B71C" w14:textId="31F071F5" w:rsidR="00AC700C" w:rsidRPr="001F3797" w:rsidRDefault="00AC700C" w:rsidP="0016551E">
      <w:pPr>
        <w:pStyle w:val="ListParagraph"/>
        <w:numPr>
          <w:ilvl w:val="0"/>
          <w:numId w:val="7"/>
        </w:numPr>
        <w:rPr>
          <w:rFonts w:cstheme="minorHAnsi"/>
        </w:rPr>
      </w:pPr>
      <w:r>
        <w:rPr>
          <w:rFonts w:cstheme="minorHAnsi"/>
        </w:rPr>
        <w:t>Items prescribed for instalment dispensing that is those using ‘FP10MDA’ forms</w:t>
      </w:r>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6" w:name="_Toc102729690"/>
      <w:r w:rsidRPr="00431E28">
        <w:rPr>
          <w:rFonts w:asciiTheme="minorHAnsi" w:hAnsiTheme="minorHAnsi" w:cstheme="minorHAnsi"/>
        </w:rPr>
        <w:t>Identified patients</w:t>
      </w:r>
      <w:bookmarkEnd w:id="6"/>
    </w:p>
    <w:p w14:paraId="2BBE1DA2" w14:textId="27534D98" w:rsidR="00B81CA3" w:rsidRPr="001F3797" w:rsidRDefault="00253383" w:rsidP="0016551E">
      <w:pPr>
        <w:pStyle w:val="ListParagraph"/>
        <w:numPr>
          <w:ilvl w:val="0"/>
          <w:numId w:val="3"/>
        </w:numPr>
        <w:rPr>
          <w:rFonts w:cstheme="minorHAnsi"/>
        </w:rPr>
      </w:pPr>
      <w:r w:rsidRPr="001F3797">
        <w:rPr>
          <w:rFonts w:cstheme="minorHAnsi"/>
        </w:rPr>
        <w:t>Patient counts are</w:t>
      </w:r>
      <w:r w:rsidR="00B81CA3" w:rsidRPr="001F3797">
        <w:rPr>
          <w:rFonts w:cstheme="minorHAnsi"/>
        </w:rPr>
        <w:t xml:space="preserve"> based on NHS numbers read from EPS messages or scanned from paper forms. These have not been subject verification </w:t>
      </w:r>
      <w:r w:rsidR="00780974" w:rsidRPr="001F3797">
        <w:rPr>
          <w:rFonts w:cstheme="minorHAnsi"/>
        </w:rPr>
        <w:t>by the NHS Patient Demographics Service and may therefore include inaccurate or mis-scanned NHS numbers</w:t>
      </w:r>
    </w:p>
    <w:p w14:paraId="750568FC" w14:textId="1D7B24CA" w:rsidR="00780974" w:rsidRPr="001F3797" w:rsidRDefault="00780974" w:rsidP="0016551E">
      <w:pPr>
        <w:pStyle w:val="ListParagraph"/>
        <w:numPr>
          <w:ilvl w:val="0"/>
          <w:numId w:val="3"/>
        </w:numPr>
        <w:rPr>
          <w:rFonts w:cstheme="minorHAnsi"/>
        </w:rPr>
      </w:pPr>
      <w:r w:rsidRPr="001F3797">
        <w:rPr>
          <w:rFonts w:cstheme="minorHAnsi"/>
        </w:rPr>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1F3797" w:rsidRDefault="009574F7" w:rsidP="0016551E">
      <w:pPr>
        <w:pStyle w:val="ListParagraph"/>
        <w:numPr>
          <w:ilvl w:val="0"/>
          <w:numId w:val="3"/>
        </w:numPr>
        <w:rPr>
          <w:rFonts w:cstheme="minorHAnsi"/>
        </w:rPr>
      </w:pPr>
      <w:r>
        <w:rPr>
          <w:rFonts w:cstheme="minorHAnsi"/>
        </w:rPr>
        <w:t>Or</w:t>
      </w:r>
      <w:r w:rsidR="00780974" w:rsidRPr="001F3797">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1F3797" w:rsidRDefault="009E760A" w:rsidP="0016551E">
      <w:pPr>
        <w:pStyle w:val="ListParagraph"/>
        <w:numPr>
          <w:ilvl w:val="0"/>
          <w:numId w:val="3"/>
        </w:numPr>
        <w:rPr>
          <w:rFonts w:cstheme="minorHAnsi"/>
        </w:rPr>
      </w:pPr>
      <w:r w:rsidRPr="001F3797">
        <w:rPr>
          <w:rFonts w:cstheme="minorHAnsi"/>
        </w:rPr>
        <w:t xml:space="preserve">See </w:t>
      </w:r>
      <w:r w:rsidR="00F05A9A" w:rsidRPr="001F3797">
        <w:rPr>
          <w:rFonts w:cstheme="minorHAnsi"/>
        </w:rPr>
        <w:t>Section 8</w:t>
      </w:r>
      <w:r w:rsidRPr="001F3797">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7" w:name="_Toc102729691"/>
      <w:r w:rsidRPr="00431E28">
        <w:rPr>
          <w:rFonts w:asciiTheme="minorHAnsi" w:hAnsiTheme="minorHAnsi" w:cstheme="minorHAnsi"/>
        </w:rPr>
        <w:lastRenderedPageBreak/>
        <w:t>NHS structure</w:t>
      </w:r>
      <w:bookmarkEnd w:id="7"/>
    </w:p>
    <w:p w14:paraId="6B7D0F8D" w14:textId="39314226"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in any reporting period to allow aggregation</w:t>
      </w:r>
      <w:r w:rsidR="004E0147" w:rsidRPr="001F3797">
        <w:rPr>
          <w:rFonts w:cstheme="minorHAnsi"/>
        </w:rPr>
        <w:t>.</w:t>
      </w:r>
      <w:r w:rsidRPr="001F3797">
        <w:rPr>
          <w:rFonts w:cstheme="minorHAnsi"/>
        </w:rPr>
        <w:t xml:space="preserve"> </w:t>
      </w:r>
    </w:p>
    <w:p w14:paraId="7F3C58D4" w14:textId="0B1533D3" w:rsidR="005B58B0" w:rsidRPr="001F3797" w:rsidRDefault="00AF351A" w:rsidP="0035674C">
      <w:pPr>
        <w:rPr>
          <w:rFonts w:cstheme="minorHAnsi"/>
        </w:rPr>
      </w:pPr>
      <w:r w:rsidRPr="001F3797">
        <w:rPr>
          <w:rFonts w:cstheme="minorHAnsi"/>
        </w:rPr>
        <w:t xml:space="preserve">The organisation is selected </w:t>
      </w:r>
      <w:r w:rsidR="005B58B0" w:rsidRPr="001F3797">
        <w:rPr>
          <w:rFonts w:cstheme="minorHAnsi"/>
        </w:rPr>
        <w:t>according to the following rules:</w:t>
      </w:r>
    </w:p>
    <w:p w14:paraId="257A7611" w14:textId="4CF29E2D" w:rsidR="00877675" w:rsidRPr="001F3797" w:rsidRDefault="005B58B0" w:rsidP="0016551E">
      <w:pPr>
        <w:pStyle w:val="ListParagraph"/>
        <w:numPr>
          <w:ilvl w:val="0"/>
          <w:numId w:val="1"/>
        </w:numPr>
        <w:rPr>
          <w:rFonts w:cstheme="minorHAnsi"/>
        </w:rPr>
      </w:pPr>
      <w:r w:rsidRPr="001F3797">
        <w:rPr>
          <w:rFonts w:cstheme="minorHAnsi"/>
        </w:rPr>
        <w:t>C</w:t>
      </w:r>
      <w:r w:rsidR="00B81CA3" w:rsidRPr="001F3797">
        <w:rPr>
          <w:rFonts w:cstheme="minorHAnsi"/>
        </w:rPr>
        <w:t>onsidering</w:t>
      </w:r>
      <w:r w:rsidR="00877675" w:rsidRPr="001F3797">
        <w:rPr>
          <w:rFonts w:cstheme="minorHAnsi"/>
        </w:rPr>
        <w:t xml:space="preserve"> all identified prescriptions for any prescription product</w:t>
      </w:r>
      <w:r w:rsidR="00B81CA3" w:rsidRPr="001F3797">
        <w:rPr>
          <w:rFonts w:cstheme="minorHAnsi"/>
        </w:rPr>
        <w:t xml:space="preserve"> from any English prescribing organisation</w:t>
      </w:r>
      <w:r w:rsidR="004E0147" w:rsidRPr="001F3797">
        <w:rPr>
          <w:rFonts w:cstheme="minorHAnsi"/>
        </w:rPr>
        <w:t xml:space="preserve"> for the patient in question</w:t>
      </w:r>
      <w:r w:rsidRPr="001F3797">
        <w:rPr>
          <w:rFonts w:cstheme="minorHAnsi"/>
        </w:rPr>
        <w:t>:</w:t>
      </w:r>
    </w:p>
    <w:p w14:paraId="77F5424A" w14:textId="77777777" w:rsidR="00E964E0" w:rsidRDefault="00877675" w:rsidP="0016551E">
      <w:pPr>
        <w:pStyle w:val="ListParagraph"/>
        <w:numPr>
          <w:ilvl w:val="1"/>
          <w:numId w:val="1"/>
        </w:numPr>
        <w:rPr>
          <w:rFonts w:cstheme="minorHAnsi"/>
        </w:rPr>
      </w:pPr>
      <w:r w:rsidRPr="001F3797">
        <w:rPr>
          <w:rFonts w:cstheme="minorHAnsi"/>
        </w:rPr>
        <w:t>Choose a GP organisation where possible</w:t>
      </w:r>
    </w:p>
    <w:p w14:paraId="08E80401" w14:textId="77777777" w:rsidR="00E964E0" w:rsidRDefault="00E964E0" w:rsidP="00E964E0">
      <w:pPr>
        <w:pStyle w:val="ListParagraph"/>
        <w:numPr>
          <w:ilvl w:val="2"/>
          <w:numId w:val="1"/>
        </w:numPr>
        <w:rPr>
          <w:rFonts w:cstheme="minorHAnsi"/>
        </w:rPr>
      </w:pPr>
      <w:r>
        <w:rPr>
          <w:rFonts w:cstheme="minorHAnsi"/>
        </w:rPr>
        <w:t>using the patients registered practices stated on an EPS message, or,</w:t>
      </w:r>
    </w:p>
    <w:p w14:paraId="61A425DB" w14:textId="4EBD4D26" w:rsidR="00877675" w:rsidRDefault="00E964E0" w:rsidP="00E964E0">
      <w:pPr>
        <w:pStyle w:val="ListParagraph"/>
        <w:numPr>
          <w:ilvl w:val="2"/>
          <w:numId w:val="1"/>
        </w:numPr>
        <w:rPr>
          <w:rFonts w:cstheme="minorHAnsi"/>
        </w:rPr>
      </w:pPr>
      <w:r>
        <w:rPr>
          <w:rFonts w:cstheme="minorHAnsi"/>
        </w:rPr>
        <w:t xml:space="preserve">using the </w:t>
      </w:r>
      <w:r w:rsidR="00AC700C">
        <w:rPr>
          <w:rFonts w:cstheme="minorHAnsi"/>
        </w:rPr>
        <w:t>latest</w:t>
      </w:r>
      <w:r>
        <w:rPr>
          <w:rFonts w:cstheme="minorHAnsi"/>
        </w:rPr>
        <w:t xml:space="preserve"> data on registered practice that NHSBSA holds from the NHS Personal Demographics Service (PDS)</w:t>
      </w:r>
    </w:p>
    <w:p w14:paraId="6899E32C" w14:textId="2688AA7B" w:rsidR="00E964E0" w:rsidRPr="001F3797" w:rsidRDefault="00E964E0" w:rsidP="00E964E0">
      <w:pPr>
        <w:pStyle w:val="ListParagraph"/>
        <w:numPr>
          <w:ilvl w:val="2"/>
          <w:numId w:val="1"/>
        </w:numPr>
        <w:rPr>
          <w:rFonts w:cstheme="minorHAnsi"/>
        </w:rPr>
      </w:pPr>
      <w:r>
        <w:rPr>
          <w:rFonts w:cstheme="minorHAnsi"/>
        </w:rPr>
        <w:t>or using the most recent GP practice for which NHS BSA has processed a prescription for that patient</w:t>
      </w:r>
    </w:p>
    <w:p w14:paraId="478C745A" w14:textId="59065414"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w:t>
      </w:r>
      <w:r w:rsidR="00621D47">
        <w:rPr>
          <w:rFonts w:cstheme="minorHAnsi"/>
        </w:rPr>
        <w:t>most recent</w:t>
      </w:r>
    </w:p>
    <w:p w14:paraId="578AD85F" w14:textId="1E208F6E"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greatest number of prescription items </w:t>
      </w:r>
    </w:p>
    <w:p w14:paraId="622B3D69" w14:textId="24B245AE"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greatest total of prescription costs (net ingredient cost)</w:t>
      </w:r>
    </w:p>
    <w:p w14:paraId="6627FA4D" w14:textId="3CA066CA"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first </w:t>
      </w:r>
      <w:r w:rsidR="005B58B0" w:rsidRPr="001F3797">
        <w:rPr>
          <w:rFonts w:cstheme="minorHAnsi"/>
        </w:rPr>
        <w:t>organisation code</w:t>
      </w:r>
      <w:r w:rsidR="004E0147" w:rsidRPr="001F3797">
        <w:rPr>
          <w:rStyle w:val="FootnoteReference"/>
          <w:rFonts w:cstheme="minorHAnsi"/>
        </w:rPr>
        <w:footnoteReference w:id="3"/>
      </w:r>
      <w:r w:rsidRPr="001F3797">
        <w:rPr>
          <w:rFonts w:cstheme="minorHAnsi"/>
        </w:rPr>
        <w:t xml:space="preserve"> in alphabetical order.</w:t>
      </w:r>
    </w:p>
    <w:p w14:paraId="70942B45" w14:textId="244D0A0E" w:rsidR="0045229E" w:rsidRPr="001F3797" w:rsidRDefault="0045229E" w:rsidP="0016551E">
      <w:pPr>
        <w:pStyle w:val="ListParagraph"/>
        <w:numPr>
          <w:ilvl w:val="1"/>
          <w:numId w:val="1"/>
        </w:numPr>
        <w:rPr>
          <w:rFonts w:cstheme="minorHAnsi"/>
        </w:rPr>
      </w:pPr>
      <w:r w:rsidRPr="001F3797">
        <w:rPr>
          <w:rFonts w:cstheme="minorHAnsi"/>
        </w:rPr>
        <w:t xml:space="preserve">Raw data files </w:t>
      </w:r>
      <w:r w:rsidR="00621D47">
        <w:rPr>
          <w:rFonts w:cstheme="minorHAnsi"/>
        </w:rPr>
        <w:t>may</w:t>
      </w:r>
      <w:r w:rsidRPr="001F3797">
        <w:rPr>
          <w:rFonts w:cstheme="minorHAnsi"/>
        </w:rPr>
        <w:t xml:space="preserve"> include data for non-GP organisations though these may be small numbers and unsuitable for analysis at low levels or comparison with GP practices, they can be included in aggregate STP/ICS views for example</w:t>
      </w:r>
      <w:r w:rsidR="00621D47">
        <w:rPr>
          <w:rFonts w:cstheme="minorHAnsi"/>
        </w:rPr>
        <w:t xml:space="preserve"> – but dashboard comparators will be limited to active GP practices.</w:t>
      </w:r>
    </w:p>
    <w:p w14:paraId="45349CA4" w14:textId="171BFDD9" w:rsidR="00A70A3B" w:rsidRPr="001F3797" w:rsidRDefault="00A70A3B" w:rsidP="0016551E">
      <w:pPr>
        <w:pStyle w:val="ListParagraph"/>
        <w:numPr>
          <w:ilvl w:val="0"/>
          <w:numId w:val="1"/>
        </w:numPr>
        <w:rPr>
          <w:rFonts w:cstheme="minorHAnsi"/>
        </w:rPr>
      </w:pPr>
      <w:r w:rsidRPr="001F3797">
        <w:rPr>
          <w:rFonts w:cstheme="minorHAnsi"/>
        </w:rPr>
        <w:t>This means that the data reported against a single GP practice may include data relating to prescriptions from other organisations</w:t>
      </w:r>
      <w:r w:rsidR="00621D47">
        <w:rPr>
          <w:rFonts w:cstheme="minorHAnsi"/>
        </w:rPr>
        <w:t xml:space="preserve"> such as a previous practice</w:t>
      </w:r>
      <w:r w:rsidRPr="001F3797">
        <w:rPr>
          <w:rFonts w:cstheme="minorHAnsi"/>
        </w:rPr>
        <w:t>.</w:t>
      </w:r>
    </w:p>
    <w:p w14:paraId="1D0F3149" w14:textId="5AD66643" w:rsidR="00161FC2" w:rsidRPr="001F3797" w:rsidRDefault="005B58B0" w:rsidP="0016551E">
      <w:pPr>
        <w:pStyle w:val="ListParagraph"/>
        <w:numPr>
          <w:ilvl w:val="0"/>
          <w:numId w:val="1"/>
        </w:numPr>
        <w:rPr>
          <w:rFonts w:cstheme="minorHAnsi"/>
        </w:rPr>
      </w:pPr>
      <w:r w:rsidRPr="001F3797">
        <w:rPr>
          <w:rFonts w:cstheme="minorHAnsi"/>
        </w:rPr>
        <w:t>Any h</w:t>
      </w:r>
      <w:r w:rsidR="00161FC2" w:rsidRPr="001F3797">
        <w:rPr>
          <w:rFonts w:cstheme="minorHAnsi"/>
        </w:rPr>
        <w:t xml:space="preserve">igher NHS </w:t>
      </w:r>
      <w:r w:rsidRPr="001F3797">
        <w:rPr>
          <w:rFonts w:cstheme="minorHAnsi"/>
        </w:rPr>
        <w:t xml:space="preserve">organisation structure </w:t>
      </w:r>
      <w:r w:rsidR="00161FC2" w:rsidRPr="001F3797">
        <w:rPr>
          <w:rFonts w:cstheme="minorHAnsi"/>
        </w:rPr>
        <w:t xml:space="preserve">can be derived via </w:t>
      </w:r>
      <w:r w:rsidRPr="001F3797">
        <w:rPr>
          <w:rFonts w:cstheme="minorHAnsi"/>
        </w:rPr>
        <w:t>th</w:t>
      </w:r>
      <w:r w:rsidR="00AC700C">
        <w:rPr>
          <w:rFonts w:cstheme="minorHAnsi"/>
        </w:rPr>
        <w:t>at</w:t>
      </w:r>
      <w:r w:rsidRPr="001F3797">
        <w:rPr>
          <w:rFonts w:cstheme="minorHAnsi"/>
        </w:rPr>
        <w:t xml:space="preserve"> </w:t>
      </w:r>
      <w:r w:rsidR="00161FC2" w:rsidRPr="001F3797">
        <w:rPr>
          <w:rFonts w:cstheme="minorHAnsi"/>
        </w:rPr>
        <w:t>practice:</w:t>
      </w:r>
    </w:p>
    <w:p w14:paraId="152A1A75" w14:textId="7F815387" w:rsidR="00A70A3B" w:rsidRPr="001F3797" w:rsidRDefault="00A70A3B" w:rsidP="0016551E">
      <w:pPr>
        <w:pStyle w:val="ListParagraph"/>
        <w:numPr>
          <w:ilvl w:val="1"/>
          <w:numId w:val="1"/>
        </w:numPr>
        <w:rPr>
          <w:rFonts w:cstheme="minorHAnsi"/>
        </w:rPr>
      </w:pPr>
      <w:r w:rsidRPr="001F3797">
        <w:rPr>
          <w:rFonts w:cstheme="minorHAnsi"/>
        </w:rPr>
        <w:t>Primary Care Network (</w:t>
      </w:r>
      <w:r w:rsidR="00161FC2" w:rsidRPr="001F3797">
        <w:rPr>
          <w:rFonts w:cstheme="minorHAnsi"/>
        </w:rPr>
        <w:t>PCN</w:t>
      </w:r>
      <w:r w:rsidRPr="001F3797">
        <w:rPr>
          <w:rFonts w:cstheme="minorHAnsi"/>
        </w:rPr>
        <w:t>) – based on the latest data received by NHSBSA from NHS-Digital at the time of calculation</w:t>
      </w:r>
    </w:p>
    <w:p w14:paraId="1EDB28FC" w14:textId="7479CB83" w:rsidR="00A70A3B" w:rsidRPr="001F3797" w:rsidRDefault="00A70A3B" w:rsidP="0016551E">
      <w:pPr>
        <w:pStyle w:val="ListParagraph"/>
        <w:numPr>
          <w:ilvl w:val="1"/>
          <w:numId w:val="1"/>
        </w:numPr>
        <w:rPr>
          <w:rFonts w:cstheme="minorHAnsi"/>
        </w:rPr>
      </w:pPr>
      <w:r w:rsidRPr="001F3797">
        <w:rPr>
          <w:rFonts w:cstheme="minorHAnsi"/>
        </w:rPr>
        <w:t>Clinical Commissioning Group</w:t>
      </w:r>
      <w:r w:rsidR="00161FC2" w:rsidRPr="001F3797">
        <w:rPr>
          <w:rFonts w:cstheme="minorHAnsi"/>
        </w:rPr>
        <w:t xml:space="preserve"> </w:t>
      </w:r>
      <w:r w:rsidRPr="001F3797">
        <w:rPr>
          <w:rFonts w:cstheme="minorHAnsi"/>
        </w:rPr>
        <w:t>(</w:t>
      </w:r>
      <w:r w:rsidR="00161FC2" w:rsidRPr="001F3797">
        <w:rPr>
          <w:rFonts w:cstheme="minorHAnsi"/>
        </w:rPr>
        <w:t>CCG</w:t>
      </w:r>
      <w:r w:rsidRPr="001F3797">
        <w:rPr>
          <w:rFonts w:cstheme="minorHAnsi"/>
        </w:rPr>
        <w:t>) – based on the latest CCG structure, for example April 2021 for the initial datasets</w:t>
      </w:r>
    </w:p>
    <w:p w14:paraId="39645450" w14:textId="6E1E049C" w:rsidR="00A70A3B" w:rsidRPr="001F3797" w:rsidRDefault="00A70A3B" w:rsidP="0016551E">
      <w:pPr>
        <w:pStyle w:val="ListParagraph"/>
        <w:numPr>
          <w:ilvl w:val="1"/>
          <w:numId w:val="1"/>
        </w:numPr>
        <w:rPr>
          <w:rFonts w:cstheme="minorHAnsi"/>
        </w:rPr>
      </w:pPr>
      <w:r w:rsidRPr="001F3797">
        <w:rPr>
          <w:rFonts w:cstheme="minorHAnsi"/>
        </w:rPr>
        <w:t>Sustainability and Transformation Partnership (</w:t>
      </w:r>
      <w:r w:rsidR="00161FC2" w:rsidRPr="001F3797">
        <w:rPr>
          <w:rFonts w:cstheme="minorHAnsi"/>
        </w:rPr>
        <w:t>STP</w:t>
      </w:r>
      <w:r w:rsidRPr="001F3797">
        <w:rPr>
          <w:rFonts w:cstheme="minorHAnsi"/>
        </w:rPr>
        <w:t xml:space="preserve">) </w:t>
      </w:r>
    </w:p>
    <w:p w14:paraId="41B2AFB8" w14:textId="0754064E" w:rsidR="00621D47" w:rsidRDefault="00621D47" w:rsidP="0016551E">
      <w:pPr>
        <w:pStyle w:val="ListParagraph"/>
        <w:numPr>
          <w:ilvl w:val="1"/>
          <w:numId w:val="1"/>
        </w:numPr>
        <w:rPr>
          <w:rFonts w:cstheme="minorHAnsi"/>
        </w:rPr>
      </w:pPr>
      <w:r>
        <w:rPr>
          <w:rFonts w:cstheme="minorHAnsi"/>
        </w:rPr>
        <w:t>Academic Health Science Network (AHSN)</w:t>
      </w:r>
    </w:p>
    <w:p w14:paraId="711F1D73" w14:textId="27E61B51" w:rsidR="00A70A3B" w:rsidRPr="001F3797" w:rsidRDefault="00161FC2" w:rsidP="0016551E">
      <w:pPr>
        <w:pStyle w:val="ListParagraph"/>
        <w:numPr>
          <w:ilvl w:val="1"/>
          <w:numId w:val="1"/>
        </w:numPr>
        <w:rPr>
          <w:rFonts w:cstheme="minorHAnsi"/>
        </w:rPr>
      </w:pPr>
      <w:r w:rsidRPr="001F3797">
        <w:rPr>
          <w:rFonts w:cstheme="minorHAnsi"/>
        </w:rPr>
        <w:t>Region</w:t>
      </w:r>
    </w:p>
    <w:p w14:paraId="2EE5A192" w14:textId="59035D4C" w:rsidR="00161FC2" w:rsidRPr="001F3797" w:rsidRDefault="00161FC2" w:rsidP="0016551E">
      <w:pPr>
        <w:pStyle w:val="ListParagraph"/>
        <w:numPr>
          <w:ilvl w:val="1"/>
          <w:numId w:val="1"/>
        </w:numPr>
        <w:rPr>
          <w:rFonts w:cstheme="minorHAnsi"/>
        </w:rPr>
      </w:pPr>
      <w:r w:rsidRPr="001F3797">
        <w:rPr>
          <w:rFonts w:cstheme="minorHAnsi"/>
        </w:rPr>
        <w:t>National</w:t>
      </w:r>
    </w:p>
    <w:p w14:paraId="42253324" w14:textId="7CB2D944" w:rsidR="00621D47" w:rsidRDefault="004E2880" w:rsidP="0016551E">
      <w:pPr>
        <w:pStyle w:val="ListParagraph"/>
        <w:numPr>
          <w:ilvl w:val="1"/>
          <w:numId w:val="1"/>
        </w:numPr>
        <w:rPr>
          <w:rFonts w:cstheme="minorHAnsi"/>
        </w:rPr>
      </w:pPr>
      <w:r w:rsidRPr="001F3797">
        <w:rPr>
          <w:rFonts w:cstheme="minorHAnsi"/>
        </w:rPr>
        <w:t>As PCNs can have a different reporting CCG to that of the practice, CCG will be specified either</w:t>
      </w:r>
      <w:r w:rsidR="00621D47">
        <w:rPr>
          <w:rFonts w:cstheme="minorHAnsi"/>
        </w:rPr>
        <w:t>:</w:t>
      </w:r>
    </w:p>
    <w:p w14:paraId="7445FFFC" w14:textId="2178BC67" w:rsidR="00621D47" w:rsidRDefault="00621D47" w:rsidP="00621D47">
      <w:pPr>
        <w:pStyle w:val="ListParagraph"/>
        <w:numPr>
          <w:ilvl w:val="2"/>
          <w:numId w:val="1"/>
        </w:numPr>
        <w:rPr>
          <w:rFonts w:cstheme="minorHAnsi"/>
        </w:rPr>
      </w:pPr>
      <w:r>
        <w:rPr>
          <w:rFonts w:cstheme="minorHAnsi"/>
        </w:rPr>
        <w:t>CCG: linked to the practice</w:t>
      </w:r>
    </w:p>
    <w:p w14:paraId="545A06A1" w14:textId="44869379" w:rsidR="00621D47" w:rsidRDefault="00621D47" w:rsidP="00621D47">
      <w:pPr>
        <w:pStyle w:val="ListParagraph"/>
        <w:numPr>
          <w:ilvl w:val="2"/>
          <w:numId w:val="1"/>
        </w:numPr>
        <w:rPr>
          <w:rFonts w:cstheme="minorHAnsi"/>
        </w:rPr>
      </w:pPr>
      <w:r>
        <w:rPr>
          <w:rFonts w:cstheme="minorHAnsi"/>
        </w:rPr>
        <w:t>PCN_CCG: linked to the CCG</w:t>
      </w:r>
    </w:p>
    <w:p w14:paraId="614CF003" w14:textId="77777777" w:rsidR="003C17E5" w:rsidRPr="001F3797" w:rsidRDefault="003C17E5" w:rsidP="003C17E5">
      <w:pPr>
        <w:pStyle w:val="ListParagraph"/>
        <w:ind w:left="36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8" w:name="_Toc102729692"/>
      <w:r w:rsidRPr="00431E28">
        <w:rPr>
          <w:rFonts w:asciiTheme="minorHAnsi" w:hAnsiTheme="minorHAnsi" w:cstheme="minorHAnsi"/>
        </w:rPr>
        <w:t>Other breakdowns</w:t>
      </w:r>
      <w:bookmarkEnd w:id="8"/>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57D4B208" w:rsidR="007844FF" w:rsidRDefault="00B81CA3" w:rsidP="0016551E">
      <w:pPr>
        <w:pStyle w:val="ListParagraph"/>
        <w:numPr>
          <w:ilvl w:val="0"/>
          <w:numId w:val="2"/>
        </w:numPr>
        <w:rPr>
          <w:rFonts w:cstheme="minorHAnsi"/>
        </w:rPr>
      </w:pPr>
      <w:r w:rsidRPr="001F3797">
        <w:rPr>
          <w:rFonts w:cstheme="minorHAnsi"/>
          <w:b/>
          <w:bCs w:val="0"/>
        </w:rPr>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 in each reporting period, for each month. This will be based on </w:t>
      </w:r>
      <w:r w:rsidR="003C17E5" w:rsidRPr="001F3797">
        <w:rPr>
          <w:rFonts w:cstheme="minorHAnsi"/>
        </w:rPr>
        <w:t>their age at the end of the month</w:t>
      </w:r>
      <w:r w:rsidR="00621D47">
        <w:rPr>
          <w:rFonts w:cstheme="minorHAnsi"/>
        </w:rPr>
        <w:t xml:space="preserve"> so that it should correspond with list size</w:t>
      </w:r>
      <w:r w:rsidR="007C5DE7">
        <w:rPr>
          <w:rFonts w:cstheme="minorHAnsi"/>
        </w:rPr>
        <w:t xml:space="preserve"> data published by NHS Digital</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4"/>
      </w:r>
      <w:r w:rsidR="007844FF">
        <w:rPr>
          <w:rFonts w:cstheme="minorHAnsi"/>
        </w:rPr>
        <w:t>.</w:t>
      </w:r>
    </w:p>
    <w:p w14:paraId="3780E210" w14:textId="5991674B" w:rsidR="007C5DE7" w:rsidRPr="001F3797" w:rsidRDefault="007C5DE7" w:rsidP="007C5DE7">
      <w:pPr>
        <w:pStyle w:val="ListParagraph"/>
        <w:numPr>
          <w:ilvl w:val="0"/>
          <w:numId w:val="2"/>
        </w:numPr>
        <w:rPr>
          <w:rFonts w:cstheme="minorHAnsi"/>
        </w:rPr>
      </w:pPr>
      <w:r>
        <w:rPr>
          <w:rFonts w:cstheme="minorHAnsi"/>
          <w:b/>
          <w:bCs w:val="0"/>
        </w:rPr>
        <w:lastRenderedPageBreak/>
        <w:t>Gender</w:t>
      </w:r>
      <w:r w:rsidRPr="001F3797">
        <w:rPr>
          <w:rFonts w:cstheme="minorHAnsi"/>
          <w:b/>
          <w:bCs w:val="0"/>
        </w:rPr>
        <w:t xml:space="preserve"> </w:t>
      </w:r>
      <w:r w:rsidRPr="001F3797">
        <w:rPr>
          <w:rFonts w:cstheme="minorHAnsi"/>
        </w:rPr>
        <w:t xml:space="preserve">– </w:t>
      </w:r>
      <w:r>
        <w:rPr>
          <w:rFonts w:cstheme="minorHAnsi"/>
        </w:rPr>
        <w:t>breakdown by male and female is shown in the dashboards. Patient counts for unknown or unspecified Gender are not included due to low numbers.</w:t>
      </w:r>
    </w:p>
    <w:p w14:paraId="4AD88513" w14:textId="77777777" w:rsidR="00EF7A90" w:rsidRDefault="00EF7A90" w:rsidP="00AE09E3">
      <w:pPr>
        <w:pStyle w:val="Heading1"/>
        <w:numPr>
          <w:ilvl w:val="1"/>
          <w:numId w:val="6"/>
        </w:numPr>
        <w:rPr>
          <w:rFonts w:asciiTheme="minorHAnsi" w:hAnsiTheme="minorHAnsi" w:cstheme="minorHAnsi"/>
        </w:rPr>
      </w:pPr>
      <w:bookmarkStart w:id="9" w:name="_Toc102729693"/>
      <w:r>
        <w:rPr>
          <w:rFonts w:asciiTheme="minorHAnsi" w:hAnsiTheme="minorHAnsi" w:cstheme="minorHAnsi"/>
        </w:rPr>
        <w:t>Electronic Prescribing System (</w:t>
      </w:r>
      <w:r w:rsidR="00AE09E3">
        <w:rPr>
          <w:rFonts w:asciiTheme="minorHAnsi" w:hAnsiTheme="minorHAnsi" w:cstheme="minorHAnsi"/>
        </w:rPr>
        <w:t>EPS</w:t>
      </w:r>
      <w:r>
        <w:rPr>
          <w:rFonts w:asciiTheme="minorHAnsi" w:hAnsiTheme="minorHAnsi" w:cstheme="minorHAnsi"/>
        </w:rPr>
        <w:t>) data</w:t>
      </w:r>
      <w:bookmarkEnd w:id="9"/>
      <w:r>
        <w:rPr>
          <w:rFonts w:asciiTheme="minorHAnsi" w:hAnsiTheme="minorHAnsi" w:cstheme="minorHAnsi"/>
        </w:rPr>
        <w:t xml:space="preserve"> </w:t>
      </w:r>
    </w:p>
    <w:p w14:paraId="69B60CBA" w14:textId="77777777" w:rsidR="004D2A10" w:rsidRDefault="00EF7A90" w:rsidP="00EF7A90">
      <w:pPr>
        <w:rPr>
          <w:rFonts w:cstheme="minorHAnsi"/>
        </w:rPr>
      </w:pPr>
      <w:r>
        <w:rPr>
          <w:rFonts w:cstheme="minorHAnsi"/>
        </w:rPr>
        <w:t>Comparators in included in the initial release are based on EPS data. Future releases will add comparators that us</w:t>
      </w:r>
      <w:r w:rsidR="004D2A10">
        <w:rPr>
          <w:rFonts w:cstheme="minorHAnsi"/>
        </w:rPr>
        <w:t>e</w:t>
      </w:r>
      <w:r>
        <w:rPr>
          <w:rFonts w:cstheme="minorHAnsi"/>
        </w:rPr>
        <w:t xml:space="preserve"> processed prescription data. EPS data has not been processed by NHSBSA and so may be subject to change. These comparators provide more timely indicators of prescribing and dispensing</w:t>
      </w:r>
      <w:r w:rsidR="004D2A10">
        <w:rPr>
          <w:rFonts w:cstheme="minorHAnsi"/>
        </w:rPr>
        <w:t xml:space="preserve"> than processed prescription data</w:t>
      </w:r>
      <w:r>
        <w:rPr>
          <w:rFonts w:cstheme="minorHAnsi"/>
        </w:rPr>
        <w:t xml:space="preserve">. </w:t>
      </w:r>
    </w:p>
    <w:p w14:paraId="7AF3DB55" w14:textId="59316473" w:rsidR="00022CE4" w:rsidRDefault="00EF7A90" w:rsidP="00EF7A90">
      <w:pPr>
        <w:rPr>
          <w:rFonts w:cstheme="minorHAnsi"/>
        </w:rPr>
      </w:pPr>
      <w:r>
        <w:rPr>
          <w:rFonts w:cstheme="minorHAnsi"/>
        </w:rPr>
        <w:t>EPS data is based on prescriptions for which claims have been submitted via the EPS system</w:t>
      </w:r>
      <w:r w:rsidR="004D2A10">
        <w:rPr>
          <w:rFonts w:cstheme="minorHAnsi"/>
        </w:rPr>
        <w:t xml:space="preserve"> following dispensing</w:t>
      </w:r>
      <w:r>
        <w:rPr>
          <w:rFonts w:cstheme="minorHAnsi"/>
        </w:rPr>
        <w:t xml:space="preserve">. The most recent date </w:t>
      </w:r>
      <w:r w:rsidR="004D2A10">
        <w:rPr>
          <w:rFonts w:cstheme="minorHAnsi"/>
        </w:rPr>
        <w:t>for which claims have been</w:t>
      </w:r>
      <w:r>
        <w:rPr>
          <w:rFonts w:cstheme="minorHAnsi"/>
        </w:rPr>
        <w:t xml:space="preserve"> </w:t>
      </w:r>
      <w:r w:rsidR="004D2A10">
        <w:rPr>
          <w:rFonts w:cstheme="minorHAnsi"/>
        </w:rPr>
        <w:t>included</w:t>
      </w:r>
      <w:r>
        <w:rPr>
          <w:rFonts w:cstheme="minorHAnsi"/>
        </w:rPr>
        <w:t xml:space="preserve"> is stated in the dashboard comparators</w:t>
      </w:r>
      <w:r w:rsidR="004D2A10">
        <w:rPr>
          <w:rFonts w:cstheme="minorHAnsi"/>
        </w:rPr>
        <w:t xml:space="preserve"> and </w:t>
      </w:r>
      <w:r w:rsidR="00022CE4">
        <w:rPr>
          <w:rFonts w:cstheme="minorHAnsi"/>
        </w:rPr>
        <w:t>will change whenever the data is refreshed. No historical analysis is possible using the EPS based comparators. This will be possible using the comparators based on  processed prescription data when these are added.</w:t>
      </w:r>
    </w:p>
    <w:p w14:paraId="7E1E2A7C" w14:textId="7D3B43E4" w:rsidR="00EF7A90" w:rsidRDefault="00EF7A90" w:rsidP="00EF7A90">
      <w:pPr>
        <w:rPr>
          <w:rFonts w:cstheme="minorHAnsi"/>
        </w:rPr>
      </w:pPr>
      <w:r>
        <w:rPr>
          <w:rFonts w:cstheme="minorHAnsi"/>
        </w:rPr>
        <w:t>All comparators are based on those with prescribing in the 28 day period leading up to the latest data refresh</w:t>
      </w:r>
      <w:r w:rsidR="004D2A10">
        <w:rPr>
          <w:rFonts w:cstheme="minorHAnsi"/>
        </w:rPr>
        <w:t>. Some comparators use older data to establish prescribing history. Note no processed or paper prescription data is included in prescribing history for EPS based comparators.</w:t>
      </w:r>
      <w:r w:rsidR="00022CE4">
        <w:rPr>
          <w:rFonts w:cstheme="minorHAnsi"/>
        </w:rPr>
        <w:t xml:space="preserve"> Overall coverage of prescriptions by EPS data is around 91%, see section 9 for more details on coverage.</w:t>
      </w:r>
    </w:p>
    <w:p w14:paraId="65A88CE5" w14:textId="5AE581E9" w:rsidR="00066261" w:rsidRDefault="00066261" w:rsidP="00EF7A90">
      <w:pPr>
        <w:rPr>
          <w:rFonts w:cstheme="minorHAnsi"/>
        </w:rPr>
      </w:pPr>
      <w:r>
        <w:rPr>
          <w:rFonts w:cstheme="minorHAnsi"/>
        </w:rPr>
        <w:t>Timings for EPS comparators are based on the date that the message was claimed.</w:t>
      </w:r>
    </w:p>
    <w:p w14:paraId="1B02D577" w14:textId="0AC0B7AF" w:rsidR="0097081A" w:rsidRPr="00431E28" w:rsidRDefault="0097081A" w:rsidP="004D2A10">
      <w:pPr>
        <w:pStyle w:val="Heading1"/>
      </w:pPr>
      <w:bookmarkStart w:id="10" w:name="_Toc102729694"/>
      <w:r w:rsidRPr="00431E28">
        <w:t>Guiding principles</w:t>
      </w:r>
      <w:bookmarkEnd w:id="10"/>
    </w:p>
    <w:p w14:paraId="56C3EE33" w14:textId="19277242" w:rsidR="0097081A" w:rsidRPr="001F3797" w:rsidRDefault="0097081A" w:rsidP="0097081A">
      <w:pPr>
        <w:rPr>
          <w:rFonts w:cstheme="minorHAnsi"/>
        </w:rPr>
      </w:pPr>
      <w:r w:rsidRPr="001F3797">
        <w:rPr>
          <w:rFonts w:cstheme="minorHAnsi"/>
        </w:rPr>
        <w:t>Based on the previous work on the polypharmacy prescribing comparators, the Opioids data group worked to three key guiding principles</w:t>
      </w:r>
      <w:r w:rsidR="009574F7">
        <w:rPr>
          <w:rFonts w:cstheme="minorHAnsi"/>
        </w:rPr>
        <w:t>;</w:t>
      </w:r>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77777777" w:rsidR="0097081A" w:rsidRPr="001F3797" w:rsidRDefault="0097081A" w:rsidP="0097081A">
      <w:pPr>
        <w:rPr>
          <w:rFonts w:cstheme="minorHAnsi"/>
        </w:rPr>
      </w:pPr>
      <w:r w:rsidRPr="001F3797">
        <w:rPr>
          <w:rFonts w:cstheme="minorHAnsi"/>
          <w:bCs w:val="0"/>
        </w:rPr>
        <w:t xml:space="preserve">2. Keep the end user in mind at all times </w:t>
      </w:r>
    </w:p>
    <w:p w14:paraId="78A8004C" w14:textId="77777777" w:rsidR="0097081A" w:rsidRPr="001F3797" w:rsidRDefault="0097081A" w:rsidP="0097081A">
      <w:pPr>
        <w:rPr>
          <w:rFonts w:cstheme="minorHAnsi"/>
        </w:rPr>
      </w:pPr>
      <w:r w:rsidRPr="001F3797">
        <w:rPr>
          <w:rFonts w:cstheme="minorHAnsi"/>
          <w:bCs w:val="0"/>
        </w:rPr>
        <w:t xml:space="preserve">3. Must follow best evidence base where available. </w:t>
      </w:r>
    </w:p>
    <w:p w14:paraId="3B111FEF" w14:textId="77777777" w:rsidR="0097081A" w:rsidRPr="00431E28" w:rsidRDefault="0097081A">
      <w:pPr>
        <w:rPr>
          <w:rFonts w:eastAsiaTheme="majorEastAsia" w:cstheme="minorHAnsi"/>
          <w:color w:val="0070C0"/>
          <w:sz w:val="24"/>
          <w:szCs w:val="24"/>
        </w:rPr>
      </w:pPr>
      <w:r w:rsidRPr="001F3797">
        <w:rPr>
          <w:rFonts w:cstheme="minorHAnsi"/>
        </w:rPr>
        <w:br w:type="page"/>
      </w:r>
    </w:p>
    <w:p w14:paraId="5AFDE7C2" w14:textId="77777777" w:rsidR="004D2A10" w:rsidRPr="001F3797" w:rsidRDefault="004D2A10" w:rsidP="004D2A10">
      <w:pPr>
        <w:rPr>
          <w:rFonts w:cstheme="minorHAnsi"/>
        </w:rPr>
      </w:pPr>
    </w:p>
    <w:p w14:paraId="59B0E9E6" w14:textId="77777777" w:rsidR="004D2A10" w:rsidRPr="001F3797" w:rsidRDefault="004D2A10" w:rsidP="004D2A10">
      <w:pPr>
        <w:pStyle w:val="ListParagraph"/>
        <w:ind w:left="2160"/>
        <w:rPr>
          <w:rFonts w:cstheme="minorHAnsi"/>
        </w:rPr>
      </w:pPr>
    </w:p>
    <w:p w14:paraId="23456BCD" w14:textId="315A8263" w:rsidR="004D2A10" w:rsidRDefault="004D2A10" w:rsidP="004D2A10">
      <w:pPr>
        <w:pStyle w:val="Heading1"/>
        <w:rPr>
          <w:rFonts w:asciiTheme="minorHAnsi" w:hAnsiTheme="minorHAnsi" w:cstheme="minorHAnsi"/>
        </w:rPr>
      </w:pPr>
      <w:bookmarkStart w:id="11" w:name="_Toc102729695"/>
      <w:r w:rsidRPr="004D2A10">
        <w:rPr>
          <w:rFonts w:asciiTheme="minorHAnsi" w:hAnsiTheme="minorHAnsi" w:cstheme="minorHAnsi"/>
        </w:rPr>
        <w:t>Comparator Specifications</w:t>
      </w:r>
      <w:bookmarkEnd w:id="11"/>
    </w:p>
    <w:p w14:paraId="7848CDDA" w14:textId="0BF41A55" w:rsidR="00066261" w:rsidRDefault="000B5B0E" w:rsidP="00066261">
      <w:r>
        <w:t>Please note as new comparators are developed and added to the dashboard more information may be added here.</w:t>
      </w:r>
    </w:p>
    <w:p w14:paraId="65CAEC79" w14:textId="201D1F94" w:rsidR="00066261" w:rsidRPr="00066261" w:rsidRDefault="00066261" w:rsidP="00066261">
      <w:pPr>
        <w:pStyle w:val="Heading1"/>
        <w:numPr>
          <w:ilvl w:val="1"/>
          <w:numId w:val="6"/>
        </w:numPr>
        <w:rPr>
          <w:rFonts w:asciiTheme="minorHAnsi" w:hAnsiTheme="minorHAnsi" w:cstheme="minorHAnsi"/>
        </w:rPr>
      </w:pPr>
      <w:bookmarkStart w:id="12" w:name="_Toc102729696"/>
      <w:r>
        <w:rPr>
          <w:rFonts w:asciiTheme="minorHAnsi" w:hAnsiTheme="minorHAnsi" w:cstheme="minorHAnsi"/>
        </w:rPr>
        <w:t>EPS comparators</w:t>
      </w:r>
      <w:bookmarkEnd w:id="12"/>
    </w:p>
    <w:p w14:paraId="785A3AE9" w14:textId="48BEEEC7" w:rsidR="00981E34" w:rsidRPr="00431E28" w:rsidRDefault="00981E34" w:rsidP="00ED1739">
      <w:pPr>
        <w:pStyle w:val="Heading2"/>
      </w:pPr>
      <w:bookmarkStart w:id="13" w:name="_Toc102729697"/>
      <w:r>
        <w:t xml:space="preserve">OP01 </w:t>
      </w:r>
      <w:r w:rsidRPr="00431E28">
        <w:t>Overall Opioid comparator</w:t>
      </w:r>
      <w:r>
        <w:t xml:space="preserve"> </w:t>
      </w:r>
      <w:r w:rsidR="00AE09E3">
        <w:t xml:space="preserve">- </w:t>
      </w:r>
      <w:r>
        <w:t>EPS</w:t>
      </w:r>
      <w:bookmarkEnd w:id="13"/>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ECFEDF" w:rsidR="00981E34" w:rsidRPr="001F3797" w:rsidRDefault="008469AB" w:rsidP="001851F2">
            <w:pPr>
              <w:rPr>
                <w:rFonts w:cstheme="minorHAnsi"/>
              </w:rPr>
            </w:pPr>
            <w:r>
              <w:rPr>
                <w:rFonts w:cstheme="minorHAnsi"/>
              </w:rPr>
              <w:t>Patients receiving opioid pain medicines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77777777" w:rsidR="00981E34" w:rsidRPr="001F3797" w:rsidRDefault="00981E34" w:rsidP="001851F2">
            <w:pPr>
              <w:rPr>
                <w:rFonts w:cstheme="minorHAnsi"/>
              </w:rPr>
            </w:pPr>
            <w:r w:rsidRPr="001F3797">
              <w:rPr>
                <w:rFonts w:cstheme="minorHAnsi"/>
              </w:rPr>
              <w:t>The number of patients receiving any opioid as a proportion of the total number of patients</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7578A900" w:rsidR="00D103AD" w:rsidRPr="001F3797" w:rsidRDefault="00D103AD" w:rsidP="00D103AD">
            <w:pPr>
              <w:rPr>
                <w:rFonts w:cstheme="minorHAnsi"/>
              </w:rPr>
            </w:pPr>
            <w:r w:rsidRPr="001F3797">
              <w:rPr>
                <w:rFonts w:cstheme="minorHAnsi"/>
              </w:rPr>
              <w:t>Number of patients</w:t>
            </w:r>
            <w:r w:rsidR="009B0194">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pioid pain medicines (excluding injectables and co-codamol and codydramol) see appendix 1 section 2.</w:t>
            </w:r>
            <w:r w:rsidR="008469AB">
              <w:rPr>
                <w:rFonts w:cstheme="minorHAnsi"/>
              </w:rPr>
              <w:t>2</w:t>
            </w:r>
          </w:p>
          <w:p w14:paraId="73F3EDAC" w14:textId="4892AC54"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550F8D4C" w:rsidR="00981E34" w:rsidRPr="001F3797" w:rsidRDefault="00981E34" w:rsidP="001851F2">
            <w:pPr>
              <w:rPr>
                <w:rFonts w:cstheme="minorHAnsi"/>
              </w:rPr>
            </w:pPr>
            <w:r w:rsidRPr="001F3797">
              <w:rPr>
                <w:rFonts w:cstheme="minorHAnsi"/>
              </w:rPr>
              <w:t>Total number of patients (list size)</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7777777" w:rsidR="00981E34" w:rsidRPr="001F3797" w:rsidRDefault="00981E34" w:rsidP="001851F2">
            <w:pPr>
              <w:rPr>
                <w:rFonts w:cstheme="minorHAnsi"/>
              </w:rPr>
            </w:pPr>
            <w:r w:rsidRPr="001F3797">
              <w:rPr>
                <w:rFonts w:cstheme="minorHAnsi"/>
              </w:rPr>
              <w:t xml:space="preserve">Rationale </w:t>
            </w:r>
          </w:p>
        </w:tc>
        <w:tc>
          <w:tcPr>
            <w:tcW w:w="4059" w:type="pct"/>
          </w:tcPr>
          <w:p w14:paraId="4F4E505C" w14:textId="77777777" w:rsidR="00981E34" w:rsidRDefault="00981E34" w:rsidP="001851F2">
            <w:pPr>
              <w:rPr>
                <w:rFonts w:cstheme="minorHAnsi"/>
              </w:rPr>
            </w:pPr>
            <w:r w:rsidRPr="001F3797">
              <w:rPr>
                <w:rFonts w:cstheme="minorHAnsi"/>
              </w:rPr>
              <w:t>This provides general context for the rest of the comparators.</w:t>
            </w:r>
          </w:p>
          <w:p w14:paraId="0A6DC699" w14:textId="77777777" w:rsidR="00981E34" w:rsidRDefault="00981E34" w:rsidP="001851F2">
            <w:pPr>
              <w:rPr>
                <w:rFonts w:cstheme="minorHAnsi"/>
              </w:rPr>
            </w:pPr>
          </w:p>
          <w:p w14:paraId="306881A6" w14:textId="77777777" w:rsidR="00981E34" w:rsidRPr="001F3797" w:rsidRDefault="00981E34" w:rsidP="001851F2">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34427B45" w14:textId="77777777" w:rsidR="00981E34" w:rsidRPr="001F3797" w:rsidRDefault="00981E34" w:rsidP="001851F2">
            <w:pPr>
              <w:rPr>
                <w:rFonts w:cstheme="minorHAnsi"/>
              </w:rPr>
            </w:pPr>
          </w:p>
          <w:p w14:paraId="757FE838" w14:textId="77777777" w:rsidR="00981E34" w:rsidRPr="001F3797" w:rsidRDefault="00981E34" w:rsidP="001851F2">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proofErr w:type="spellStart"/>
            <w:r>
              <w:rPr>
                <w:rFonts w:cstheme="minorHAnsi"/>
                <w:vertAlign w:val="superscript"/>
              </w:rPr>
              <w:t>i</w:t>
            </w:r>
            <w:proofErr w:type="spellEnd"/>
            <w:r w:rsidRPr="001F3797">
              <w:rPr>
                <w:rFonts w:cstheme="minorHAnsi"/>
                <w:vertAlign w:val="superscript"/>
              </w:rPr>
              <w:fldChar w:fldCharType="end"/>
            </w:r>
          </w:p>
          <w:p w14:paraId="46FCAA99" w14:textId="77777777" w:rsidR="00981E34" w:rsidRPr="001F3797" w:rsidRDefault="00981E34" w:rsidP="001851F2">
            <w:pPr>
              <w:rPr>
                <w:rFonts w:cstheme="minorHAnsi"/>
              </w:rPr>
            </w:pPr>
          </w:p>
        </w:tc>
      </w:tr>
    </w:tbl>
    <w:p w14:paraId="596B4212" w14:textId="3ECC0C4F" w:rsidR="00DC7C1E" w:rsidRPr="00066261" w:rsidRDefault="003623C3" w:rsidP="00ED1739">
      <w:pPr>
        <w:pStyle w:val="Heading2"/>
      </w:pPr>
      <w:r w:rsidRPr="00F23844">
        <w:br w:type="page"/>
      </w:r>
      <w:bookmarkStart w:id="14" w:name="_Toc102729698"/>
      <w:r w:rsidR="00D103AD" w:rsidRPr="008469AB">
        <w:lastRenderedPageBreak/>
        <w:t xml:space="preserve">OP02 </w:t>
      </w:r>
      <w:r w:rsidR="00DC7C1E" w:rsidRPr="008469AB">
        <w:t xml:space="preserve">Opioids by </w:t>
      </w:r>
      <w:r w:rsidR="00750F93" w:rsidRPr="008469AB">
        <w:t>duration</w:t>
      </w:r>
      <w:r w:rsidR="00B153CE" w:rsidRPr="008469AB">
        <w:t xml:space="preserve"> </w:t>
      </w:r>
      <w:r w:rsidR="00AE09E3" w:rsidRPr="008469AB">
        <w:t xml:space="preserve">- </w:t>
      </w:r>
      <w:r w:rsidR="003B3BF9" w:rsidRPr="008469AB">
        <w:t>EPS</w:t>
      </w:r>
      <w:bookmarkEnd w:id="14"/>
    </w:p>
    <w:tbl>
      <w:tblPr>
        <w:tblStyle w:val="TableGrid"/>
        <w:tblW w:w="5000" w:type="pct"/>
        <w:tblLayout w:type="fixed"/>
        <w:tblLook w:val="04A0" w:firstRow="1" w:lastRow="0" w:firstColumn="1" w:lastColumn="0" w:noHBand="0" w:noVBand="1"/>
      </w:tblPr>
      <w:tblGrid>
        <w:gridCol w:w="1697"/>
        <w:gridCol w:w="7319"/>
      </w:tblGrid>
      <w:tr w:rsidR="00DC7C1E" w:rsidRPr="001F3797" w14:paraId="479F66D9" w14:textId="77777777" w:rsidTr="007738F5">
        <w:tc>
          <w:tcPr>
            <w:tcW w:w="941" w:type="pct"/>
          </w:tcPr>
          <w:p w14:paraId="58AE1242" w14:textId="77777777" w:rsidR="00DC7C1E" w:rsidRPr="001F3797" w:rsidRDefault="00DC7C1E" w:rsidP="0035674C">
            <w:pPr>
              <w:rPr>
                <w:rFonts w:cstheme="minorHAnsi"/>
              </w:rPr>
            </w:pPr>
            <w:r w:rsidRPr="001F3797">
              <w:rPr>
                <w:rFonts w:cstheme="minorHAnsi"/>
              </w:rPr>
              <w:t>Title</w:t>
            </w:r>
          </w:p>
        </w:tc>
        <w:tc>
          <w:tcPr>
            <w:tcW w:w="4059" w:type="pct"/>
          </w:tcPr>
          <w:p w14:paraId="28FF4C03" w14:textId="0E768C00" w:rsidR="00DC7C1E" w:rsidRPr="001F3797" w:rsidRDefault="008469AB" w:rsidP="0035674C">
            <w:pPr>
              <w:rPr>
                <w:rFonts w:cstheme="minorHAnsi"/>
              </w:rPr>
            </w:pPr>
            <w:r>
              <w:rPr>
                <w:rFonts w:cstheme="minorHAnsi"/>
              </w:rPr>
              <w:t>Patients receiving opioid pain medicines by duration</w:t>
            </w:r>
          </w:p>
          <w:p w14:paraId="6513E75A" w14:textId="77777777" w:rsidR="00DC7C1E" w:rsidRPr="001F3797" w:rsidRDefault="00DC7C1E" w:rsidP="0035674C">
            <w:pPr>
              <w:rPr>
                <w:rFonts w:cstheme="minorHAnsi"/>
              </w:rPr>
            </w:pPr>
          </w:p>
        </w:tc>
      </w:tr>
      <w:tr w:rsidR="00DC7C1E" w:rsidRPr="001F3797" w14:paraId="7547A25D" w14:textId="77777777" w:rsidTr="007738F5">
        <w:tc>
          <w:tcPr>
            <w:tcW w:w="941" w:type="pct"/>
          </w:tcPr>
          <w:p w14:paraId="49397609" w14:textId="77777777" w:rsidR="00DC7C1E" w:rsidRPr="001F3797" w:rsidRDefault="00DC7C1E" w:rsidP="0035674C">
            <w:pPr>
              <w:rPr>
                <w:rFonts w:cstheme="minorHAnsi"/>
              </w:rPr>
            </w:pPr>
            <w:r w:rsidRPr="001F3797">
              <w:rPr>
                <w:rFonts w:cstheme="minorHAnsi"/>
              </w:rPr>
              <w:t>Description</w:t>
            </w:r>
          </w:p>
        </w:tc>
        <w:tc>
          <w:tcPr>
            <w:tcW w:w="4059" w:type="pct"/>
          </w:tcPr>
          <w:p w14:paraId="64859F92" w14:textId="36F98550" w:rsidR="00DC7C1E" w:rsidRPr="001F3797" w:rsidRDefault="00DC7C1E" w:rsidP="0035674C">
            <w:pPr>
              <w:rPr>
                <w:rFonts w:cstheme="minorHAnsi"/>
              </w:rPr>
            </w:pPr>
            <w:r w:rsidRPr="001F3797">
              <w:rPr>
                <w:rFonts w:cstheme="minorHAnsi"/>
              </w:rPr>
              <w:t xml:space="preserve">Short, </w:t>
            </w:r>
            <w:r w:rsidR="008469AB">
              <w:rPr>
                <w:rFonts w:cstheme="minorHAnsi"/>
              </w:rPr>
              <w:t>m</w:t>
            </w:r>
            <w:r w:rsidRPr="001F3797">
              <w:rPr>
                <w:rFonts w:cstheme="minorHAnsi"/>
              </w:rPr>
              <w:t xml:space="preserve">edium and long term use of opioids </w:t>
            </w:r>
            <w:r w:rsidR="008469AB">
              <w:rPr>
                <w:rFonts w:cstheme="minorHAnsi"/>
              </w:rPr>
              <w:t>as a proportion of all patients</w:t>
            </w:r>
          </w:p>
        </w:tc>
      </w:tr>
      <w:tr w:rsidR="00DC7C1E" w:rsidRPr="001F3797" w14:paraId="34CA8268" w14:textId="77777777" w:rsidTr="007738F5">
        <w:tc>
          <w:tcPr>
            <w:tcW w:w="941" w:type="pct"/>
          </w:tcPr>
          <w:p w14:paraId="582CD36D" w14:textId="77777777" w:rsidR="00DC7C1E" w:rsidRPr="001F3797" w:rsidRDefault="00DC7C1E" w:rsidP="0035674C">
            <w:pPr>
              <w:rPr>
                <w:rFonts w:cstheme="minorHAnsi"/>
              </w:rPr>
            </w:pPr>
            <w:r w:rsidRPr="001F3797">
              <w:rPr>
                <w:rFonts w:cstheme="minorHAnsi"/>
              </w:rPr>
              <w:t>Numerator</w:t>
            </w:r>
          </w:p>
        </w:tc>
        <w:tc>
          <w:tcPr>
            <w:tcW w:w="4059" w:type="pct"/>
          </w:tcPr>
          <w:p w14:paraId="28E6EF6A" w14:textId="3A204C38" w:rsidR="00F5612A" w:rsidRPr="001F3797" w:rsidRDefault="00F5612A" w:rsidP="00F5612A">
            <w:pPr>
              <w:rPr>
                <w:rFonts w:cstheme="minorHAnsi"/>
              </w:rPr>
            </w:pPr>
            <w:r w:rsidRPr="001F3797">
              <w:rPr>
                <w:rFonts w:cstheme="minorHAnsi"/>
              </w:rPr>
              <w:t xml:space="preserve">Number of patients </w:t>
            </w:r>
            <w:r w:rsidR="009B0194">
              <w:rPr>
                <w:rFonts w:cstheme="minorHAnsi"/>
              </w:rPr>
              <w:t>(by age and gender)</w:t>
            </w:r>
            <w:r w:rsidR="009B0194" w:rsidRPr="001F3797">
              <w:rPr>
                <w:rFonts w:cstheme="minorHAnsi"/>
              </w:rPr>
              <w:t xml:space="preserve"> </w:t>
            </w:r>
            <w:r w:rsidRPr="001F3797">
              <w:rPr>
                <w:rFonts w:cstheme="minorHAnsi"/>
              </w:rPr>
              <w:t xml:space="preserve">prescribed one or more prescription </w:t>
            </w:r>
            <w:r w:rsidR="008469AB">
              <w:rPr>
                <w:rFonts w:cstheme="minorHAnsi"/>
              </w:rPr>
              <w:t xml:space="preserve">of </w:t>
            </w:r>
            <w:r w:rsidR="008469AB" w:rsidRPr="001F3797">
              <w:rPr>
                <w:rFonts w:cstheme="minorHAnsi"/>
              </w:rPr>
              <w:t>Opioid pain medicines (excluding injectables and co-codamol and codydramol)</w:t>
            </w:r>
            <w:r w:rsidR="008469AB">
              <w:rPr>
                <w:rFonts w:cstheme="minorHAnsi"/>
              </w:rPr>
              <w:t xml:space="preserve"> </w:t>
            </w:r>
            <w:r w:rsidRPr="001F3797">
              <w:rPr>
                <w:rFonts w:cstheme="minorHAnsi"/>
              </w:rPr>
              <w:t xml:space="preserve">list dispensed in the most recent </w:t>
            </w:r>
            <w:r w:rsidR="001A02E8" w:rsidRPr="001F3797">
              <w:rPr>
                <w:rFonts w:cstheme="minorHAnsi"/>
              </w:rPr>
              <w:t>4-week</w:t>
            </w:r>
            <w:r w:rsidR="00392ACF">
              <w:rPr>
                <w:rFonts w:cstheme="minorHAnsi"/>
              </w:rPr>
              <w:t xml:space="preserve"> (28 day)</w:t>
            </w:r>
            <w:r w:rsidRPr="001F3797">
              <w:rPr>
                <w:rFonts w:cstheme="minorHAnsi"/>
              </w:rPr>
              <w:t xml:space="preserve"> period grouped into the following three duration groups:</w:t>
            </w:r>
          </w:p>
          <w:p w14:paraId="3E7B7BF1" w14:textId="4A8E3E62" w:rsidR="00F5612A" w:rsidRPr="001F3797" w:rsidRDefault="00F5612A" w:rsidP="0016551E">
            <w:pPr>
              <w:pStyle w:val="ListParagraph"/>
              <w:numPr>
                <w:ilvl w:val="0"/>
                <w:numId w:val="4"/>
              </w:numPr>
              <w:rPr>
                <w:rFonts w:cstheme="minorHAnsi"/>
              </w:rPr>
            </w:pPr>
            <w:r w:rsidRPr="001F3797">
              <w:rPr>
                <w:rFonts w:cstheme="minorHAnsi"/>
              </w:rPr>
              <w:t xml:space="preserve">Dispensed opioids in the previous </w:t>
            </w:r>
            <w:r w:rsidR="000D635D">
              <w:rPr>
                <w:rFonts w:cstheme="minorHAnsi"/>
              </w:rPr>
              <w:t>1 to 84 days</w:t>
            </w:r>
            <w:r w:rsidRPr="001F3797">
              <w:rPr>
                <w:rFonts w:cstheme="minorHAnsi"/>
              </w:rPr>
              <w:t xml:space="preserve"> with no prescriptions for opioids in the </w:t>
            </w:r>
            <w:r w:rsidR="00AE09E3">
              <w:rPr>
                <w:rFonts w:cstheme="minorHAnsi"/>
              </w:rPr>
              <w:t>168 days</w:t>
            </w:r>
            <w:r w:rsidRPr="001F3797">
              <w:rPr>
                <w:rFonts w:cstheme="minorHAnsi"/>
              </w:rPr>
              <w:t xml:space="preserve"> before that</w:t>
            </w:r>
          </w:p>
          <w:p w14:paraId="560D9D48" w14:textId="595C4132" w:rsidR="00AE09E3" w:rsidRPr="001F3797" w:rsidRDefault="00AE09E3" w:rsidP="00AE09E3">
            <w:pPr>
              <w:pStyle w:val="ListParagraph"/>
              <w:numPr>
                <w:ilvl w:val="0"/>
                <w:numId w:val="4"/>
              </w:numPr>
              <w:rPr>
                <w:rFonts w:cstheme="minorHAnsi"/>
              </w:rPr>
            </w:pPr>
            <w:r w:rsidRPr="001F3797">
              <w:rPr>
                <w:rFonts w:cstheme="minorHAnsi"/>
              </w:rPr>
              <w:t xml:space="preserve">Dispensed opioids in the previous </w:t>
            </w:r>
            <w:r>
              <w:rPr>
                <w:rFonts w:cstheme="minorHAnsi"/>
              </w:rPr>
              <w:t xml:space="preserve">28 days, and in the previous 85 to 168 days </w:t>
            </w:r>
            <w:r w:rsidRPr="001F3797">
              <w:rPr>
                <w:rFonts w:cstheme="minorHAnsi"/>
              </w:rPr>
              <w:t xml:space="preserve">with no prescriptions for opioids in the </w:t>
            </w:r>
            <w:r>
              <w:rPr>
                <w:rFonts w:cstheme="minorHAnsi"/>
              </w:rPr>
              <w:t>168 days</w:t>
            </w:r>
            <w:r w:rsidRPr="001F3797">
              <w:rPr>
                <w:rFonts w:cstheme="minorHAnsi"/>
              </w:rPr>
              <w:t xml:space="preserve"> before that</w:t>
            </w:r>
          </w:p>
          <w:p w14:paraId="3CD6AD12" w14:textId="7BB989B0" w:rsidR="00F5612A" w:rsidRPr="001F3797" w:rsidRDefault="00F5612A" w:rsidP="0016551E">
            <w:pPr>
              <w:pStyle w:val="ListParagraph"/>
              <w:numPr>
                <w:ilvl w:val="0"/>
                <w:numId w:val="4"/>
              </w:numPr>
              <w:rPr>
                <w:rFonts w:cstheme="minorHAnsi"/>
              </w:rPr>
            </w:pPr>
            <w:r w:rsidRPr="001F3797">
              <w:rPr>
                <w:rFonts w:cstheme="minorHAnsi"/>
              </w:rPr>
              <w:t xml:space="preserve">Dispensed opioids each of the previous </w:t>
            </w:r>
            <w:r w:rsidR="00AE09E3">
              <w:rPr>
                <w:rFonts w:cstheme="minorHAnsi"/>
              </w:rPr>
              <w:t>28 days, the previous 85 to 168 days, and 169 to 252 days</w:t>
            </w:r>
          </w:p>
          <w:p w14:paraId="1563E811" w14:textId="0BA87A97" w:rsidR="00DC7C1E" w:rsidRPr="001F3797" w:rsidRDefault="00E10FF5" w:rsidP="0035674C">
            <w:pPr>
              <w:rPr>
                <w:rFonts w:cstheme="minorHAnsi"/>
              </w:rPr>
            </w:pPr>
            <w:r w:rsidRPr="001F3797">
              <w:rPr>
                <w:rFonts w:cstheme="minorHAnsi"/>
              </w:rPr>
              <w:t>See Appendix 1 section 2.2</w:t>
            </w:r>
            <w:r w:rsidR="00AE09E3">
              <w:rPr>
                <w:rFonts w:cstheme="minorHAnsi"/>
              </w:rPr>
              <w:t xml:space="preserve"> for the list of presentations</w:t>
            </w:r>
          </w:p>
        </w:tc>
      </w:tr>
      <w:tr w:rsidR="00DC7C1E" w:rsidRPr="001F3797" w14:paraId="4705E329" w14:textId="77777777" w:rsidTr="007738F5">
        <w:tc>
          <w:tcPr>
            <w:tcW w:w="941" w:type="pct"/>
          </w:tcPr>
          <w:p w14:paraId="57F9AC64" w14:textId="77777777" w:rsidR="00DC7C1E" w:rsidRPr="001F3797" w:rsidRDefault="00DC7C1E" w:rsidP="0035674C">
            <w:pPr>
              <w:rPr>
                <w:rFonts w:cstheme="minorHAnsi"/>
              </w:rPr>
            </w:pPr>
            <w:r w:rsidRPr="001F3797">
              <w:rPr>
                <w:rFonts w:cstheme="minorHAnsi"/>
              </w:rPr>
              <w:t xml:space="preserve">Denominator </w:t>
            </w:r>
          </w:p>
        </w:tc>
        <w:tc>
          <w:tcPr>
            <w:tcW w:w="4059" w:type="pct"/>
          </w:tcPr>
          <w:p w14:paraId="409C1290" w14:textId="77777777" w:rsidR="000B5B0E" w:rsidRPr="001F3797" w:rsidRDefault="000B5B0E" w:rsidP="000B5B0E">
            <w:pPr>
              <w:rPr>
                <w:rFonts w:cstheme="minorHAnsi"/>
              </w:rPr>
            </w:pPr>
            <w:r w:rsidRPr="001F3797">
              <w:rPr>
                <w:rFonts w:cstheme="minorHAnsi"/>
              </w:rPr>
              <w:t>Total number of patients (list size)</w:t>
            </w:r>
          </w:p>
          <w:p w14:paraId="56A65B35" w14:textId="77777777" w:rsidR="00DC7C1E" w:rsidRPr="001F3797" w:rsidRDefault="00DC7C1E" w:rsidP="00D45F76">
            <w:pPr>
              <w:rPr>
                <w:rFonts w:cstheme="minorHAnsi"/>
              </w:rPr>
            </w:pPr>
          </w:p>
        </w:tc>
      </w:tr>
      <w:tr w:rsidR="00DC7C1E" w:rsidRPr="001F3797" w14:paraId="77DFA747" w14:textId="77777777" w:rsidTr="007738F5">
        <w:trPr>
          <w:trHeight w:val="1266"/>
        </w:trPr>
        <w:tc>
          <w:tcPr>
            <w:tcW w:w="941" w:type="pct"/>
          </w:tcPr>
          <w:p w14:paraId="47E86CBE" w14:textId="77777777" w:rsidR="00DC7C1E" w:rsidRPr="001F3797" w:rsidRDefault="00DC7C1E" w:rsidP="0035674C">
            <w:pPr>
              <w:rPr>
                <w:rFonts w:cstheme="minorHAnsi"/>
              </w:rPr>
            </w:pPr>
            <w:r w:rsidRPr="001F3797">
              <w:rPr>
                <w:rFonts w:cstheme="minorHAnsi"/>
              </w:rPr>
              <w:t>Rationale /Comments</w:t>
            </w:r>
          </w:p>
        </w:tc>
        <w:tc>
          <w:tcPr>
            <w:tcW w:w="4059" w:type="pct"/>
          </w:tcPr>
          <w:p w14:paraId="7F9759C8" w14:textId="41CBA304" w:rsidR="007477CF" w:rsidRPr="001F3797" w:rsidRDefault="007477CF" w:rsidP="007477CF">
            <w:pPr>
              <w:rPr>
                <w:rFonts w:cstheme="minorHAnsi"/>
                <w:bCs w:val="0"/>
              </w:rPr>
            </w:pPr>
            <w:r w:rsidRPr="001F3797">
              <w:rPr>
                <w:rFonts w:cstheme="minorHAnsi"/>
              </w:rPr>
              <w:t xml:space="preserve">MHRA/CHM issued new recommendations following a review of the risk of dependence and addictions associated with prolonged </w:t>
            </w:r>
            <w:r w:rsidR="001A02E8" w:rsidRPr="001F3797">
              <w:rPr>
                <w:rFonts w:cstheme="minorHAnsi"/>
              </w:rPr>
              <w:t>use (</w:t>
            </w:r>
            <w:r w:rsidRPr="001F3797">
              <w:rPr>
                <w:rFonts w:cstheme="minorHAnsi"/>
              </w:rPr>
              <w:t xml:space="preserve">longer than 3 months) of opioids </w:t>
            </w:r>
            <w:r w:rsidR="009574F7" w:rsidRPr="001F3797">
              <w:rPr>
                <w:rFonts w:cstheme="minorHAnsi"/>
              </w:rPr>
              <w:t>for non</w:t>
            </w:r>
            <w:r w:rsidRPr="001F3797">
              <w:rPr>
                <w:rFonts w:cstheme="minorHAnsi"/>
              </w:rPr>
              <w:t>-malignant pain</w:t>
            </w:r>
          </w:p>
          <w:p w14:paraId="6C5C40E5" w14:textId="77777777" w:rsidR="007477CF" w:rsidRPr="001F3797" w:rsidRDefault="007477CF" w:rsidP="007477CF">
            <w:pPr>
              <w:rPr>
                <w:rFonts w:cstheme="minorHAnsi"/>
                <w:bCs w:val="0"/>
              </w:rPr>
            </w:pPr>
          </w:p>
          <w:p w14:paraId="2A32791E" w14:textId="77777777" w:rsidR="007477CF" w:rsidRPr="001F3797" w:rsidRDefault="007477CF" w:rsidP="007477CF">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6D5D4B56" w14:textId="77777777" w:rsidR="007477CF" w:rsidRPr="001F3797" w:rsidRDefault="007477CF" w:rsidP="007477CF">
            <w:pPr>
              <w:rPr>
                <w:rFonts w:cstheme="minorHAnsi"/>
              </w:rPr>
            </w:pPr>
            <w:r w:rsidRPr="001F3797">
              <w:rPr>
                <w:rFonts w:cstheme="minorHAnsi"/>
                <w:bCs w:val="0"/>
              </w:rPr>
              <w:t>At end of quarter 1 – 27% chance of the patient continuing on opioids</w:t>
            </w:r>
          </w:p>
          <w:p w14:paraId="2F202179" w14:textId="77777777" w:rsidR="007477CF" w:rsidRPr="001F3797" w:rsidRDefault="007477CF" w:rsidP="007477CF">
            <w:pPr>
              <w:rPr>
                <w:rFonts w:cstheme="minorHAnsi"/>
              </w:rPr>
            </w:pPr>
            <w:r w:rsidRPr="001F3797">
              <w:rPr>
                <w:rFonts w:cstheme="minorHAnsi"/>
                <w:bCs w:val="0"/>
              </w:rPr>
              <w:t>At end of quarter 2 – 54% chance of the patient continuing on opioids</w:t>
            </w:r>
          </w:p>
          <w:p w14:paraId="7EB0E2EA" w14:textId="77777777" w:rsidR="007477CF" w:rsidRPr="001F3797" w:rsidRDefault="007477CF" w:rsidP="007477CF">
            <w:pPr>
              <w:rPr>
                <w:rFonts w:cstheme="minorHAnsi"/>
              </w:rPr>
            </w:pPr>
            <w:r w:rsidRPr="001F3797">
              <w:rPr>
                <w:rFonts w:cstheme="minorHAnsi"/>
                <w:bCs w:val="0"/>
              </w:rPr>
              <w:t xml:space="preserve">At end of quarter 3 – 79% chance of the patient continuing on opioids </w:t>
            </w:r>
          </w:p>
          <w:p w14:paraId="62FE218B" w14:textId="77777777" w:rsidR="007477CF" w:rsidRPr="001F3797" w:rsidRDefault="007477CF" w:rsidP="007477CF">
            <w:pPr>
              <w:rPr>
                <w:rFonts w:cstheme="minorHAnsi"/>
              </w:rPr>
            </w:pPr>
            <w:r w:rsidRPr="001F3797">
              <w:rPr>
                <w:rFonts w:cstheme="minorHAnsi"/>
                <w:bCs w:val="0"/>
              </w:rPr>
              <w:t xml:space="preserve">At end of quarter 4 – 90% chance of the patient continuing on opioids. </w:t>
            </w:r>
          </w:p>
          <w:p w14:paraId="20AFF6F4" w14:textId="38414B57" w:rsidR="00B153CE" w:rsidRPr="001F3797" w:rsidRDefault="00B153CE" w:rsidP="0035674C">
            <w:pPr>
              <w:rPr>
                <w:rFonts w:cstheme="minorHAnsi"/>
                <w:color w:val="FF0000"/>
              </w:rPr>
            </w:pPr>
          </w:p>
          <w:p w14:paraId="222E7453" w14:textId="77777777" w:rsidR="00092687" w:rsidRPr="001F3797" w:rsidRDefault="00092687" w:rsidP="0035674C">
            <w:pPr>
              <w:rPr>
                <w:rFonts w:cstheme="minorHAnsi"/>
                <w:color w:val="FF0000"/>
              </w:rPr>
            </w:pPr>
          </w:p>
          <w:p w14:paraId="76961CE6" w14:textId="492686E1" w:rsidR="0026088A" w:rsidRPr="001F3797" w:rsidRDefault="0026088A" w:rsidP="002D494F">
            <w:pPr>
              <w:rPr>
                <w:rFonts w:cstheme="minorHAnsi"/>
                <w:color w:val="FF0000"/>
              </w:rPr>
            </w:pPr>
          </w:p>
        </w:tc>
      </w:tr>
    </w:tbl>
    <w:p w14:paraId="2E30CD86" w14:textId="6CB906A8" w:rsidR="001F61AC" w:rsidRPr="001F3797" w:rsidRDefault="001F61AC" w:rsidP="0035674C">
      <w:pPr>
        <w:rPr>
          <w:rFonts w:cstheme="minorHAnsi"/>
        </w:rPr>
      </w:pPr>
    </w:p>
    <w:p w14:paraId="3996944C" w14:textId="101E99DF" w:rsidR="00AE09E3" w:rsidRPr="00066261" w:rsidRDefault="0047759C">
      <w:pPr>
        <w:rPr>
          <w:rFonts w:eastAsiaTheme="majorEastAsia" w:cstheme="minorHAnsi"/>
          <w:color w:val="0070C0"/>
          <w:sz w:val="24"/>
          <w:szCs w:val="24"/>
        </w:rPr>
      </w:pPr>
      <w:r>
        <w:rPr>
          <w:rFonts w:cstheme="minorHAnsi"/>
        </w:rPr>
        <w:br w:type="page"/>
      </w:r>
    </w:p>
    <w:p w14:paraId="609792FF" w14:textId="492F2F53" w:rsidR="00AE09E3" w:rsidRPr="00431E28" w:rsidRDefault="00AE09E3" w:rsidP="00ED1739">
      <w:pPr>
        <w:pStyle w:val="Heading2"/>
      </w:pPr>
      <w:bookmarkStart w:id="15" w:name="_Toc102729699"/>
      <w:r>
        <w:lastRenderedPageBreak/>
        <w:t>OP03</w:t>
      </w:r>
      <w:r w:rsidRPr="00431E28">
        <w:t xml:space="preserve"> Opioids in combination with other medicines known to increase the risk of harm</w:t>
      </w:r>
      <w:r>
        <w:t xml:space="preserve"> - EPS</w:t>
      </w:r>
      <w:bookmarkEnd w:id="15"/>
    </w:p>
    <w:tbl>
      <w:tblPr>
        <w:tblStyle w:val="TableGrid"/>
        <w:tblW w:w="5000" w:type="pct"/>
        <w:tblLayout w:type="fixed"/>
        <w:tblLook w:val="04A0" w:firstRow="1" w:lastRow="0" w:firstColumn="1" w:lastColumn="0" w:noHBand="0" w:noVBand="1"/>
      </w:tblPr>
      <w:tblGrid>
        <w:gridCol w:w="1697"/>
        <w:gridCol w:w="7319"/>
      </w:tblGrid>
      <w:tr w:rsidR="00AE09E3" w:rsidRPr="001F3797" w14:paraId="5414D4D3" w14:textId="77777777" w:rsidTr="001851F2">
        <w:tc>
          <w:tcPr>
            <w:tcW w:w="941" w:type="pct"/>
          </w:tcPr>
          <w:p w14:paraId="6B0BBD7F" w14:textId="77777777" w:rsidR="00AE09E3" w:rsidRPr="001F3797" w:rsidRDefault="00AE09E3" w:rsidP="001851F2">
            <w:pPr>
              <w:rPr>
                <w:rFonts w:cstheme="minorHAnsi"/>
              </w:rPr>
            </w:pPr>
            <w:r w:rsidRPr="001F3797">
              <w:rPr>
                <w:rFonts w:cstheme="minorHAnsi"/>
              </w:rPr>
              <w:t>Title</w:t>
            </w:r>
          </w:p>
        </w:tc>
        <w:tc>
          <w:tcPr>
            <w:tcW w:w="4059" w:type="pct"/>
          </w:tcPr>
          <w:p w14:paraId="6DD30933" w14:textId="0B7BABEB" w:rsidR="00AE09E3" w:rsidRPr="001F3797" w:rsidRDefault="009B0194" w:rsidP="001851F2">
            <w:pPr>
              <w:rPr>
                <w:rFonts w:cstheme="minorHAnsi"/>
              </w:rPr>
            </w:pPr>
            <w:r w:rsidRPr="009B0194">
              <w:rPr>
                <w:rFonts w:cstheme="minorHAnsi"/>
              </w:rPr>
              <w:t>Patients receiving opioid pain medicines in combination with other medicines known to increase the risk of harm</w:t>
            </w:r>
            <w:r w:rsidRPr="001F3797">
              <w:rPr>
                <w:rFonts w:cstheme="minorHAnsi"/>
              </w:rPr>
              <w:t xml:space="preserve"> </w:t>
            </w:r>
          </w:p>
        </w:tc>
      </w:tr>
      <w:tr w:rsidR="00AE09E3" w:rsidRPr="001F3797" w14:paraId="22257BAF" w14:textId="77777777" w:rsidTr="001851F2">
        <w:tc>
          <w:tcPr>
            <w:tcW w:w="941" w:type="pct"/>
          </w:tcPr>
          <w:p w14:paraId="3E3580B0" w14:textId="77777777" w:rsidR="00AE09E3" w:rsidRPr="001F3797" w:rsidRDefault="00AE09E3" w:rsidP="001851F2">
            <w:pPr>
              <w:rPr>
                <w:rFonts w:cstheme="minorHAnsi"/>
              </w:rPr>
            </w:pPr>
            <w:r w:rsidRPr="001F3797">
              <w:rPr>
                <w:rFonts w:cstheme="minorHAnsi"/>
              </w:rPr>
              <w:t>Description</w:t>
            </w:r>
          </w:p>
        </w:tc>
        <w:tc>
          <w:tcPr>
            <w:tcW w:w="4059" w:type="pct"/>
          </w:tcPr>
          <w:p w14:paraId="2596B834" w14:textId="77777777" w:rsidR="00AE09E3" w:rsidRPr="001F3797" w:rsidRDefault="00AE09E3" w:rsidP="001851F2">
            <w:pPr>
              <w:rPr>
                <w:rFonts w:cstheme="minorHAnsi"/>
              </w:rPr>
            </w:pPr>
            <w:r w:rsidRPr="001F3797">
              <w:rPr>
                <w:rFonts w:cstheme="minorHAnsi"/>
              </w:rPr>
              <w:t>Use of multiple dependency forming medicines</w:t>
            </w:r>
          </w:p>
        </w:tc>
      </w:tr>
      <w:tr w:rsidR="00AE09E3" w:rsidRPr="001F3797" w14:paraId="5ED94C95" w14:textId="77777777" w:rsidTr="001851F2">
        <w:tc>
          <w:tcPr>
            <w:tcW w:w="941" w:type="pct"/>
          </w:tcPr>
          <w:p w14:paraId="1306A56B" w14:textId="77777777" w:rsidR="00AE09E3" w:rsidRPr="001F3797" w:rsidRDefault="00AE09E3" w:rsidP="001851F2">
            <w:pPr>
              <w:rPr>
                <w:rFonts w:cstheme="minorHAnsi"/>
              </w:rPr>
            </w:pPr>
            <w:r w:rsidRPr="001F3797">
              <w:rPr>
                <w:rFonts w:cstheme="minorHAnsi"/>
              </w:rPr>
              <w:t>Numerator</w:t>
            </w:r>
          </w:p>
        </w:tc>
        <w:tc>
          <w:tcPr>
            <w:tcW w:w="4059" w:type="pct"/>
          </w:tcPr>
          <w:p w14:paraId="2E4F606A" w14:textId="0178A805" w:rsidR="00AE09E3" w:rsidRPr="001F3797" w:rsidRDefault="00AE09E3" w:rsidP="009B0194">
            <w:pPr>
              <w:rPr>
                <w:rFonts w:cstheme="minorHAnsi"/>
              </w:rPr>
            </w:pPr>
            <w:r w:rsidRPr="001F3797">
              <w:rPr>
                <w:rFonts w:cstheme="minorHAnsi"/>
              </w:rPr>
              <w:t>Number of patients</w:t>
            </w:r>
            <w:r w:rsidR="009B0194">
              <w:rPr>
                <w:rFonts w:cstheme="minorHAnsi"/>
              </w:rPr>
              <w:t xml:space="preserve"> with a prescription for </w:t>
            </w:r>
            <w:r w:rsidR="009B0194" w:rsidRPr="001F3797">
              <w:rPr>
                <w:rFonts w:cstheme="minorHAnsi"/>
              </w:rPr>
              <w:t>Opioid pain medicines (excluding injectables and co-codamol and codydramol)</w:t>
            </w:r>
            <w:r w:rsidR="009B0194">
              <w:rPr>
                <w:rFonts w:cstheme="minorHAnsi"/>
              </w:rPr>
              <w:t xml:space="preserve"> in the latest 28 day period (by age and gender, and duration group as described in comparator OP02) </w:t>
            </w:r>
            <w:r>
              <w:rPr>
                <w:rFonts w:cstheme="minorHAnsi"/>
              </w:rPr>
              <w:t>w</w:t>
            </w:r>
            <w:r w:rsidRPr="001F3797">
              <w:rPr>
                <w:rFonts w:cstheme="minorHAnsi"/>
              </w:rPr>
              <w:t xml:space="preserve">ho have </w:t>
            </w:r>
            <w:r w:rsidR="009B0194">
              <w:rPr>
                <w:rFonts w:cstheme="minorHAnsi"/>
              </w:rPr>
              <w:t xml:space="preserve">also </w:t>
            </w:r>
            <w:r w:rsidRPr="001F3797">
              <w:rPr>
                <w:rFonts w:cstheme="minorHAnsi"/>
              </w:rPr>
              <w:t xml:space="preserve">received one or more </w:t>
            </w:r>
            <w:r w:rsidR="009B0194">
              <w:rPr>
                <w:rFonts w:cstheme="minorHAnsi"/>
              </w:rPr>
              <w:t>prescription</w:t>
            </w:r>
            <w:r w:rsidRPr="001F3797">
              <w:rPr>
                <w:rFonts w:cstheme="minorHAnsi"/>
              </w:rPr>
              <w:t xml:space="preserve"> </w:t>
            </w:r>
            <w:r w:rsidR="009B0194">
              <w:rPr>
                <w:rFonts w:cstheme="minorHAnsi"/>
              </w:rPr>
              <w:t xml:space="preserve">in the latest 28 day period from either of the following groups: Antidepressants, Benzodiazepines, </w:t>
            </w:r>
            <w:proofErr w:type="spellStart"/>
            <w:r w:rsidR="009B0194">
              <w:rPr>
                <w:rFonts w:cstheme="minorHAnsi"/>
              </w:rPr>
              <w:t>Gabapentinoids</w:t>
            </w:r>
            <w:proofErr w:type="spellEnd"/>
            <w:r w:rsidR="009B0194">
              <w:rPr>
                <w:rFonts w:cstheme="minorHAnsi"/>
              </w:rPr>
              <w:t xml:space="preserve"> and Z-Drugs</w:t>
            </w:r>
          </w:p>
          <w:p w14:paraId="698A105E" w14:textId="77777777" w:rsidR="00AE09E3" w:rsidRPr="001F3797" w:rsidRDefault="00AE09E3" w:rsidP="001851F2">
            <w:pPr>
              <w:rPr>
                <w:rFonts w:cstheme="minorHAnsi"/>
              </w:rPr>
            </w:pPr>
          </w:p>
          <w:p w14:paraId="70A2C8E7" w14:textId="02D87EAC" w:rsidR="00AE09E3" w:rsidRPr="001F3797" w:rsidRDefault="00AE09E3" w:rsidP="001851F2">
            <w:pPr>
              <w:rPr>
                <w:rFonts w:cstheme="minorHAnsi"/>
              </w:rPr>
            </w:pPr>
            <w:r w:rsidRPr="001F3797">
              <w:rPr>
                <w:rFonts w:cstheme="minorHAnsi"/>
              </w:rPr>
              <w:t xml:space="preserve">See appendix 1 </w:t>
            </w:r>
            <w:r w:rsidR="000B5B0E">
              <w:rPr>
                <w:rFonts w:cstheme="minorHAnsi"/>
              </w:rPr>
              <w:t>for the lists of drugs</w:t>
            </w:r>
          </w:p>
          <w:p w14:paraId="30022F32" w14:textId="77777777" w:rsidR="00AE09E3" w:rsidRPr="001F3797" w:rsidRDefault="00AE09E3" w:rsidP="001851F2">
            <w:pPr>
              <w:rPr>
                <w:rFonts w:cstheme="minorHAnsi"/>
              </w:rPr>
            </w:pPr>
          </w:p>
        </w:tc>
      </w:tr>
      <w:tr w:rsidR="00AE09E3" w:rsidRPr="001F3797" w14:paraId="7F6C81B3" w14:textId="77777777" w:rsidTr="001851F2">
        <w:tc>
          <w:tcPr>
            <w:tcW w:w="941" w:type="pct"/>
          </w:tcPr>
          <w:p w14:paraId="515BCB8A" w14:textId="77777777" w:rsidR="00AE09E3" w:rsidRPr="001F3797" w:rsidRDefault="00AE09E3" w:rsidP="001851F2">
            <w:pPr>
              <w:rPr>
                <w:rFonts w:cstheme="minorHAnsi"/>
              </w:rPr>
            </w:pPr>
            <w:r w:rsidRPr="001F3797">
              <w:rPr>
                <w:rFonts w:cstheme="minorHAnsi"/>
              </w:rPr>
              <w:t xml:space="preserve">Denominator </w:t>
            </w:r>
          </w:p>
        </w:tc>
        <w:tc>
          <w:tcPr>
            <w:tcW w:w="4059" w:type="pct"/>
          </w:tcPr>
          <w:p w14:paraId="499C5E0D" w14:textId="7B0207AC" w:rsidR="00AE09E3" w:rsidRPr="001F3797" w:rsidRDefault="009B0194" w:rsidP="001851F2">
            <w:pPr>
              <w:rPr>
                <w:rFonts w:cstheme="minorHAnsi"/>
              </w:rPr>
            </w:pPr>
            <w:r>
              <w:rPr>
                <w:rFonts w:cstheme="minorHAnsi"/>
              </w:rPr>
              <w:t xml:space="preserve">Number of patients with any </w:t>
            </w:r>
            <w:r w:rsidR="000B5B0E">
              <w:rPr>
                <w:rFonts w:cstheme="minorHAnsi"/>
              </w:rPr>
              <w:t xml:space="preserve">prescription for </w:t>
            </w:r>
            <w:r w:rsidR="000B5B0E" w:rsidRPr="001F3797">
              <w:rPr>
                <w:rFonts w:cstheme="minorHAnsi"/>
              </w:rPr>
              <w:t>Opioid pain medicines (excluding injectables and co-codamol and codydramol)</w:t>
            </w:r>
            <w:r w:rsidR="000B5B0E">
              <w:rPr>
                <w:rFonts w:cstheme="minorHAnsi"/>
              </w:rPr>
              <w:t xml:space="preserve"> </w:t>
            </w:r>
            <w:r>
              <w:rPr>
                <w:rFonts w:cstheme="minorHAnsi"/>
              </w:rPr>
              <w:t>in the latest 28 day period</w:t>
            </w:r>
          </w:p>
          <w:p w14:paraId="0ED0E84D" w14:textId="77777777" w:rsidR="00AE09E3" w:rsidRPr="001F3797" w:rsidRDefault="00AE09E3" w:rsidP="001851F2">
            <w:pPr>
              <w:rPr>
                <w:rFonts w:cstheme="minorHAnsi"/>
              </w:rPr>
            </w:pPr>
          </w:p>
        </w:tc>
      </w:tr>
      <w:tr w:rsidR="00AE09E3" w:rsidRPr="001F3797" w14:paraId="3BCAD103" w14:textId="77777777" w:rsidTr="001851F2">
        <w:trPr>
          <w:trHeight w:val="1266"/>
        </w:trPr>
        <w:tc>
          <w:tcPr>
            <w:tcW w:w="941" w:type="pct"/>
          </w:tcPr>
          <w:p w14:paraId="00B8A4EB" w14:textId="77777777" w:rsidR="00AE09E3" w:rsidRPr="001F3797" w:rsidRDefault="00AE09E3" w:rsidP="001851F2">
            <w:pPr>
              <w:rPr>
                <w:rFonts w:cstheme="minorHAnsi"/>
              </w:rPr>
            </w:pPr>
            <w:r w:rsidRPr="001F3797">
              <w:rPr>
                <w:rFonts w:cstheme="minorHAnsi"/>
              </w:rPr>
              <w:t>Rationale /Comments</w:t>
            </w:r>
          </w:p>
        </w:tc>
        <w:tc>
          <w:tcPr>
            <w:tcW w:w="4059" w:type="pct"/>
          </w:tcPr>
          <w:p w14:paraId="20A04207" w14:textId="77777777" w:rsidR="00AE09E3" w:rsidRPr="001F3797" w:rsidRDefault="00AE09E3" w:rsidP="001851F2">
            <w:pPr>
              <w:rPr>
                <w:rFonts w:cstheme="minorHAnsi"/>
              </w:rPr>
            </w:pPr>
            <w:r w:rsidRPr="001F3797">
              <w:rPr>
                <w:rFonts w:cstheme="minorHAnsi"/>
              </w:rPr>
              <w:t>The MHRA has reminded health care professionals that opioids co -prescribed with benzodiazepines and benzodiazepine like drugs can produce additive CNS depressant effects, thereby increasing the risk of sedation, respiratory depression, coma and death. Healthcare professionals are advised to only co prescribe if there is no alternative and, if necessary, the lowest possible doses should be given and for the shortest duration</w:t>
            </w:r>
          </w:p>
          <w:p w14:paraId="06B8D2BF" w14:textId="77777777" w:rsidR="00AE09E3" w:rsidRPr="001F3797" w:rsidRDefault="00AE09E3" w:rsidP="001851F2">
            <w:pPr>
              <w:rPr>
                <w:rFonts w:cstheme="minorHAnsi"/>
              </w:rPr>
            </w:pPr>
          </w:p>
          <w:p w14:paraId="7B79A553" w14:textId="77777777" w:rsidR="00AE09E3" w:rsidRPr="001F3797" w:rsidRDefault="00AE09E3" w:rsidP="001851F2">
            <w:pPr>
              <w:rPr>
                <w:rFonts w:cstheme="minorHAnsi"/>
              </w:rPr>
            </w:pPr>
            <w:r w:rsidRPr="001F3797">
              <w:rPr>
                <w:rFonts w:cstheme="minorHAnsi"/>
              </w:rPr>
              <w:t>In general information on the other combinations can be analysed find considered.</w:t>
            </w:r>
          </w:p>
          <w:p w14:paraId="04C86D59" w14:textId="77777777" w:rsidR="00AE09E3" w:rsidRPr="001F3797" w:rsidRDefault="00AE09E3" w:rsidP="001851F2">
            <w:pPr>
              <w:rPr>
                <w:rFonts w:cstheme="minorHAnsi"/>
              </w:rPr>
            </w:pPr>
            <w:r w:rsidRPr="001F3797">
              <w:rPr>
                <w:rFonts w:cstheme="minorHAnsi"/>
              </w:rPr>
              <w:t>Additional information by practice of number with distinct chemical substance count by class.</w:t>
            </w:r>
          </w:p>
          <w:p w14:paraId="18179D1E" w14:textId="77777777" w:rsidR="00AE09E3" w:rsidRPr="001F3797" w:rsidRDefault="00AE09E3" w:rsidP="001851F2">
            <w:pPr>
              <w:rPr>
                <w:rFonts w:cstheme="minorHAnsi"/>
                <w:color w:val="FF0000"/>
              </w:rPr>
            </w:pPr>
          </w:p>
          <w:p w14:paraId="5CF33AB3" w14:textId="77777777" w:rsidR="00AE09E3" w:rsidRPr="00197015" w:rsidRDefault="00AE09E3"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7A1FC4B5" w14:textId="77777777" w:rsidR="00AE09E3" w:rsidRPr="00197015" w:rsidRDefault="00AE09E3" w:rsidP="001851F2">
            <w:pPr>
              <w:rPr>
                <w:rFonts w:cstheme="minorHAnsi"/>
                <w:color w:val="000000" w:themeColor="text1"/>
              </w:rPr>
            </w:pPr>
          </w:p>
          <w:p w14:paraId="2FCA523C" w14:textId="77777777" w:rsidR="00AE09E3" w:rsidRPr="00197015" w:rsidRDefault="00AE09E3"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7FC192A6" w14:textId="77777777" w:rsidR="00AE09E3" w:rsidRPr="00197015" w:rsidRDefault="0089156C" w:rsidP="001851F2">
            <w:pPr>
              <w:rPr>
                <w:rFonts w:cstheme="minorHAnsi"/>
                <w:color w:val="000000" w:themeColor="text1"/>
              </w:rPr>
            </w:pPr>
            <w:hyperlink r:id="rId13" w:history="1">
              <w:r w:rsidR="00AE09E3" w:rsidRPr="00197015">
                <w:rPr>
                  <w:rStyle w:val="Hyperlink"/>
                  <w:rFonts w:cstheme="minorHAnsi"/>
                  <w:color w:val="000000" w:themeColor="text1"/>
                </w:rPr>
                <w:t>https://www.who.int/news-room/fact-sheets/detail/opioid-overdose</w:t>
              </w:r>
            </w:hyperlink>
          </w:p>
          <w:p w14:paraId="4023D5C1" w14:textId="77777777" w:rsidR="00AE09E3" w:rsidRPr="00197015" w:rsidRDefault="00AE09E3" w:rsidP="001851F2">
            <w:pPr>
              <w:spacing w:after="96"/>
              <w:rPr>
                <w:rFonts w:ascii="Arial" w:hAnsi="Arial" w:cs="Arial"/>
                <w:color w:val="000000" w:themeColor="text1"/>
              </w:rPr>
            </w:pPr>
          </w:p>
          <w:p w14:paraId="39CC12DF" w14:textId="77777777" w:rsidR="00AE09E3" w:rsidRPr="00197015" w:rsidRDefault="00AE09E3"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4FCD2F8" w14:textId="77777777" w:rsidR="00AE09E3" w:rsidRDefault="0089156C" w:rsidP="001851F2">
            <w:pPr>
              <w:spacing w:after="96"/>
              <w:rPr>
                <w:rFonts w:ascii="Arial" w:hAnsi="Arial" w:cs="Arial"/>
                <w:bCs w:val="0"/>
                <w:color w:val="1E1E1F"/>
                <w:sz w:val="27"/>
                <w:szCs w:val="27"/>
              </w:rPr>
            </w:pPr>
            <w:hyperlink r:id="rId14" w:history="1">
              <w:r w:rsidR="00AE09E3" w:rsidRPr="00197015">
                <w:rPr>
                  <w:rStyle w:val="Hyperlink"/>
                  <w:rFonts w:ascii="Arial" w:hAnsi="Arial" w:cs="Arial"/>
                  <w:color w:val="000000" w:themeColor="text1"/>
                </w:rPr>
                <w:t>https://www.fpm.ac.uk/opioids-aware</w:t>
              </w:r>
            </w:hyperlink>
          </w:p>
          <w:p w14:paraId="52366BC1" w14:textId="77777777" w:rsidR="00AE09E3" w:rsidRPr="001F3797" w:rsidRDefault="00AE09E3" w:rsidP="001851F2">
            <w:pPr>
              <w:rPr>
                <w:rFonts w:cstheme="minorHAnsi"/>
              </w:rPr>
            </w:pPr>
          </w:p>
          <w:p w14:paraId="0CD0A807" w14:textId="77777777" w:rsidR="00AE09E3" w:rsidRPr="001F3797" w:rsidRDefault="00AE09E3" w:rsidP="001851F2">
            <w:pPr>
              <w:rPr>
                <w:rFonts w:cstheme="minorHAnsi"/>
              </w:rPr>
            </w:pPr>
          </w:p>
        </w:tc>
      </w:tr>
    </w:tbl>
    <w:p w14:paraId="6EC129F7" w14:textId="77777777" w:rsidR="00AE09E3" w:rsidRPr="00431E28" w:rsidRDefault="00AE09E3" w:rsidP="00AE09E3">
      <w:pPr>
        <w:pStyle w:val="ListParagraph"/>
        <w:ind w:left="792"/>
        <w:rPr>
          <w:rFonts w:eastAsiaTheme="majorEastAsia" w:cstheme="minorHAnsi"/>
          <w:color w:val="0070C0"/>
          <w:sz w:val="24"/>
          <w:szCs w:val="24"/>
        </w:rPr>
      </w:pPr>
    </w:p>
    <w:p w14:paraId="2C269F61" w14:textId="77777777" w:rsidR="00E10FF5" w:rsidRPr="00431E28" w:rsidRDefault="00E10FF5">
      <w:pPr>
        <w:rPr>
          <w:rFonts w:eastAsiaTheme="majorEastAsia" w:cstheme="minorHAnsi"/>
          <w:color w:val="0070C0"/>
          <w:sz w:val="24"/>
          <w:szCs w:val="24"/>
        </w:rPr>
      </w:pPr>
      <w:r w:rsidRPr="001F3797">
        <w:rPr>
          <w:rFonts w:cstheme="minorHAnsi"/>
        </w:rPr>
        <w:br w:type="page"/>
      </w:r>
    </w:p>
    <w:p w14:paraId="5EBE92C6" w14:textId="729EB3A9" w:rsidR="00066261" w:rsidRPr="00431E28" w:rsidRDefault="00066261" w:rsidP="00ED1739">
      <w:pPr>
        <w:pStyle w:val="Heading2"/>
      </w:pPr>
      <w:bookmarkStart w:id="16" w:name="_Toc102729700"/>
      <w:r>
        <w:lastRenderedPageBreak/>
        <w:t xml:space="preserve">OP04 </w:t>
      </w:r>
      <w:r w:rsidR="000B5B0E" w:rsidRPr="000B5B0E">
        <w:t>High Oral Morphine Equivalent volume of opioids</w:t>
      </w:r>
      <w:r w:rsidR="000B5B0E">
        <w:t xml:space="preserve"> </w:t>
      </w:r>
      <w:r>
        <w:t>- EPS</w:t>
      </w:r>
      <w:bookmarkEnd w:id="16"/>
    </w:p>
    <w:tbl>
      <w:tblPr>
        <w:tblStyle w:val="TableGrid"/>
        <w:tblW w:w="5000" w:type="pct"/>
        <w:tblLayout w:type="fixed"/>
        <w:tblLook w:val="04A0" w:firstRow="1" w:lastRow="0" w:firstColumn="1" w:lastColumn="0" w:noHBand="0" w:noVBand="1"/>
      </w:tblPr>
      <w:tblGrid>
        <w:gridCol w:w="1697"/>
        <w:gridCol w:w="7319"/>
      </w:tblGrid>
      <w:tr w:rsidR="00066261" w:rsidRPr="001F3797" w14:paraId="4B4D33E3" w14:textId="77777777" w:rsidTr="001851F2">
        <w:tc>
          <w:tcPr>
            <w:tcW w:w="941" w:type="pct"/>
          </w:tcPr>
          <w:p w14:paraId="36B203E3" w14:textId="77777777" w:rsidR="00066261" w:rsidRPr="001F3797" w:rsidRDefault="00066261" w:rsidP="001851F2">
            <w:pPr>
              <w:rPr>
                <w:rFonts w:cstheme="minorHAnsi"/>
              </w:rPr>
            </w:pPr>
            <w:r w:rsidRPr="001F3797">
              <w:rPr>
                <w:rFonts w:cstheme="minorHAnsi"/>
              </w:rPr>
              <w:t>Title</w:t>
            </w:r>
          </w:p>
        </w:tc>
        <w:tc>
          <w:tcPr>
            <w:tcW w:w="4059" w:type="pct"/>
          </w:tcPr>
          <w:p w14:paraId="664BDD7A" w14:textId="77777777" w:rsidR="00066261" w:rsidRPr="001F3797" w:rsidRDefault="00066261" w:rsidP="001851F2">
            <w:pPr>
              <w:rPr>
                <w:rFonts w:cstheme="minorHAnsi"/>
              </w:rPr>
            </w:pPr>
            <w:r w:rsidRPr="001F3797">
              <w:rPr>
                <w:rFonts w:cstheme="minorHAnsi"/>
              </w:rPr>
              <w:t>Number of patients receiving High Oral Morphine Equivalent volume via EPS for less than 3 months, 3-6 months and 6+ months</w:t>
            </w:r>
          </w:p>
          <w:p w14:paraId="077C6C23" w14:textId="77777777" w:rsidR="00066261" w:rsidRPr="001F3797" w:rsidRDefault="00066261" w:rsidP="001851F2">
            <w:pPr>
              <w:rPr>
                <w:rFonts w:cstheme="minorHAnsi"/>
              </w:rPr>
            </w:pPr>
          </w:p>
        </w:tc>
      </w:tr>
      <w:tr w:rsidR="00066261" w:rsidRPr="001F3797" w14:paraId="73D03A0A" w14:textId="77777777" w:rsidTr="001851F2">
        <w:tc>
          <w:tcPr>
            <w:tcW w:w="941" w:type="pct"/>
          </w:tcPr>
          <w:p w14:paraId="6BCC55A4" w14:textId="77777777" w:rsidR="00066261" w:rsidRPr="001F3797" w:rsidRDefault="00066261" w:rsidP="001851F2">
            <w:pPr>
              <w:rPr>
                <w:rFonts w:cstheme="minorHAnsi"/>
              </w:rPr>
            </w:pPr>
            <w:r w:rsidRPr="001F3797">
              <w:rPr>
                <w:rFonts w:cstheme="minorHAnsi"/>
              </w:rPr>
              <w:t>Description</w:t>
            </w:r>
          </w:p>
        </w:tc>
        <w:tc>
          <w:tcPr>
            <w:tcW w:w="4059" w:type="pct"/>
          </w:tcPr>
          <w:p w14:paraId="18FE6E0A" w14:textId="508098E2" w:rsidR="00066261" w:rsidRPr="001F3797" w:rsidRDefault="000B5B0E" w:rsidP="001851F2">
            <w:pPr>
              <w:rPr>
                <w:rFonts w:cstheme="minorHAnsi"/>
              </w:rPr>
            </w:pPr>
            <w:r>
              <w:rPr>
                <w:rFonts w:cstheme="minorHAnsi"/>
              </w:rPr>
              <w:t>Prescription of high equivalent volume of opioids</w:t>
            </w:r>
          </w:p>
        </w:tc>
      </w:tr>
      <w:tr w:rsidR="00066261" w:rsidRPr="001F3797" w14:paraId="506F4A88" w14:textId="77777777" w:rsidTr="001851F2">
        <w:tc>
          <w:tcPr>
            <w:tcW w:w="941" w:type="pct"/>
          </w:tcPr>
          <w:p w14:paraId="164F8B9E" w14:textId="77777777" w:rsidR="00066261" w:rsidRPr="001F3797" w:rsidRDefault="00066261" w:rsidP="001851F2">
            <w:pPr>
              <w:rPr>
                <w:rFonts w:cstheme="minorHAnsi"/>
              </w:rPr>
            </w:pPr>
            <w:r w:rsidRPr="001F3797">
              <w:rPr>
                <w:rFonts w:cstheme="minorHAnsi"/>
              </w:rPr>
              <w:t>Numerator</w:t>
            </w:r>
          </w:p>
        </w:tc>
        <w:tc>
          <w:tcPr>
            <w:tcW w:w="4059" w:type="pct"/>
          </w:tcPr>
          <w:p w14:paraId="33B40C88" w14:textId="77777777" w:rsidR="00FD3D1B" w:rsidRDefault="000B5B0E" w:rsidP="00FD3D1B">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28 day period (by age and gender, and duration group as described in comparator OP02) </w:t>
            </w:r>
          </w:p>
          <w:p w14:paraId="31E87257" w14:textId="77777777" w:rsidR="00FD3D1B" w:rsidRDefault="00FD3D1B" w:rsidP="00FD3D1B">
            <w:pPr>
              <w:rPr>
                <w:rFonts w:cstheme="minorHAnsi"/>
              </w:rPr>
            </w:pPr>
            <w:r>
              <w:rPr>
                <w:rFonts w:cstheme="minorHAnsi"/>
                <w:b/>
                <w:bCs w:val="0"/>
              </w:rPr>
              <w:t xml:space="preserve">and </w:t>
            </w:r>
            <w:r w:rsidR="000B5B0E">
              <w:rPr>
                <w:rFonts w:cstheme="minorHAnsi"/>
              </w:rPr>
              <w:t>w</w:t>
            </w:r>
            <w:r w:rsidR="000B5B0E" w:rsidRPr="001F3797">
              <w:rPr>
                <w:rFonts w:cstheme="minorHAnsi"/>
              </w:rPr>
              <w:t xml:space="preserve">ho have </w:t>
            </w:r>
            <w:r w:rsidR="000B5B0E">
              <w:rPr>
                <w:rFonts w:cstheme="minorHAnsi"/>
              </w:rPr>
              <w:t xml:space="preserve">also </w:t>
            </w:r>
            <w:r w:rsidR="000B5B0E" w:rsidRPr="001F3797">
              <w:rPr>
                <w:rFonts w:cstheme="minorHAnsi"/>
              </w:rPr>
              <w:t xml:space="preserve">received </w:t>
            </w:r>
            <w:r w:rsidR="00066261" w:rsidRPr="001F3797">
              <w:rPr>
                <w:rFonts w:cstheme="minorHAnsi"/>
              </w:rPr>
              <w:t xml:space="preserve">total oral morphine equivalent of 120mg </w:t>
            </w:r>
            <w:r w:rsidR="000B5B0E">
              <w:rPr>
                <w:rFonts w:cstheme="minorHAnsi"/>
              </w:rPr>
              <w:t>per day in the latest 28 day period</w:t>
            </w:r>
            <w:r>
              <w:rPr>
                <w:rFonts w:cstheme="minorHAnsi"/>
              </w:rPr>
              <w:t xml:space="preserve"> </w:t>
            </w:r>
          </w:p>
          <w:p w14:paraId="6489D952" w14:textId="77777777" w:rsidR="00066261" w:rsidRPr="001F3797" w:rsidRDefault="00066261" w:rsidP="001851F2">
            <w:pPr>
              <w:rPr>
                <w:rFonts w:cstheme="minorHAnsi"/>
              </w:rPr>
            </w:pPr>
          </w:p>
          <w:p w14:paraId="17631D7F" w14:textId="0105A0CC" w:rsidR="00066261" w:rsidRPr="001F3797" w:rsidRDefault="00066261" w:rsidP="001851F2">
            <w:pPr>
              <w:rPr>
                <w:rFonts w:cstheme="minorHAnsi"/>
              </w:rPr>
            </w:pPr>
            <w:r w:rsidRPr="001F3797">
              <w:rPr>
                <w:rFonts w:cstheme="minorHAnsi"/>
              </w:rPr>
              <w:t xml:space="preserve">See appendix 1 </w:t>
            </w:r>
            <w:r w:rsidR="00FD3D1B">
              <w:rPr>
                <w:rFonts w:cstheme="minorHAnsi"/>
              </w:rPr>
              <w:t>for the details of the drug groups</w:t>
            </w:r>
          </w:p>
        </w:tc>
      </w:tr>
      <w:tr w:rsidR="00066261" w:rsidRPr="001F3797" w14:paraId="3588F41A" w14:textId="77777777" w:rsidTr="001851F2">
        <w:tc>
          <w:tcPr>
            <w:tcW w:w="941" w:type="pct"/>
          </w:tcPr>
          <w:p w14:paraId="588B227D" w14:textId="77777777" w:rsidR="00066261" w:rsidRPr="001F3797" w:rsidRDefault="00066261" w:rsidP="001851F2">
            <w:pPr>
              <w:rPr>
                <w:rFonts w:cstheme="minorHAnsi"/>
              </w:rPr>
            </w:pPr>
            <w:r w:rsidRPr="001F3797">
              <w:rPr>
                <w:rFonts w:cstheme="minorHAnsi"/>
              </w:rPr>
              <w:t xml:space="preserve">Denominator </w:t>
            </w:r>
          </w:p>
        </w:tc>
        <w:tc>
          <w:tcPr>
            <w:tcW w:w="4059" w:type="pct"/>
          </w:tcPr>
          <w:p w14:paraId="6FA432D8" w14:textId="77777777" w:rsidR="000B5B0E" w:rsidRPr="001F3797" w:rsidRDefault="000B5B0E" w:rsidP="000B5B0E">
            <w:pPr>
              <w:rPr>
                <w:rFonts w:cstheme="minorHAnsi"/>
              </w:rPr>
            </w:pPr>
            <w:r>
              <w:rPr>
                <w:rFonts w:cstheme="minorHAnsi"/>
              </w:rPr>
              <w:t xml:space="preserve">Number of patients with any prescription for </w:t>
            </w:r>
            <w:r w:rsidRPr="001F3797">
              <w:rPr>
                <w:rFonts w:cstheme="minorHAnsi"/>
              </w:rPr>
              <w:t>Opioid pain medicines (excluding injectables and co-codamol and codydramol)</w:t>
            </w:r>
            <w:r>
              <w:rPr>
                <w:rFonts w:cstheme="minorHAnsi"/>
              </w:rPr>
              <w:t xml:space="preserve"> in the latest 28 day period</w:t>
            </w:r>
          </w:p>
          <w:p w14:paraId="43E7FAAF" w14:textId="77777777" w:rsidR="00066261" w:rsidRPr="001F3797" w:rsidRDefault="00066261" w:rsidP="001851F2">
            <w:pPr>
              <w:rPr>
                <w:rFonts w:cstheme="minorHAnsi"/>
              </w:rPr>
            </w:pPr>
          </w:p>
        </w:tc>
      </w:tr>
      <w:tr w:rsidR="00066261" w:rsidRPr="001F3797" w14:paraId="08959BE1" w14:textId="77777777" w:rsidTr="001851F2">
        <w:trPr>
          <w:trHeight w:val="1266"/>
        </w:trPr>
        <w:tc>
          <w:tcPr>
            <w:tcW w:w="941" w:type="pct"/>
          </w:tcPr>
          <w:p w14:paraId="62094BD4" w14:textId="77777777" w:rsidR="00066261" w:rsidRPr="001F3797" w:rsidRDefault="00066261" w:rsidP="001851F2">
            <w:pPr>
              <w:rPr>
                <w:rFonts w:cstheme="minorHAnsi"/>
              </w:rPr>
            </w:pPr>
            <w:r w:rsidRPr="001F3797">
              <w:rPr>
                <w:rFonts w:cstheme="minorHAnsi"/>
              </w:rPr>
              <w:t>Rationale /Comments</w:t>
            </w:r>
          </w:p>
        </w:tc>
        <w:tc>
          <w:tcPr>
            <w:tcW w:w="4059" w:type="pct"/>
          </w:tcPr>
          <w:p w14:paraId="278CD170" w14:textId="77777777" w:rsidR="00066261" w:rsidRPr="00197015" w:rsidRDefault="00066261" w:rsidP="00066261">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604B7321" w14:textId="77777777" w:rsidR="00066261" w:rsidRPr="00197015" w:rsidRDefault="00066261" w:rsidP="00066261">
            <w:pPr>
              <w:rPr>
                <w:rFonts w:cstheme="minorHAnsi"/>
                <w:color w:val="000000" w:themeColor="text1"/>
              </w:rPr>
            </w:pPr>
          </w:p>
          <w:p w14:paraId="498C90BB" w14:textId="77777777" w:rsidR="00066261" w:rsidRPr="00197015" w:rsidRDefault="00066261" w:rsidP="00066261">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3099244F" w14:textId="77777777" w:rsidR="00066261" w:rsidRPr="00197015" w:rsidRDefault="0089156C" w:rsidP="00066261">
            <w:pPr>
              <w:rPr>
                <w:rFonts w:cstheme="minorHAnsi"/>
                <w:color w:val="000000" w:themeColor="text1"/>
              </w:rPr>
            </w:pPr>
            <w:hyperlink r:id="rId15" w:history="1">
              <w:r w:rsidR="00066261" w:rsidRPr="00197015">
                <w:rPr>
                  <w:rStyle w:val="Hyperlink"/>
                  <w:rFonts w:cstheme="minorHAnsi"/>
                  <w:color w:val="000000" w:themeColor="text1"/>
                </w:rPr>
                <w:t>https://www.who.int/news-room/fact-sheets/detail/opioid-overdose</w:t>
              </w:r>
            </w:hyperlink>
          </w:p>
          <w:p w14:paraId="7E12C463" w14:textId="77777777" w:rsidR="00066261" w:rsidRPr="00197015" w:rsidRDefault="00066261" w:rsidP="00066261">
            <w:pPr>
              <w:spacing w:after="96"/>
              <w:rPr>
                <w:rFonts w:ascii="Arial" w:hAnsi="Arial" w:cs="Arial"/>
                <w:color w:val="000000" w:themeColor="text1"/>
              </w:rPr>
            </w:pPr>
          </w:p>
          <w:p w14:paraId="3104F411" w14:textId="77777777" w:rsidR="00066261" w:rsidRPr="00197015" w:rsidRDefault="00066261" w:rsidP="00066261">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2613EB72" w14:textId="77777777" w:rsidR="00066261" w:rsidRPr="00197015" w:rsidRDefault="0089156C" w:rsidP="00066261">
            <w:pPr>
              <w:spacing w:after="96"/>
              <w:rPr>
                <w:rFonts w:ascii="Arial" w:hAnsi="Arial" w:cs="Arial"/>
                <w:color w:val="000000" w:themeColor="text1"/>
              </w:rPr>
            </w:pPr>
            <w:hyperlink r:id="rId16" w:history="1">
              <w:r w:rsidR="00066261" w:rsidRPr="00197015">
                <w:rPr>
                  <w:rStyle w:val="Hyperlink"/>
                  <w:rFonts w:ascii="Arial" w:hAnsi="Arial" w:cs="Arial"/>
                  <w:color w:val="000000" w:themeColor="text1"/>
                </w:rPr>
                <w:t>https://www.fpm.ac.uk/opioids-aware</w:t>
              </w:r>
            </w:hyperlink>
          </w:p>
          <w:p w14:paraId="79ECB2D5" w14:textId="77777777" w:rsidR="00066261" w:rsidRPr="001F3797" w:rsidRDefault="00066261" w:rsidP="001851F2">
            <w:pPr>
              <w:rPr>
                <w:rFonts w:cstheme="minorHAnsi"/>
                <w:color w:val="FF0000"/>
              </w:rPr>
            </w:pPr>
          </w:p>
        </w:tc>
      </w:tr>
    </w:tbl>
    <w:p w14:paraId="6E89BC03" w14:textId="77777777" w:rsidR="00066261" w:rsidRPr="001F3797" w:rsidRDefault="00066261" w:rsidP="00066261">
      <w:pPr>
        <w:rPr>
          <w:rFonts w:cstheme="minorHAnsi"/>
        </w:rPr>
      </w:pPr>
    </w:p>
    <w:p w14:paraId="5231E712" w14:textId="3C78F037" w:rsidR="005F440C" w:rsidRPr="00431E28" w:rsidRDefault="002325E6" w:rsidP="00ED1739">
      <w:pPr>
        <w:pStyle w:val="Heading2"/>
      </w:pPr>
      <w:r w:rsidRPr="001F3797">
        <w:br w:type="page"/>
      </w:r>
      <w:bookmarkStart w:id="17" w:name="_Toc102729701"/>
      <w:r w:rsidR="005F440C">
        <w:lastRenderedPageBreak/>
        <w:t xml:space="preserve">OP05 </w:t>
      </w:r>
      <w:r w:rsidR="005F440C" w:rsidRPr="00431E28">
        <w:t>High Oral Morphine Equivalent volume in combination with other medicines known to increase risk of harm</w:t>
      </w:r>
      <w:r w:rsidR="000B5B0E">
        <w:t xml:space="preserve"> - EPS</w:t>
      </w:r>
      <w:bookmarkEnd w:id="17"/>
    </w:p>
    <w:tbl>
      <w:tblPr>
        <w:tblStyle w:val="TableGrid"/>
        <w:tblW w:w="5000" w:type="pct"/>
        <w:tblLayout w:type="fixed"/>
        <w:tblLook w:val="04A0" w:firstRow="1" w:lastRow="0" w:firstColumn="1" w:lastColumn="0" w:noHBand="0" w:noVBand="1"/>
      </w:tblPr>
      <w:tblGrid>
        <w:gridCol w:w="1697"/>
        <w:gridCol w:w="7319"/>
      </w:tblGrid>
      <w:tr w:rsidR="005F440C" w:rsidRPr="001F3797" w14:paraId="4A320DC3" w14:textId="77777777" w:rsidTr="001851F2">
        <w:tc>
          <w:tcPr>
            <w:tcW w:w="941" w:type="pct"/>
          </w:tcPr>
          <w:p w14:paraId="0AEEE33F" w14:textId="77777777" w:rsidR="005F440C" w:rsidRPr="001F3797" w:rsidRDefault="005F440C" w:rsidP="001851F2">
            <w:pPr>
              <w:rPr>
                <w:rFonts w:cstheme="minorHAnsi"/>
              </w:rPr>
            </w:pPr>
            <w:r w:rsidRPr="001F3797">
              <w:rPr>
                <w:rFonts w:cstheme="minorHAnsi"/>
              </w:rPr>
              <w:t>Title</w:t>
            </w:r>
          </w:p>
        </w:tc>
        <w:tc>
          <w:tcPr>
            <w:tcW w:w="4059" w:type="pct"/>
          </w:tcPr>
          <w:p w14:paraId="0E54118D" w14:textId="602D531B" w:rsidR="005F440C" w:rsidRPr="001F3797" w:rsidRDefault="000B5B0E" w:rsidP="001851F2">
            <w:pPr>
              <w:rPr>
                <w:rFonts w:cstheme="minorHAnsi"/>
              </w:rPr>
            </w:pPr>
            <w:r w:rsidRPr="000B5B0E">
              <w:rPr>
                <w:rFonts w:cstheme="minorHAnsi"/>
              </w:rPr>
              <w:t>High Oral Morphine Equivalent volume of opioids in combination with other medicines known to increase the risk of harm</w:t>
            </w:r>
          </w:p>
        </w:tc>
      </w:tr>
      <w:tr w:rsidR="005F440C" w:rsidRPr="001F3797" w14:paraId="38028CE4" w14:textId="77777777" w:rsidTr="001851F2">
        <w:tc>
          <w:tcPr>
            <w:tcW w:w="941" w:type="pct"/>
          </w:tcPr>
          <w:p w14:paraId="7D46CCE0" w14:textId="77777777" w:rsidR="005F440C" w:rsidRPr="001F3797" w:rsidRDefault="005F440C" w:rsidP="001851F2">
            <w:pPr>
              <w:rPr>
                <w:rFonts w:cstheme="minorHAnsi"/>
              </w:rPr>
            </w:pPr>
            <w:r w:rsidRPr="001F3797">
              <w:rPr>
                <w:rFonts w:cstheme="minorHAnsi"/>
              </w:rPr>
              <w:t>Description</w:t>
            </w:r>
          </w:p>
        </w:tc>
        <w:tc>
          <w:tcPr>
            <w:tcW w:w="4059" w:type="pct"/>
          </w:tcPr>
          <w:p w14:paraId="202EA1D1" w14:textId="202AA33F" w:rsidR="005F440C" w:rsidRPr="001F3797" w:rsidRDefault="00FD3D1B" w:rsidP="001851F2">
            <w:pPr>
              <w:rPr>
                <w:rFonts w:cstheme="minorHAnsi"/>
              </w:rPr>
            </w:pPr>
            <w:r>
              <w:rPr>
                <w:rFonts w:cstheme="minorHAnsi"/>
              </w:rPr>
              <w:t xml:space="preserve">Prescription of high equivalent volume of opioids </w:t>
            </w:r>
            <w:r w:rsidRPr="000B5B0E">
              <w:rPr>
                <w:rFonts w:cstheme="minorHAnsi"/>
              </w:rPr>
              <w:t>in combination with other medicines known to increase the risk of harm</w:t>
            </w:r>
          </w:p>
        </w:tc>
      </w:tr>
      <w:tr w:rsidR="005F440C" w:rsidRPr="001F3797" w14:paraId="73EA9135" w14:textId="77777777" w:rsidTr="001851F2">
        <w:tc>
          <w:tcPr>
            <w:tcW w:w="941" w:type="pct"/>
          </w:tcPr>
          <w:p w14:paraId="54E3E8FC" w14:textId="77777777" w:rsidR="005F440C" w:rsidRPr="001F3797" w:rsidRDefault="005F440C" w:rsidP="001851F2">
            <w:pPr>
              <w:rPr>
                <w:rFonts w:cstheme="minorHAnsi"/>
              </w:rPr>
            </w:pPr>
            <w:r w:rsidRPr="001F3797">
              <w:rPr>
                <w:rFonts w:cstheme="minorHAnsi"/>
              </w:rPr>
              <w:t>Numerator</w:t>
            </w:r>
          </w:p>
        </w:tc>
        <w:tc>
          <w:tcPr>
            <w:tcW w:w="4059" w:type="pct"/>
          </w:tcPr>
          <w:p w14:paraId="6DC7FD0D" w14:textId="77777777" w:rsidR="009B17D1" w:rsidRDefault="009B17D1" w:rsidP="009B17D1">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28 day period (by age and gender, and duration group as described in comparator OP02) </w:t>
            </w:r>
          </w:p>
          <w:p w14:paraId="2C43C85F" w14:textId="77777777" w:rsidR="009B17D1"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total oral morphine equivalent of 120mg </w:t>
            </w:r>
            <w:r>
              <w:rPr>
                <w:rFonts w:cstheme="minorHAnsi"/>
              </w:rPr>
              <w:t xml:space="preserve">per day in the latest 28 day period </w:t>
            </w:r>
          </w:p>
          <w:p w14:paraId="3F6AA6AC" w14:textId="77777777" w:rsidR="009B17D1" w:rsidRPr="001F3797"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one or more </w:t>
            </w:r>
            <w:r>
              <w:rPr>
                <w:rFonts w:cstheme="minorHAnsi"/>
              </w:rPr>
              <w:t>prescription</w:t>
            </w:r>
            <w:r w:rsidRPr="001F3797">
              <w:rPr>
                <w:rFonts w:cstheme="minorHAnsi"/>
              </w:rPr>
              <w:t xml:space="preserve"> </w:t>
            </w:r>
            <w:r>
              <w:rPr>
                <w:rFonts w:cstheme="minorHAnsi"/>
              </w:rPr>
              <w:t xml:space="preserve">in the latest 28 day period from either of the following groups: Antidepressants, Benzodiazepines, </w:t>
            </w:r>
            <w:proofErr w:type="spellStart"/>
            <w:r>
              <w:rPr>
                <w:rFonts w:cstheme="minorHAnsi"/>
              </w:rPr>
              <w:t>Gabapentinoids</w:t>
            </w:r>
            <w:proofErr w:type="spellEnd"/>
            <w:r>
              <w:rPr>
                <w:rFonts w:cstheme="minorHAnsi"/>
              </w:rPr>
              <w:t xml:space="preserve"> and Z-Drugs</w:t>
            </w:r>
          </w:p>
          <w:p w14:paraId="5751B17C" w14:textId="77777777" w:rsidR="005F440C" w:rsidRPr="001F3797" w:rsidRDefault="005F440C" w:rsidP="001851F2">
            <w:pPr>
              <w:rPr>
                <w:rFonts w:cstheme="minorHAnsi"/>
              </w:rPr>
            </w:pPr>
          </w:p>
          <w:p w14:paraId="7412D462" w14:textId="77777777" w:rsidR="005F440C" w:rsidRPr="001F3797" w:rsidRDefault="005F440C" w:rsidP="001851F2">
            <w:pPr>
              <w:rPr>
                <w:rFonts w:cstheme="minorHAnsi"/>
              </w:rPr>
            </w:pPr>
          </w:p>
          <w:p w14:paraId="116ABADA" w14:textId="77777777" w:rsidR="005F440C" w:rsidRPr="001F3797" w:rsidRDefault="005F440C" w:rsidP="001851F2">
            <w:pPr>
              <w:rPr>
                <w:rFonts w:cstheme="minorHAnsi"/>
              </w:rPr>
            </w:pPr>
            <w:r w:rsidRPr="001F3797">
              <w:rPr>
                <w:rFonts w:cstheme="minorHAnsi"/>
              </w:rPr>
              <w:t>See appendix 1 section 2.3 for OME values, and sections 1,3,4,5 for other medicine classes.</w:t>
            </w:r>
          </w:p>
          <w:p w14:paraId="468EEB6D" w14:textId="77777777" w:rsidR="005F440C" w:rsidRPr="001F3797" w:rsidRDefault="005F440C" w:rsidP="001851F2">
            <w:pPr>
              <w:rPr>
                <w:rFonts w:cstheme="minorHAnsi"/>
              </w:rPr>
            </w:pPr>
          </w:p>
        </w:tc>
      </w:tr>
      <w:tr w:rsidR="005F440C" w:rsidRPr="001F3797" w14:paraId="0BA732AF" w14:textId="77777777" w:rsidTr="001851F2">
        <w:tc>
          <w:tcPr>
            <w:tcW w:w="941" w:type="pct"/>
          </w:tcPr>
          <w:p w14:paraId="08D18B94" w14:textId="77777777" w:rsidR="005F440C" w:rsidRPr="001F3797" w:rsidRDefault="005F440C" w:rsidP="001851F2">
            <w:pPr>
              <w:rPr>
                <w:rFonts w:cstheme="minorHAnsi"/>
              </w:rPr>
            </w:pPr>
            <w:r w:rsidRPr="001F3797">
              <w:rPr>
                <w:rFonts w:cstheme="minorHAnsi"/>
              </w:rPr>
              <w:t xml:space="preserve">Denominator </w:t>
            </w:r>
          </w:p>
        </w:tc>
        <w:tc>
          <w:tcPr>
            <w:tcW w:w="4059" w:type="pct"/>
          </w:tcPr>
          <w:p w14:paraId="69E460D7" w14:textId="50E9C380" w:rsidR="005F440C" w:rsidRPr="001F3797" w:rsidRDefault="00544A81" w:rsidP="001851F2">
            <w:pPr>
              <w:rPr>
                <w:rFonts w:cstheme="minorHAnsi"/>
              </w:rPr>
            </w:pPr>
            <w:r>
              <w:rPr>
                <w:rFonts w:cstheme="minorHAnsi"/>
              </w:rPr>
              <w:t>No denominator – number of patients only</w:t>
            </w:r>
          </w:p>
          <w:p w14:paraId="7963FB28" w14:textId="77777777" w:rsidR="005F440C" w:rsidRPr="001F3797" w:rsidRDefault="005F440C" w:rsidP="001851F2">
            <w:pPr>
              <w:rPr>
                <w:rFonts w:cstheme="minorHAnsi"/>
              </w:rPr>
            </w:pPr>
          </w:p>
        </w:tc>
      </w:tr>
      <w:tr w:rsidR="005F440C" w:rsidRPr="001F3797" w14:paraId="644EFB0F" w14:textId="77777777" w:rsidTr="001851F2">
        <w:trPr>
          <w:trHeight w:val="1266"/>
        </w:trPr>
        <w:tc>
          <w:tcPr>
            <w:tcW w:w="941" w:type="pct"/>
          </w:tcPr>
          <w:p w14:paraId="28500E83" w14:textId="77777777" w:rsidR="005F440C" w:rsidRPr="001F3797" w:rsidRDefault="005F440C" w:rsidP="001851F2">
            <w:pPr>
              <w:rPr>
                <w:rFonts w:cstheme="minorHAnsi"/>
              </w:rPr>
            </w:pPr>
            <w:r w:rsidRPr="001F3797">
              <w:rPr>
                <w:rFonts w:cstheme="minorHAnsi"/>
              </w:rPr>
              <w:t>Rationale /Comments</w:t>
            </w:r>
          </w:p>
        </w:tc>
        <w:tc>
          <w:tcPr>
            <w:tcW w:w="4059" w:type="pct"/>
          </w:tcPr>
          <w:p w14:paraId="22496E24" w14:textId="77777777" w:rsidR="005F440C" w:rsidRPr="001F3797" w:rsidRDefault="005F440C" w:rsidP="001851F2">
            <w:pPr>
              <w:rPr>
                <w:rFonts w:cstheme="minorHAnsi"/>
              </w:rPr>
            </w:pPr>
            <w:r w:rsidRPr="001F3797">
              <w:rPr>
                <w:rFonts w:cstheme="minorHAnsi"/>
              </w:rPr>
              <w:t>The MHRA has reminded health care professionals that opioids co -prescribed with benzodiazepines and benzodiazepine like drugs can produce additive CNS depressant effects, thereby increasing the risk of sedation, respiratory depression, coma and death. Healthcare professionals are advised to only co prescribe if there is no alternative and, if necessary, the lowest possible doses should be given and for the shortest duration</w:t>
            </w:r>
          </w:p>
          <w:p w14:paraId="7613178B" w14:textId="77777777" w:rsidR="005F440C" w:rsidRPr="001F3797" w:rsidRDefault="005F440C" w:rsidP="001851F2">
            <w:pPr>
              <w:rPr>
                <w:rFonts w:cstheme="minorHAnsi"/>
              </w:rPr>
            </w:pPr>
          </w:p>
          <w:p w14:paraId="557B1FBD" w14:textId="77777777" w:rsidR="005F440C" w:rsidRPr="001F3797" w:rsidRDefault="005F440C" w:rsidP="001851F2">
            <w:pPr>
              <w:rPr>
                <w:rFonts w:cstheme="minorHAnsi"/>
              </w:rPr>
            </w:pPr>
            <w:r w:rsidRPr="001F3797">
              <w:rPr>
                <w:rFonts w:cstheme="minorHAnsi"/>
              </w:rPr>
              <w:t xml:space="preserve">Specific combinations with Benzodiazepines and </w:t>
            </w:r>
            <w:proofErr w:type="spellStart"/>
            <w:r w:rsidRPr="001F3797">
              <w:rPr>
                <w:rFonts w:cstheme="minorHAnsi"/>
              </w:rPr>
              <w:t>Gabapentinoids</w:t>
            </w:r>
            <w:proofErr w:type="spellEnd"/>
            <w:r w:rsidRPr="001F3797">
              <w:rPr>
                <w:rFonts w:cstheme="minorHAnsi"/>
              </w:rPr>
              <w:t xml:space="preserve"> were raised by the working group – note similar comparators to these are already available in the Safer management of controlled drugs dashboard.</w:t>
            </w:r>
          </w:p>
          <w:p w14:paraId="6F7D7365" w14:textId="77777777" w:rsidR="005F440C" w:rsidRPr="001F3797" w:rsidRDefault="005F440C" w:rsidP="001851F2">
            <w:pPr>
              <w:rPr>
                <w:rFonts w:cstheme="minorHAnsi"/>
              </w:rPr>
            </w:pPr>
          </w:p>
          <w:p w14:paraId="3AC0CC73" w14:textId="77777777" w:rsidR="005F440C" w:rsidRPr="001F3797" w:rsidRDefault="005F440C" w:rsidP="001851F2">
            <w:pPr>
              <w:rPr>
                <w:rFonts w:cstheme="minorHAnsi"/>
              </w:rPr>
            </w:pPr>
            <w:r w:rsidRPr="001F3797">
              <w:rPr>
                <w:rFonts w:cstheme="minorHAnsi"/>
              </w:rPr>
              <w:t>In general information on the other combinations can be analysed find considered.</w:t>
            </w:r>
          </w:p>
          <w:p w14:paraId="11701AD7" w14:textId="77777777" w:rsidR="005F440C" w:rsidRPr="001F3797" w:rsidRDefault="005F440C" w:rsidP="001851F2">
            <w:pPr>
              <w:rPr>
                <w:rFonts w:cstheme="minorHAnsi"/>
              </w:rPr>
            </w:pPr>
            <w:r w:rsidRPr="001F3797">
              <w:rPr>
                <w:rFonts w:cstheme="minorHAnsi"/>
              </w:rPr>
              <w:t>Additional information by practice of number with distinct chemical substance count by class.</w:t>
            </w:r>
          </w:p>
          <w:p w14:paraId="14C27363" w14:textId="77777777" w:rsidR="005F440C" w:rsidRPr="001F3797" w:rsidRDefault="005F440C" w:rsidP="001851F2">
            <w:pPr>
              <w:rPr>
                <w:rFonts w:cstheme="minorHAnsi"/>
                <w:color w:val="FF0000"/>
              </w:rPr>
            </w:pPr>
          </w:p>
          <w:p w14:paraId="02D1692C" w14:textId="77777777" w:rsidR="005F440C" w:rsidRPr="00197015" w:rsidRDefault="005F440C"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36BC660C" w14:textId="77777777" w:rsidR="005F440C" w:rsidRPr="00197015" w:rsidRDefault="005F440C" w:rsidP="001851F2">
            <w:pPr>
              <w:rPr>
                <w:rFonts w:cstheme="minorHAnsi"/>
                <w:color w:val="000000" w:themeColor="text1"/>
              </w:rPr>
            </w:pPr>
          </w:p>
          <w:p w14:paraId="74A3A284" w14:textId="77777777" w:rsidR="005F440C" w:rsidRPr="00197015" w:rsidRDefault="005F440C"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449E8FB9" w14:textId="77777777" w:rsidR="005F440C" w:rsidRPr="00197015" w:rsidRDefault="0089156C" w:rsidP="001851F2">
            <w:pPr>
              <w:rPr>
                <w:rFonts w:cstheme="minorHAnsi"/>
                <w:color w:val="000000" w:themeColor="text1"/>
              </w:rPr>
            </w:pPr>
            <w:hyperlink r:id="rId17" w:history="1">
              <w:r w:rsidR="005F440C" w:rsidRPr="00197015">
                <w:rPr>
                  <w:rStyle w:val="Hyperlink"/>
                  <w:rFonts w:cstheme="minorHAnsi"/>
                  <w:color w:val="000000" w:themeColor="text1"/>
                </w:rPr>
                <w:t>https://www.who.int/news-room/fact-sheets/detail/opioid-overdose</w:t>
              </w:r>
            </w:hyperlink>
          </w:p>
          <w:p w14:paraId="11FC8A18" w14:textId="77777777" w:rsidR="005F440C" w:rsidRPr="00197015" w:rsidRDefault="005F440C" w:rsidP="001851F2">
            <w:pPr>
              <w:spacing w:after="96"/>
              <w:rPr>
                <w:rFonts w:ascii="Arial" w:hAnsi="Arial" w:cs="Arial"/>
                <w:color w:val="000000" w:themeColor="text1"/>
              </w:rPr>
            </w:pPr>
          </w:p>
          <w:p w14:paraId="204A850D" w14:textId="77777777" w:rsidR="005F440C" w:rsidRPr="00197015" w:rsidRDefault="005F440C"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5DEFE64" w14:textId="77777777" w:rsidR="005F440C" w:rsidRDefault="0089156C" w:rsidP="001851F2">
            <w:pPr>
              <w:spacing w:after="96"/>
              <w:rPr>
                <w:rFonts w:ascii="Arial" w:hAnsi="Arial" w:cs="Arial"/>
                <w:bCs w:val="0"/>
                <w:color w:val="1E1E1F"/>
                <w:sz w:val="27"/>
                <w:szCs w:val="27"/>
              </w:rPr>
            </w:pPr>
            <w:hyperlink r:id="rId18" w:history="1">
              <w:r w:rsidR="005F440C" w:rsidRPr="00197015">
                <w:rPr>
                  <w:rStyle w:val="Hyperlink"/>
                  <w:rFonts w:ascii="Arial" w:hAnsi="Arial" w:cs="Arial"/>
                  <w:color w:val="000000" w:themeColor="text1"/>
                </w:rPr>
                <w:t>https://www.fpm.ac.uk/opioids-aware</w:t>
              </w:r>
            </w:hyperlink>
          </w:p>
          <w:p w14:paraId="36D224C9" w14:textId="77777777" w:rsidR="005F440C" w:rsidRPr="001F3797" w:rsidRDefault="005F440C" w:rsidP="001851F2">
            <w:pPr>
              <w:rPr>
                <w:rFonts w:cstheme="minorHAnsi"/>
                <w:color w:val="FF0000"/>
              </w:rPr>
            </w:pPr>
          </w:p>
          <w:p w14:paraId="36DA006C" w14:textId="77777777" w:rsidR="005F440C" w:rsidRPr="001F3797" w:rsidRDefault="005F440C" w:rsidP="001851F2">
            <w:pPr>
              <w:rPr>
                <w:rFonts w:cstheme="minorHAnsi"/>
              </w:rPr>
            </w:pPr>
          </w:p>
        </w:tc>
      </w:tr>
    </w:tbl>
    <w:p w14:paraId="24020BCA" w14:textId="07C396CE" w:rsidR="00BD11B3" w:rsidRPr="00544A81" w:rsidRDefault="00BD11B3">
      <w:pPr>
        <w:rPr>
          <w:rFonts w:cstheme="minorHAnsi"/>
        </w:rPr>
      </w:pPr>
      <w:r w:rsidRPr="001F3797">
        <w:rPr>
          <w:rFonts w:cstheme="minorHAnsi"/>
        </w:rPr>
        <w:br w:type="page"/>
      </w:r>
    </w:p>
    <w:p w14:paraId="569DFB45" w14:textId="273F2EAD" w:rsidR="00304997" w:rsidRPr="00431E28" w:rsidRDefault="00544A81" w:rsidP="00ED1739">
      <w:pPr>
        <w:pStyle w:val="Heading2"/>
      </w:pPr>
      <w:bookmarkStart w:id="18" w:name="_Toc102729702"/>
      <w:r>
        <w:lastRenderedPageBreak/>
        <w:t xml:space="preserve">OP06 </w:t>
      </w:r>
      <w:r w:rsidR="00304997" w:rsidRPr="00431E28">
        <w:t>Multiple items of Morphine sulfate 10mg/5ml oral solution –</w:t>
      </w:r>
      <w:r>
        <w:t xml:space="preserve"> </w:t>
      </w:r>
      <w:r w:rsidR="00304997" w:rsidRPr="00431E28">
        <w:t>EPS</w:t>
      </w:r>
      <w:bookmarkEnd w:id="18"/>
    </w:p>
    <w:tbl>
      <w:tblPr>
        <w:tblStyle w:val="TableGrid"/>
        <w:tblW w:w="5000" w:type="pct"/>
        <w:tblLayout w:type="fixed"/>
        <w:tblLook w:val="04A0" w:firstRow="1" w:lastRow="0" w:firstColumn="1" w:lastColumn="0" w:noHBand="0" w:noVBand="1"/>
      </w:tblPr>
      <w:tblGrid>
        <w:gridCol w:w="1697"/>
        <w:gridCol w:w="7319"/>
      </w:tblGrid>
      <w:tr w:rsidR="00304997" w:rsidRPr="001F3797" w14:paraId="4A9C415F" w14:textId="77777777" w:rsidTr="00596C90">
        <w:tc>
          <w:tcPr>
            <w:tcW w:w="941" w:type="pct"/>
          </w:tcPr>
          <w:p w14:paraId="05BD77A9" w14:textId="77777777" w:rsidR="00304997" w:rsidRPr="001F3797" w:rsidRDefault="00304997" w:rsidP="00596C90">
            <w:pPr>
              <w:rPr>
                <w:rFonts w:cstheme="minorHAnsi"/>
              </w:rPr>
            </w:pPr>
            <w:r w:rsidRPr="001F3797">
              <w:rPr>
                <w:rFonts w:cstheme="minorHAnsi"/>
              </w:rPr>
              <w:t>Title</w:t>
            </w:r>
          </w:p>
        </w:tc>
        <w:tc>
          <w:tcPr>
            <w:tcW w:w="4059" w:type="pct"/>
          </w:tcPr>
          <w:p w14:paraId="50A44FF5" w14:textId="77777777" w:rsidR="00304997" w:rsidRPr="001F3797" w:rsidRDefault="00304997" w:rsidP="00596C90">
            <w:pPr>
              <w:rPr>
                <w:rFonts w:cstheme="minorHAnsi"/>
              </w:rPr>
            </w:pPr>
            <w:r w:rsidRPr="001F3797">
              <w:rPr>
                <w:rFonts w:cstheme="minorHAnsi"/>
              </w:rPr>
              <w:t>Multiple prescriptions for Morphine sulfate 10mg/5ml oral solution</w:t>
            </w:r>
          </w:p>
        </w:tc>
      </w:tr>
      <w:tr w:rsidR="00304997" w:rsidRPr="001F3797" w14:paraId="7E6CF820" w14:textId="77777777" w:rsidTr="00596C90">
        <w:tc>
          <w:tcPr>
            <w:tcW w:w="941" w:type="pct"/>
          </w:tcPr>
          <w:p w14:paraId="6784AB68" w14:textId="77777777" w:rsidR="00304997" w:rsidRPr="001F3797" w:rsidRDefault="00304997" w:rsidP="00596C90">
            <w:pPr>
              <w:rPr>
                <w:rFonts w:cstheme="minorHAnsi"/>
              </w:rPr>
            </w:pPr>
            <w:r w:rsidRPr="001F3797">
              <w:rPr>
                <w:rFonts w:cstheme="minorHAnsi"/>
              </w:rPr>
              <w:t>Description</w:t>
            </w:r>
          </w:p>
        </w:tc>
        <w:tc>
          <w:tcPr>
            <w:tcW w:w="4059" w:type="pct"/>
          </w:tcPr>
          <w:p w14:paraId="67B0A313" w14:textId="77777777" w:rsidR="00304997" w:rsidRPr="001F3797" w:rsidRDefault="00304997" w:rsidP="00596C90">
            <w:pPr>
              <w:rPr>
                <w:rFonts w:cstheme="minorHAnsi"/>
              </w:rPr>
            </w:pPr>
            <w:r w:rsidRPr="001F3797">
              <w:rPr>
                <w:rFonts w:cstheme="minorHAnsi"/>
              </w:rPr>
              <w:t xml:space="preserve">Patients prescribed Morphine sulfate 10mg/5ml oral solution by number of items: </w:t>
            </w:r>
          </w:p>
        </w:tc>
      </w:tr>
      <w:tr w:rsidR="00304997" w:rsidRPr="001F3797" w14:paraId="36EAE811" w14:textId="77777777" w:rsidTr="00596C90">
        <w:tc>
          <w:tcPr>
            <w:tcW w:w="941" w:type="pct"/>
          </w:tcPr>
          <w:p w14:paraId="3577D6DE" w14:textId="77777777" w:rsidR="00304997" w:rsidRPr="001F3797" w:rsidRDefault="00304997" w:rsidP="00596C90">
            <w:pPr>
              <w:rPr>
                <w:rFonts w:cstheme="minorHAnsi"/>
              </w:rPr>
            </w:pPr>
            <w:r w:rsidRPr="001F3797">
              <w:rPr>
                <w:rFonts w:cstheme="minorHAnsi"/>
              </w:rPr>
              <w:t>Numerator</w:t>
            </w:r>
          </w:p>
        </w:tc>
        <w:tc>
          <w:tcPr>
            <w:tcW w:w="4059" w:type="pct"/>
          </w:tcPr>
          <w:p w14:paraId="517AC436" w14:textId="742D75DE" w:rsidR="00304997" w:rsidRPr="001F3797" w:rsidRDefault="00304997" w:rsidP="00596C90">
            <w:pPr>
              <w:rPr>
                <w:rFonts w:cstheme="minorHAnsi"/>
              </w:rPr>
            </w:pPr>
            <w:r w:rsidRPr="001F3797">
              <w:rPr>
                <w:rFonts w:cstheme="minorHAnsi"/>
              </w:rPr>
              <w:t xml:space="preserve">Number of patients (all ages, by age group, by IMD, by LSOA) prescribed two or more items of Morphine sulfate 10mg/5ml dispensed in the most recent </w:t>
            </w:r>
            <w:r w:rsidR="00544A81">
              <w:rPr>
                <w:rFonts w:cstheme="minorHAnsi"/>
              </w:rPr>
              <w:t>28 day period</w:t>
            </w:r>
            <w:r w:rsidRPr="001F3797">
              <w:rPr>
                <w:rFonts w:cstheme="minorHAnsi"/>
              </w:rPr>
              <w:t xml:space="preserve"> </w:t>
            </w:r>
          </w:p>
          <w:p w14:paraId="6DC622FB" w14:textId="77777777" w:rsidR="00304997" w:rsidRPr="001F3797" w:rsidRDefault="00304997" w:rsidP="00596C90">
            <w:pPr>
              <w:rPr>
                <w:rFonts w:cstheme="minorHAnsi"/>
              </w:rPr>
            </w:pPr>
          </w:p>
          <w:p w14:paraId="6538EF71" w14:textId="167298B8" w:rsidR="00304997" w:rsidRPr="001F3797" w:rsidRDefault="00544A81" w:rsidP="00596C90">
            <w:pPr>
              <w:rPr>
                <w:rFonts w:cstheme="minorHAnsi"/>
              </w:rPr>
            </w:pPr>
            <w:r>
              <w:rPr>
                <w:rFonts w:cstheme="minorHAnsi"/>
              </w:rPr>
              <w:t xml:space="preserve">Includes all presentations classified under the Generic BNF Code </w:t>
            </w:r>
            <w:r w:rsidR="00304997" w:rsidRPr="001F3797">
              <w:rPr>
                <w:rFonts w:cstheme="minorHAnsi"/>
              </w:rPr>
              <w:t>0407020Q0AACNCN</w:t>
            </w:r>
          </w:p>
          <w:p w14:paraId="5446B06B" w14:textId="77777777" w:rsidR="00304997" w:rsidRPr="001F3797" w:rsidRDefault="00304997" w:rsidP="00596C90">
            <w:pPr>
              <w:rPr>
                <w:rFonts w:cstheme="minorHAnsi"/>
              </w:rPr>
            </w:pPr>
          </w:p>
        </w:tc>
      </w:tr>
      <w:tr w:rsidR="00304997" w:rsidRPr="001F3797" w14:paraId="3D58D318" w14:textId="77777777" w:rsidTr="00596C90">
        <w:tc>
          <w:tcPr>
            <w:tcW w:w="941" w:type="pct"/>
          </w:tcPr>
          <w:p w14:paraId="6CD59CEE"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59F23E9C"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4A1A7AF9" w14:textId="77777777" w:rsidTr="00596C90">
        <w:trPr>
          <w:trHeight w:val="1266"/>
        </w:trPr>
        <w:tc>
          <w:tcPr>
            <w:tcW w:w="941" w:type="pct"/>
          </w:tcPr>
          <w:p w14:paraId="13A71331" w14:textId="77777777" w:rsidR="00304997" w:rsidRPr="001F3797" w:rsidRDefault="00304997" w:rsidP="00596C90">
            <w:pPr>
              <w:rPr>
                <w:rFonts w:cstheme="minorHAnsi"/>
              </w:rPr>
            </w:pPr>
            <w:r w:rsidRPr="001F3797">
              <w:rPr>
                <w:rFonts w:cstheme="minorHAnsi"/>
              </w:rPr>
              <w:t>Rationale /Comments</w:t>
            </w:r>
          </w:p>
        </w:tc>
        <w:tc>
          <w:tcPr>
            <w:tcW w:w="4059" w:type="pct"/>
          </w:tcPr>
          <w:p w14:paraId="79F3FEAF"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can be a useful medicine to manage breakthrough pain. However, when used long term for patients with chronic pain, this can cause problems. A prescription for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207E70DE"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presents. </w:t>
            </w:r>
          </w:p>
          <w:p w14:paraId="2DBCC0B4"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(200mg morphine) can be a fatal dose – especially if they are already taking other CNS depressant medicines like diazepam, zopiclone or SSRIs. </w:t>
            </w:r>
          </w:p>
          <w:p w14:paraId="3D397AE1"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on repeat or prescribing quantities of 300ml can make it easy for patients to escalate their dose. 100ml as an acute script should be enough for occasional use. </w:t>
            </w:r>
          </w:p>
          <w:p w14:paraId="612BDA22"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bottle, and may unintentionally be taking large doses. If opioids are needed for occasional pain, would a small quantity of immediate release morphine tablets for breakthrough/occasional pain be safer, e.g.,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6A5C46BB"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suspicious of any prescription requests, please inform the local NHS England CD Accountable Officer.</w:t>
            </w:r>
          </w:p>
          <w:p w14:paraId="2BF7523B" w14:textId="711261DA" w:rsidR="00A1262E" w:rsidRPr="001F3797" w:rsidRDefault="00A1262E" w:rsidP="00A1262E">
            <w:pPr>
              <w:rPr>
                <w:rFonts w:cstheme="minorHAnsi"/>
              </w:rPr>
            </w:pPr>
            <w:r w:rsidRPr="00F23844">
              <w:rPr>
                <w:rFonts w:cstheme="minorHAnsi"/>
                <w:color w:val="000000" w:themeColor="text1"/>
              </w:rPr>
              <w:t>Ref https://www.england.nhs.uk/south/wp-content/uploads/sites/6/2018/06/nhse-cd-newsletter-ssw-aug16B.pdf</w:t>
            </w:r>
          </w:p>
        </w:tc>
      </w:tr>
    </w:tbl>
    <w:p w14:paraId="74EC7E9E" w14:textId="77777777" w:rsidR="00304997" w:rsidRPr="00431E28" w:rsidRDefault="00304997" w:rsidP="00304997">
      <w:pPr>
        <w:rPr>
          <w:rFonts w:eastAsiaTheme="majorEastAsia" w:cstheme="minorHAnsi"/>
          <w:color w:val="0070C0"/>
          <w:sz w:val="24"/>
          <w:szCs w:val="24"/>
        </w:rPr>
      </w:pPr>
    </w:p>
    <w:p w14:paraId="2FC25D46" w14:textId="0477637F" w:rsidR="00304997" w:rsidRPr="00431E28" w:rsidRDefault="00544A81" w:rsidP="00ED1739">
      <w:pPr>
        <w:pStyle w:val="Heading2"/>
      </w:pPr>
      <w:bookmarkStart w:id="19" w:name="_Toc102729703"/>
      <w:r>
        <w:lastRenderedPageBreak/>
        <w:t xml:space="preserve">OP07 </w:t>
      </w:r>
      <w:r w:rsidR="00304997" w:rsidRPr="00431E28">
        <w:t>High volume of Morphine sulfate 10mg/5ml oral solution –</w:t>
      </w:r>
      <w:r>
        <w:t xml:space="preserve"> </w:t>
      </w:r>
      <w:r w:rsidR="00304997" w:rsidRPr="00431E28">
        <w:t>EPS</w:t>
      </w:r>
      <w:bookmarkEnd w:id="19"/>
    </w:p>
    <w:tbl>
      <w:tblPr>
        <w:tblStyle w:val="TableGrid"/>
        <w:tblW w:w="5000" w:type="pct"/>
        <w:tblLayout w:type="fixed"/>
        <w:tblLook w:val="04A0" w:firstRow="1" w:lastRow="0" w:firstColumn="1" w:lastColumn="0" w:noHBand="0" w:noVBand="1"/>
      </w:tblPr>
      <w:tblGrid>
        <w:gridCol w:w="1697"/>
        <w:gridCol w:w="7319"/>
      </w:tblGrid>
      <w:tr w:rsidR="00304997" w:rsidRPr="001F3797" w14:paraId="46A8DB13" w14:textId="77777777" w:rsidTr="00596C90">
        <w:tc>
          <w:tcPr>
            <w:tcW w:w="941" w:type="pct"/>
          </w:tcPr>
          <w:p w14:paraId="4E81133B" w14:textId="77777777" w:rsidR="00304997" w:rsidRPr="001F3797" w:rsidRDefault="00304997" w:rsidP="00596C90">
            <w:pPr>
              <w:rPr>
                <w:rFonts w:cstheme="minorHAnsi"/>
              </w:rPr>
            </w:pPr>
            <w:r w:rsidRPr="001F3797">
              <w:rPr>
                <w:rFonts w:cstheme="minorHAnsi"/>
              </w:rPr>
              <w:t>Title</w:t>
            </w:r>
          </w:p>
        </w:tc>
        <w:tc>
          <w:tcPr>
            <w:tcW w:w="4059" w:type="pct"/>
          </w:tcPr>
          <w:p w14:paraId="48CB9F3E" w14:textId="77777777" w:rsidR="00304997" w:rsidRPr="001F3797" w:rsidRDefault="00304997" w:rsidP="00596C90">
            <w:pPr>
              <w:rPr>
                <w:rFonts w:cstheme="minorHAnsi"/>
              </w:rPr>
            </w:pPr>
            <w:r w:rsidRPr="001F3797">
              <w:rPr>
                <w:rFonts w:cstheme="minorHAnsi"/>
              </w:rPr>
              <w:t>High total volume of prescriptions for Morphine sulfate 10mg/5ml oral solution</w:t>
            </w:r>
          </w:p>
        </w:tc>
      </w:tr>
      <w:tr w:rsidR="00304997" w:rsidRPr="001F3797" w14:paraId="5865A41B" w14:textId="77777777" w:rsidTr="00596C90">
        <w:tc>
          <w:tcPr>
            <w:tcW w:w="941" w:type="pct"/>
          </w:tcPr>
          <w:p w14:paraId="56E941AA" w14:textId="77777777" w:rsidR="00304997" w:rsidRPr="001F3797" w:rsidRDefault="00304997" w:rsidP="00596C90">
            <w:pPr>
              <w:rPr>
                <w:rFonts w:cstheme="minorHAnsi"/>
              </w:rPr>
            </w:pPr>
            <w:r w:rsidRPr="001F3797">
              <w:rPr>
                <w:rFonts w:cstheme="minorHAnsi"/>
              </w:rPr>
              <w:t>Description</w:t>
            </w:r>
          </w:p>
        </w:tc>
        <w:tc>
          <w:tcPr>
            <w:tcW w:w="4059" w:type="pct"/>
          </w:tcPr>
          <w:p w14:paraId="4D8907D3" w14:textId="77777777" w:rsidR="00304997" w:rsidRPr="001F3797" w:rsidRDefault="00304997" w:rsidP="00596C90">
            <w:pPr>
              <w:rPr>
                <w:rFonts w:cstheme="minorHAnsi"/>
              </w:rPr>
            </w:pPr>
            <w:r w:rsidRPr="001F3797">
              <w:rPr>
                <w:rFonts w:cstheme="minorHAnsi"/>
              </w:rPr>
              <w:t>Patients prescribed items of Morphine sulfate 10mg/5ml oral solution by total monthly quantity: GENERIC_BNF_CODE of 0407020Q0AACNCN.</w:t>
            </w:r>
          </w:p>
          <w:p w14:paraId="1CFE072A" w14:textId="77777777" w:rsidR="00304997" w:rsidRPr="001F3797" w:rsidRDefault="00304997" w:rsidP="00596C90">
            <w:pPr>
              <w:rPr>
                <w:rFonts w:cstheme="minorHAnsi"/>
              </w:rPr>
            </w:pPr>
          </w:p>
        </w:tc>
      </w:tr>
      <w:tr w:rsidR="00304997" w:rsidRPr="001F3797" w14:paraId="2AE6871F" w14:textId="77777777" w:rsidTr="00596C90">
        <w:tc>
          <w:tcPr>
            <w:tcW w:w="941" w:type="pct"/>
          </w:tcPr>
          <w:p w14:paraId="4E559572" w14:textId="77777777" w:rsidR="00304997" w:rsidRPr="001F3797" w:rsidRDefault="00304997" w:rsidP="00596C90">
            <w:pPr>
              <w:rPr>
                <w:rFonts w:cstheme="minorHAnsi"/>
              </w:rPr>
            </w:pPr>
            <w:r w:rsidRPr="001F3797">
              <w:rPr>
                <w:rFonts w:cstheme="minorHAnsi"/>
              </w:rPr>
              <w:t>Numerator</w:t>
            </w:r>
          </w:p>
        </w:tc>
        <w:tc>
          <w:tcPr>
            <w:tcW w:w="4059" w:type="pct"/>
          </w:tcPr>
          <w:p w14:paraId="445316FF" w14:textId="325CAE40" w:rsidR="00304997" w:rsidRPr="001F3797" w:rsidRDefault="00304997" w:rsidP="00596C90">
            <w:pPr>
              <w:rPr>
                <w:rFonts w:cstheme="minorHAnsi"/>
              </w:rPr>
            </w:pPr>
            <w:r w:rsidRPr="001F3797">
              <w:rPr>
                <w:rFonts w:cstheme="minorHAnsi"/>
              </w:rPr>
              <w:t xml:space="preserve">Number of patients (all ages, by age group, by IMD, by LSOA) prescribed 601ml or more of Morphine sulfate 10mg/5ml dispensed in the most recent </w:t>
            </w:r>
            <w:r w:rsidR="00544A81">
              <w:rPr>
                <w:rFonts w:cstheme="minorHAnsi"/>
              </w:rPr>
              <w:t>28 day period</w:t>
            </w:r>
          </w:p>
          <w:p w14:paraId="399EB113" w14:textId="19448038" w:rsidR="00B65078" w:rsidRPr="001F3797" w:rsidRDefault="00B65078" w:rsidP="00596C90">
            <w:pPr>
              <w:rPr>
                <w:rFonts w:cstheme="minorHAnsi"/>
              </w:rPr>
            </w:pPr>
          </w:p>
          <w:p w14:paraId="2044ABBD" w14:textId="77777777" w:rsidR="00544A81" w:rsidRPr="001F3797" w:rsidRDefault="00544A81" w:rsidP="00544A81">
            <w:pPr>
              <w:rPr>
                <w:rFonts w:cstheme="minorHAnsi"/>
              </w:rPr>
            </w:pPr>
            <w:r>
              <w:rPr>
                <w:rFonts w:cstheme="minorHAnsi"/>
              </w:rPr>
              <w:t xml:space="preserve">Includes all presentations classified under the Generic BNF Code </w:t>
            </w:r>
            <w:r w:rsidRPr="001F3797">
              <w:rPr>
                <w:rFonts w:cstheme="minorHAnsi"/>
              </w:rPr>
              <w:t>0407020Q0AACNCN</w:t>
            </w:r>
          </w:p>
          <w:p w14:paraId="784C8711" w14:textId="77777777" w:rsidR="00304997" w:rsidRPr="001F3797" w:rsidRDefault="00304997" w:rsidP="00596C90">
            <w:pPr>
              <w:rPr>
                <w:rFonts w:cstheme="minorHAnsi"/>
              </w:rPr>
            </w:pPr>
          </w:p>
        </w:tc>
      </w:tr>
      <w:tr w:rsidR="00304997" w:rsidRPr="001F3797" w14:paraId="34C1D047" w14:textId="77777777" w:rsidTr="00596C90">
        <w:tc>
          <w:tcPr>
            <w:tcW w:w="941" w:type="pct"/>
          </w:tcPr>
          <w:p w14:paraId="68DA721F"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1F590281"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78EC4F78" w14:textId="77777777" w:rsidTr="00596C90">
        <w:trPr>
          <w:trHeight w:val="1266"/>
        </w:trPr>
        <w:tc>
          <w:tcPr>
            <w:tcW w:w="941" w:type="pct"/>
          </w:tcPr>
          <w:p w14:paraId="0A5FFD3A" w14:textId="77777777" w:rsidR="00304997" w:rsidRPr="001F3797" w:rsidRDefault="00304997" w:rsidP="00596C90">
            <w:pPr>
              <w:rPr>
                <w:rFonts w:cstheme="minorHAnsi"/>
              </w:rPr>
            </w:pPr>
            <w:r w:rsidRPr="001F3797">
              <w:rPr>
                <w:rFonts w:cstheme="minorHAnsi"/>
              </w:rPr>
              <w:t>Rationale /Comments</w:t>
            </w:r>
          </w:p>
        </w:tc>
        <w:tc>
          <w:tcPr>
            <w:tcW w:w="4059" w:type="pct"/>
          </w:tcPr>
          <w:p w14:paraId="64F14503" w14:textId="046015C0" w:rsidR="00304997" w:rsidRPr="001F3797" w:rsidRDefault="00304997" w:rsidP="00596C90">
            <w:pPr>
              <w:rPr>
                <w:rFonts w:cstheme="minorHAnsi"/>
                <w:color w:val="FF0000"/>
              </w:rPr>
            </w:pPr>
            <w:r w:rsidRPr="001F3797">
              <w:rPr>
                <w:rFonts w:cstheme="minorHAnsi"/>
              </w:rPr>
              <w:t>Additional information presented by practice giving the number of patients prescribed total</w:t>
            </w:r>
            <w:r w:rsidRPr="00431E28">
              <w:rPr>
                <w:rFonts w:cstheme="minorHAnsi"/>
                <w:color w:val="333333"/>
                <w:shd w:val="clear" w:color="auto" w:fill="FFFFFF"/>
              </w:rPr>
              <w:t xml:space="preserve"> quantity </w:t>
            </w:r>
            <w:r w:rsidRPr="001F3797">
              <w:rPr>
                <w:rFonts w:cstheme="minorHAnsi"/>
              </w:rPr>
              <w:t>of Morphine sulfate 10mg/5ml oral solution</w:t>
            </w:r>
            <w:r w:rsidRPr="00431E28">
              <w:rPr>
                <w:rFonts w:cstheme="minorHAnsi"/>
                <w:color w:val="333333"/>
                <w:shd w:val="clear" w:color="auto" w:fill="FFFFFF"/>
              </w:rPr>
              <w:t xml:space="preserve"> in the following ranges 1-300, 301-600, 601-1000, 1001 or more </w:t>
            </w:r>
            <w:r w:rsidRPr="001F3797">
              <w:rPr>
                <w:rFonts w:cstheme="minorHAnsi"/>
              </w:rPr>
              <w:t>within the reporting month.</w:t>
            </w:r>
          </w:p>
          <w:p w14:paraId="5840E74B"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can be a useful medicine to manage breakthrough pain. However, when used long term for patients with chronic pain, this can cause problems. A prescription for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being equivalent to 60mg morphine daily, and co-codamol 30/500 2 </w:t>
            </w:r>
            <w:proofErr w:type="spellStart"/>
            <w:r w:rsidRPr="001F3797">
              <w:rPr>
                <w:rFonts w:asciiTheme="minorHAnsi" w:hAnsiTheme="minorHAnsi" w:cstheme="minorHAnsi"/>
                <w:sz w:val="20"/>
                <w:szCs w:val="20"/>
              </w:rPr>
              <w:t>qds</w:t>
            </w:r>
            <w:proofErr w:type="spellEnd"/>
            <w:r w:rsidRPr="001F3797">
              <w:rPr>
                <w:rFonts w:asciiTheme="minorHAnsi" w:hAnsiTheme="minorHAnsi" w:cstheme="minorHAnsi"/>
                <w:sz w:val="20"/>
                <w:szCs w:val="20"/>
              </w:rPr>
              <w:t xml:space="preserve"> equivalent to 24mg morphine daily. </w:t>
            </w:r>
          </w:p>
          <w:p w14:paraId="4CF5FFC3"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containing the same amount of morphine as 60 </w:t>
            </w:r>
            <w:proofErr w:type="spellStart"/>
            <w:r w:rsidRPr="001F3797">
              <w:rPr>
                <w:rFonts w:asciiTheme="minorHAnsi" w:hAnsiTheme="minorHAnsi" w:cstheme="minorHAnsi"/>
                <w:sz w:val="20"/>
                <w:szCs w:val="20"/>
              </w:rPr>
              <w:t>Zomorph</w:t>
            </w:r>
            <w:proofErr w:type="spellEnd"/>
            <w:r w:rsidRPr="001F3797">
              <w:rPr>
                <w:rFonts w:asciiTheme="minorHAnsi" w:hAnsiTheme="minorHAnsi" w:cstheme="minorHAnsi"/>
                <w:sz w:val="20"/>
                <w:szCs w:val="20"/>
              </w:rPr>
              <w:t xml:space="preserve">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presents. </w:t>
            </w:r>
          </w:p>
          <w:p w14:paraId="1461BBAD"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is a risky analgesic option for patients with a history of mental illness, self-harm, or personality disorder. For an opioid </w:t>
            </w:r>
            <w:proofErr w:type="spellStart"/>
            <w:r w:rsidRPr="001F3797">
              <w:rPr>
                <w:rFonts w:asciiTheme="minorHAnsi" w:hAnsiTheme="minorHAnsi" w:cstheme="minorHAnsi"/>
                <w:sz w:val="20"/>
                <w:szCs w:val="20"/>
              </w:rPr>
              <w:t>naïve</w:t>
            </w:r>
            <w:proofErr w:type="spellEnd"/>
            <w:r w:rsidRPr="001F3797">
              <w:rPr>
                <w:rFonts w:asciiTheme="minorHAnsi" w:hAnsiTheme="minorHAnsi" w:cstheme="minorHAnsi"/>
                <w:sz w:val="20"/>
                <w:szCs w:val="20"/>
              </w:rPr>
              <w:t xml:space="preserve"> patient, 100ml of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10 mg/5 mL oral solution (200mg morphine) can be a fatal dose – especially if they are already taking other CNS depressant medicines like diazepam, zopiclone or SSRIs. </w:t>
            </w:r>
          </w:p>
          <w:p w14:paraId="04699B8A"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oral solution on repeat or prescribing quantities of 300ml can make it easy for patients to escalate their dose. 100ml as an acute script should be enough for occasional use. </w:t>
            </w:r>
          </w:p>
          <w:p w14:paraId="6280BFBE"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bottle, and may unintentionally be taking large doses. If opioids are needed for occasional pain, would a small quantity of immediate release morphine tablets for breakthrough/occasional pain be safer, e.g., Morphine </w:t>
            </w:r>
            <w:proofErr w:type="spellStart"/>
            <w:r w:rsidRPr="001F3797">
              <w:rPr>
                <w:rFonts w:asciiTheme="minorHAnsi" w:hAnsiTheme="minorHAnsi" w:cstheme="minorHAnsi"/>
                <w:sz w:val="20"/>
                <w:szCs w:val="20"/>
              </w:rPr>
              <w:t>sulfate</w:t>
            </w:r>
            <w:proofErr w:type="spellEnd"/>
            <w:r w:rsidRPr="001F3797">
              <w:rPr>
                <w:rFonts w:asciiTheme="minorHAnsi" w:hAnsiTheme="minorHAnsi" w:cstheme="minorHAnsi"/>
                <w:sz w:val="20"/>
                <w:szCs w:val="20"/>
              </w:rPr>
              <w:t xml:space="preserve"> tablets such as </w:t>
            </w:r>
            <w:proofErr w:type="spellStart"/>
            <w:r w:rsidRPr="001F3797">
              <w:rPr>
                <w:rFonts w:asciiTheme="minorHAnsi" w:hAnsiTheme="minorHAnsi" w:cstheme="minorHAnsi"/>
                <w:sz w:val="20"/>
                <w:szCs w:val="20"/>
              </w:rPr>
              <w:t>Sevredol</w:t>
            </w:r>
            <w:proofErr w:type="spellEnd"/>
            <w:r w:rsidRPr="001F3797">
              <w:rPr>
                <w:rFonts w:asciiTheme="minorHAnsi" w:hAnsiTheme="minorHAnsi" w:cstheme="minorHAnsi"/>
                <w:sz w:val="20"/>
                <w:szCs w:val="20"/>
              </w:rPr>
              <w:t xml:space="preserve">? </w:t>
            </w:r>
          </w:p>
          <w:p w14:paraId="0048C839"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w:t>
            </w:r>
            <w:r w:rsidRPr="001F3797">
              <w:rPr>
                <w:rFonts w:asciiTheme="minorHAnsi" w:hAnsiTheme="minorHAnsi" w:cstheme="minorHAnsi"/>
                <w:sz w:val="20"/>
                <w:szCs w:val="20"/>
              </w:rPr>
              <w:lastRenderedPageBreak/>
              <w:t>suspicious of any prescription requests, please inform the local NHS England CD Accountable Officer.</w:t>
            </w:r>
          </w:p>
          <w:p w14:paraId="23A7C90E" w14:textId="44266BC6" w:rsidR="00304997" w:rsidRDefault="00A1262E" w:rsidP="00A1262E">
            <w:pPr>
              <w:rPr>
                <w:rFonts w:cstheme="minorHAnsi"/>
                <w:color w:val="FF0000"/>
              </w:rPr>
            </w:pPr>
            <w:r w:rsidRPr="00F23844">
              <w:rPr>
                <w:rFonts w:cstheme="minorHAnsi"/>
                <w:color w:val="000000" w:themeColor="text1"/>
              </w:rPr>
              <w:t>Ref https://www.england.nhs.uk/south/wp-content/uploads/sites/6/2018/06/nhse-cd-newsletter-ssw-aug16B.pdf</w:t>
            </w:r>
            <w:r w:rsidRPr="001F3797" w:rsidDel="00A1262E">
              <w:rPr>
                <w:rFonts w:cstheme="minorHAnsi"/>
                <w:color w:val="FF0000"/>
              </w:rPr>
              <w:t xml:space="preserve"> </w:t>
            </w:r>
          </w:p>
          <w:p w14:paraId="58E97F05" w14:textId="7CA142B4" w:rsidR="00845B0A" w:rsidRDefault="00845B0A" w:rsidP="00304997">
            <w:pPr>
              <w:rPr>
                <w:rFonts w:cstheme="minorHAnsi"/>
                <w:color w:val="FF0000"/>
              </w:rPr>
            </w:pPr>
          </w:p>
          <w:p w14:paraId="4834C4E2" w14:textId="77777777" w:rsidR="00845B0A" w:rsidRPr="00197015" w:rsidRDefault="00845B0A" w:rsidP="00845B0A">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2B71E74C" w14:textId="77777777" w:rsidR="00845B0A" w:rsidRPr="00197015" w:rsidRDefault="00845B0A" w:rsidP="00845B0A">
            <w:pPr>
              <w:rPr>
                <w:rFonts w:cstheme="minorHAnsi"/>
                <w:color w:val="000000" w:themeColor="text1"/>
              </w:rPr>
            </w:pPr>
          </w:p>
          <w:p w14:paraId="4BC3163E" w14:textId="77777777" w:rsidR="00845B0A" w:rsidRPr="00197015" w:rsidRDefault="00845B0A" w:rsidP="00845B0A">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163914E1" w14:textId="77777777" w:rsidR="00845B0A" w:rsidRPr="00197015" w:rsidRDefault="0089156C" w:rsidP="00845B0A">
            <w:pPr>
              <w:rPr>
                <w:rFonts w:cstheme="minorHAnsi"/>
                <w:color w:val="000000" w:themeColor="text1"/>
              </w:rPr>
            </w:pPr>
            <w:hyperlink r:id="rId19" w:history="1">
              <w:r w:rsidR="00845B0A" w:rsidRPr="00197015">
                <w:rPr>
                  <w:rStyle w:val="Hyperlink"/>
                  <w:rFonts w:cstheme="minorHAnsi"/>
                  <w:color w:val="000000" w:themeColor="text1"/>
                </w:rPr>
                <w:t>https://www.who.int/news-room/fact-sheets/detail/opioid-overdose</w:t>
              </w:r>
            </w:hyperlink>
          </w:p>
          <w:p w14:paraId="26E2B2BD" w14:textId="77777777" w:rsidR="00845B0A" w:rsidRPr="00197015" w:rsidRDefault="00845B0A" w:rsidP="00845B0A">
            <w:pPr>
              <w:spacing w:after="96"/>
              <w:rPr>
                <w:rFonts w:ascii="Arial" w:hAnsi="Arial" w:cs="Arial"/>
                <w:color w:val="000000" w:themeColor="text1"/>
              </w:rPr>
            </w:pPr>
          </w:p>
          <w:p w14:paraId="61EFBC92" w14:textId="77777777" w:rsidR="00845B0A" w:rsidRPr="00197015" w:rsidRDefault="00845B0A" w:rsidP="00845B0A">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45222AEB" w14:textId="77777777" w:rsidR="00845B0A" w:rsidRPr="00197015" w:rsidRDefault="0089156C" w:rsidP="00845B0A">
            <w:pPr>
              <w:spacing w:after="96"/>
              <w:rPr>
                <w:rFonts w:ascii="Arial" w:hAnsi="Arial" w:cs="Arial"/>
                <w:color w:val="000000" w:themeColor="text1"/>
              </w:rPr>
            </w:pPr>
            <w:hyperlink r:id="rId20" w:history="1">
              <w:r w:rsidR="00845B0A" w:rsidRPr="00197015">
                <w:rPr>
                  <w:rStyle w:val="Hyperlink"/>
                  <w:rFonts w:ascii="Arial" w:hAnsi="Arial" w:cs="Arial"/>
                  <w:color w:val="000000" w:themeColor="text1"/>
                </w:rPr>
                <w:t>https://www.fpm.ac.uk/opioids-aware</w:t>
              </w:r>
            </w:hyperlink>
          </w:p>
          <w:p w14:paraId="4AD55934" w14:textId="77777777" w:rsidR="00845B0A" w:rsidRDefault="00845B0A" w:rsidP="00845B0A">
            <w:pPr>
              <w:spacing w:after="96"/>
              <w:rPr>
                <w:rFonts w:ascii="Arial" w:hAnsi="Arial" w:cs="Arial"/>
                <w:bCs w:val="0"/>
                <w:color w:val="1E1E1F"/>
                <w:sz w:val="27"/>
                <w:szCs w:val="27"/>
              </w:rPr>
            </w:pPr>
          </w:p>
          <w:p w14:paraId="5188E67B" w14:textId="77777777" w:rsidR="00845B0A" w:rsidRPr="001F3797" w:rsidRDefault="00845B0A" w:rsidP="00304997">
            <w:pPr>
              <w:rPr>
                <w:rFonts w:cstheme="minorHAnsi"/>
                <w:color w:val="FF0000"/>
              </w:rPr>
            </w:pPr>
          </w:p>
          <w:p w14:paraId="47E36025" w14:textId="77777777" w:rsidR="00304997" w:rsidRPr="001F3797" w:rsidRDefault="00304997" w:rsidP="00596C90">
            <w:pPr>
              <w:rPr>
                <w:rFonts w:cstheme="minorHAnsi"/>
              </w:rPr>
            </w:pPr>
          </w:p>
        </w:tc>
      </w:tr>
    </w:tbl>
    <w:p w14:paraId="7EA04D99" w14:textId="69F35F76" w:rsidR="00481C3F" w:rsidRPr="001F3797" w:rsidRDefault="00481C3F" w:rsidP="00BD11B3">
      <w:pPr>
        <w:rPr>
          <w:rFonts w:cstheme="minorHAnsi"/>
        </w:rPr>
      </w:pPr>
    </w:p>
    <w:p w14:paraId="5844F9BB" w14:textId="1DE53EA0" w:rsidR="00BD11B3" w:rsidRPr="001F3797" w:rsidRDefault="00BD11B3" w:rsidP="00BD11B3">
      <w:pPr>
        <w:rPr>
          <w:rFonts w:cstheme="minorHAnsi"/>
        </w:rPr>
      </w:pPr>
    </w:p>
    <w:p w14:paraId="103C2972" w14:textId="77777777" w:rsidR="000B7BB8" w:rsidRPr="00431E28" w:rsidRDefault="000B7BB8">
      <w:pPr>
        <w:rPr>
          <w:rFonts w:eastAsiaTheme="majorEastAsia" w:cstheme="minorHAnsi"/>
          <w:color w:val="0070C0"/>
          <w:sz w:val="24"/>
          <w:szCs w:val="24"/>
        </w:rPr>
      </w:pPr>
      <w:r w:rsidRPr="001F3797">
        <w:rPr>
          <w:rFonts w:cstheme="minorHAnsi"/>
        </w:rPr>
        <w:br w:type="page"/>
      </w:r>
    </w:p>
    <w:p w14:paraId="506310B6" w14:textId="77777777" w:rsidR="009E760A" w:rsidRPr="00431E28" w:rsidRDefault="009E760A" w:rsidP="009E760A">
      <w:pPr>
        <w:pStyle w:val="Heading1"/>
        <w:rPr>
          <w:rFonts w:asciiTheme="minorHAnsi" w:hAnsiTheme="minorHAnsi" w:cstheme="minorHAnsi"/>
        </w:rPr>
      </w:pPr>
      <w:bookmarkStart w:id="20" w:name="_Toc102729704"/>
      <w:r w:rsidRPr="00431E28">
        <w:rPr>
          <w:rFonts w:asciiTheme="minorHAnsi" w:hAnsiTheme="minorHAnsi" w:cstheme="minorHAnsi"/>
        </w:rPr>
        <w:lastRenderedPageBreak/>
        <w:t>Patient Identification Rates</w:t>
      </w:r>
      <w:bookmarkEnd w:id="20"/>
    </w:p>
    <w:p w14:paraId="7FEAECA1" w14:textId="67DC2A6C" w:rsidR="009E760A" w:rsidRPr="001F3797" w:rsidRDefault="009E760A" w:rsidP="009E760A">
      <w:pPr>
        <w:rPr>
          <w:rFonts w:cstheme="minorHAnsi"/>
        </w:rPr>
      </w:pPr>
      <w:r w:rsidRPr="001F3797">
        <w:rPr>
          <w:rFonts w:cstheme="minorHAnsi"/>
        </w:rPr>
        <w:t>This section summarises data on the number of prescription items for which patients were not identified. This includes some analysis over time, by prescription type, form type and strength.</w:t>
      </w:r>
    </w:p>
    <w:p w14:paraId="04546826" w14:textId="3A4FC663" w:rsidR="006F6D83" w:rsidRPr="001F3797" w:rsidRDefault="006F6D83" w:rsidP="009E760A">
      <w:pPr>
        <w:rPr>
          <w:rFonts w:cstheme="minorHAnsi"/>
        </w:rPr>
      </w:pPr>
      <w:r w:rsidRPr="001F3797">
        <w:rPr>
          <w:rFonts w:cstheme="minorHAnsi"/>
        </w:rPr>
        <w:t>This is important to understand biases that may be present when analysing the comparators.</w:t>
      </w:r>
    </w:p>
    <w:p w14:paraId="70692925" w14:textId="15E41D3F" w:rsidR="009E760A" w:rsidRDefault="001B6BC6" w:rsidP="009E760A">
      <w:pPr>
        <w:rPr>
          <w:rFonts w:cstheme="minorHAnsi"/>
        </w:rPr>
      </w:pPr>
      <w:r w:rsidRPr="001F3797">
        <w:rPr>
          <w:rFonts w:cstheme="minorHAnsi"/>
        </w:rPr>
        <w:t>S</w:t>
      </w:r>
      <w:r w:rsidR="00EE639C" w:rsidRPr="001F3797">
        <w:rPr>
          <w:rFonts w:cstheme="minorHAnsi"/>
        </w:rPr>
        <w:t xml:space="preserve">ince April 2017 the proportion of </w:t>
      </w:r>
      <w:r w:rsidRPr="001F3797">
        <w:rPr>
          <w:rFonts w:cstheme="minorHAnsi"/>
        </w:rPr>
        <w:t xml:space="preserve">prescription </w:t>
      </w:r>
      <w:r w:rsidR="00EE639C" w:rsidRPr="001F3797">
        <w:rPr>
          <w:rFonts w:cstheme="minorHAnsi"/>
        </w:rPr>
        <w:t>items for these medicine</w:t>
      </w:r>
      <w:r w:rsidRPr="001F3797">
        <w:rPr>
          <w:rFonts w:cstheme="minorHAnsi"/>
        </w:rPr>
        <w:t xml:space="preserve"> classes</w:t>
      </w:r>
      <w:r w:rsidR="00EE639C" w:rsidRPr="001F3797">
        <w:rPr>
          <w:rFonts w:cstheme="minorHAnsi"/>
        </w:rPr>
        <w:t xml:space="preserve"> with </w:t>
      </w:r>
      <w:r w:rsidRPr="001F3797">
        <w:rPr>
          <w:rFonts w:cstheme="minorHAnsi"/>
        </w:rPr>
        <w:t>patients</w:t>
      </w:r>
      <w:r w:rsidR="00EE639C" w:rsidRPr="001F3797">
        <w:rPr>
          <w:rFonts w:cstheme="minorHAnsi"/>
        </w:rPr>
        <w:t xml:space="preserve"> identified is high at around 9</w:t>
      </w:r>
      <w:r w:rsidR="00776AB8">
        <w:rPr>
          <w:rFonts w:cstheme="minorHAnsi"/>
        </w:rPr>
        <w:t>9</w:t>
      </w:r>
      <w:r w:rsidR="00EE639C" w:rsidRPr="001F3797">
        <w:rPr>
          <w:rFonts w:cstheme="minorHAnsi"/>
        </w:rPr>
        <w:t>%.</w:t>
      </w:r>
      <w:r w:rsidRPr="001F3797">
        <w:rPr>
          <w:rFonts w:cstheme="minorHAnsi"/>
        </w:rPr>
        <w:t xml:space="preserve"> The proportion of items with identified patients was lowest for Benzodiazepines.</w:t>
      </w:r>
    </w:p>
    <w:p w14:paraId="6B42C38A" w14:textId="104BA47E" w:rsidR="00776AB8" w:rsidRPr="001F3797" w:rsidRDefault="00776AB8" w:rsidP="009E760A">
      <w:pPr>
        <w:rPr>
          <w:rFonts w:cstheme="minorHAnsi"/>
        </w:rPr>
      </w:pPr>
      <w:r>
        <w:rPr>
          <w:rFonts w:cstheme="minorHAnsi"/>
        </w:rPr>
        <w:t>For EPS based comparators all patients are identified.</w:t>
      </w:r>
    </w:p>
    <w:p w14:paraId="190E0984" w14:textId="2009BC87" w:rsidR="00EE639C" w:rsidRPr="00431E28" w:rsidRDefault="00EE639C"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.1</w:t>
      </w:r>
      <w:r w:rsidRPr="00431E28">
        <w:rPr>
          <w:rFonts w:asciiTheme="minorHAnsi" w:hAnsiTheme="minorHAnsi" w:cstheme="minorHAnsi"/>
        </w:rPr>
        <w:t xml:space="preserve">: Proportion of prescribed items with identified patients from </w:t>
      </w:r>
      <w:r w:rsidR="00776AB8">
        <w:rPr>
          <w:rFonts w:asciiTheme="minorHAnsi" w:hAnsiTheme="minorHAnsi" w:cstheme="minorHAnsi"/>
        </w:rPr>
        <w:t xml:space="preserve">12 months to </w:t>
      </w:r>
      <w:r w:rsidR="008E1755">
        <w:rPr>
          <w:rFonts w:asciiTheme="minorHAnsi" w:hAnsiTheme="minorHAnsi" w:cstheme="minorHAnsi"/>
        </w:rPr>
        <w:t>February</w:t>
      </w:r>
      <w:r w:rsidR="00776AB8">
        <w:rPr>
          <w:rFonts w:asciiTheme="minorHAnsi" w:hAnsiTheme="minorHAnsi" w:cstheme="minorHAnsi"/>
        </w:rPr>
        <w:t xml:space="preserve"> 2022</w:t>
      </w:r>
      <w:r w:rsidR="001B6BC6" w:rsidRPr="00431E28">
        <w:rPr>
          <w:rFonts w:asciiTheme="minorHAnsi" w:hAnsiTheme="minorHAnsi" w:cstheme="minorHAnsi"/>
        </w:rPr>
        <w:t>, by P</w:t>
      </w:r>
      <w:r w:rsidR="00C21F0B" w:rsidRPr="00431E28">
        <w:rPr>
          <w:rFonts w:asciiTheme="minorHAnsi" w:hAnsiTheme="minorHAnsi" w:cstheme="minorHAnsi"/>
        </w:rPr>
        <w:t>MR</w:t>
      </w:r>
      <w:r w:rsidR="001B6BC6" w:rsidRPr="00431E28">
        <w:rPr>
          <w:rFonts w:asciiTheme="minorHAnsi" w:hAnsiTheme="minorHAnsi" w:cstheme="minorHAnsi"/>
        </w:rPr>
        <w:t xml:space="preserve"> medicine class</w:t>
      </w:r>
    </w:p>
    <w:p w14:paraId="552A0837" w14:textId="0120AA43" w:rsidR="00776AB8" w:rsidRPr="001F3797" w:rsidRDefault="00776AB8" w:rsidP="009E760A">
      <w:pPr>
        <w:rPr>
          <w:rFonts w:cstheme="minorHAnsi"/>
        </w:rPr>
      </w:pPr>
      <w:r>
        <w:rPr>
          <w:rFonts w:cstheme="minorHAnsi"/>
          <w:noProof/>
        </w:rPr>
        <w:drawing>
          <wp:inline distT="0" distB="0" distL="0" distR="0" wp14:anchorId="5802D708" wp14:editId="484E5BB2">
            <wp:extent cx="4615180" cy="198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180" cy="1987550"/>
                    </a:xfrm>
                    <a:prstGeom prst="rect">
                      <a:avLst/>
                    </a:prstGeom>
                    <a:noFill/>
                  </pic:spPr>
                </pic:pic>
              </a:graphicData>
            </a:graphic>
          </wp:inline>
        </w:drawing>
      </w:r>
    </w:p>
    <w:p w14:paraId="1658BA14" w14:textId="33D900B4" w:rsidR="001B6BC6" w:rsidRPr="001F3797" w:rsidRDefault="001B6BC6" w:rsidP="001B6BC6">
      <w:pPr>
        <w:rPr>
          <w:rFonts w:cstheme="minorHAnsi"/>
        </w:rPr>
      </w:pPr>
      <w:r w:rsidRPr="001F3797">
        <w:rPr>
          <w:rFonts w:cstheme="minorHAnsi"/>
        </w:rPr>
        <w:t>The proportion of items with identified patients has generally increased over time largely reflecting the increased use of the electronic prescribing system</w:t>
      </w:r>
      <w:r w:rsidR="00A61483" w:rsidRPr="001F3797">
        <w:rPr>
          <w:rFonts w:cstheme="minorHAnsi"/>
        </w:rPr>
        <w:t xml:space="preserve"> (EPS)</w:t>
      </w:r>
      <w:r w:rsidRPr="001F3797">
        <w:rPr>
          <w:rFonts w:cstheme="minorHAnsi"/>
        </w:rPr>
        <w:t xml:space="preserve"> over time. </w:t>
      </w:r>
      <w:r w:rsidR="006F6D83" w:rsidRPr="001F3797">
        <w:rPr>
          <w:rFonts w:cstheme="minorHAnsi"/>
        </w:rPr>
        <w:t xml:space="preserve">This means that users should be careful interpreting long run trends relating to increases in the number of patients reported in the comparator. Long run trends that matching the general increase in the patient identification rate </w:t>
      </w:r>
      <w:r w:rsidR="00BD5EAB">
        <w:rPr>
          <w:rFonts w:cstheme="minorHAnsi"/>
        </w:rPr>
        <w:t>may be</w:t>
      </w:r>
      <w:r w:rsidR="006F6D83" w:rsidRPr="001F3797">
        <w:rPr>
          <w:rFonts w:cstheme="minorHAnsi"/>
        </w:rPr>
        <w:t xml:space="preserve"> spurious.</w:t>
      </w:r>
    </w:p>
    <w:p w14:paraId="4242CDA4" w14:textId="79931BAB" w:rsidR="001B6BC6" w:rsidRPr="00431E28" w:rsidRDefault="001B6BC6"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2</w:t>
      </w:r>
      <w:r w:rsidRPr="00431E28">
        <w:rPr>
          <w:rFonts w:asciiTheme="minorHAnsi" w:hAnsiTheme="minorHAnsi" w:cstheme="minorHAnsi"/>
        </w:rPr>
        <w:t xml:space="preserve">: Proportion of prescribed items with identified patients from April 2017 to </w:t>
      </w:r>
      <w:r w:rsidR="008E1755">
        <w:rPr>
          <w:rFonts w:asciiTheme="minorHAnsi" w:hAnsiTheme="minorHAnsi" w:cstheme="minorHAnsi"/>
        </w:rPr>
        <w:t>February 2022</w:t>
      </w:r>
      <w:r w:rsidRPr="00431E28">
        <w:rPr>
          <w:rFonts w:asciiTheme="minorHAnsi" w:hAnsiTheme="minorHAnsi" w:cstheme="minorHAnsi"/>
        </w:rPr>
        <w:t>, by P</w:t>
      </w:r>
      <w:r w:rsidR="0047535A" w:rsidRPr="00431E28">
        <w:rPr>
          <w:rFonts w:asciiTheme="minorHAnsi" w:hAnsiTheme="minorHAnsi" w:cstheme="minorHAnsi"/>
        </w:rPr>
        <w:t>MR</w:t>
      </w:r>
      <w:r w:rsidRPr="00431E28">
        <w:rPr>
          <w:rFonts w:asciiTheme="minorHAnsi" w:hAnsiTheme="minorHAnsi" w:cstheme="minorHAnsi"/>
        </w:rPr>
        <w:t xml:space="preserve"> medicine class</w:t>
      </w:r>
    </w:p>
    <w:p w14:paraId="7B83B8AC" w14:textId="3F188742" w:rsidR="009E760A" w:rsidRPr="001F3797" w:rsidRDefault="00BD5EAB" w:rsidP="009E760A">
      <w:pPr>
        <w:rPr>
          <w:rFonts w:cstheme="minorHAnsi"/>
        </w:rPr>
      </w:pPr>
      <w:r>
        <w:rPr>
          <w:rFonts w:cstheme="minorHAnsi"/>
          <w:noProof/>
        </w:rPr>
        <w:drawing>
          <wp:inline distT="0" distB="0" distL="0" distR="0" wp14:anchorId="5155DC06" wp14:editId="5F9054F8">
            <wp:extent cx="64071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2889885"/>
                    </a:xfrm>
                    <a:prstGeom prst="rect">
                      <a:avLst/>
                    </a:prstGeom>
                    <a:noFill/>
                  </pic:spPr>
                </pic:pic>
              </a:graphicData>
            </a:graphic>
          </wp:inline>
        </w:drawing>
      </w:r>
    </w:p>
    <w:p w14:paraId="37A8BCEE" w14:textId="5BED6936" w:rsidR="009E760A" w:rsidRPr="001F3797" w:rsidRDefault="00677410" w:rsidP="009E760A">
      <w:pPr>
        <w:rPr>
          <w:rFonts w:cstheme="minorHAnsi"/>
        </w:rPr>
      </w:pPr>
      <w:r w:rsidRPr="001F3797">
        <w:rPr>
          <w:rFonts w:cstheme="minorHAnsi"/>
        </w:rPr>
        <w:t xml:space="preserve">The </w:t>
      </w:r>
      <w:r w:rsidR="00A61483" w:rsidRPr="001F3797">
        <w:rPr>
          <w:rFonts w:cstheme="minorHAnsi"/>
        </w:rPr>
        <w:t>proportion of unidentified items in recent months correlates with the number of FP10SS forms versus other types</w:t>
      </w:r>
      <w:r w:rsidR="00B46471" w:rsidRPr="001F3797">
        <w:rPr>
          <w:rFonts w:cstheme="minorHAnsi"/>
        </w:rPr>
        <w:t>. EPS is used for almost all</w:t>
      </w:r>
      <w:r w:rsidR="00A61483" w:rsidRPr="001F3797">
        <w:rPr>
          <w:rFonts w:cstheme="minorHAnsi"/>
        </w:rPr>
        <w:t xml:space="preserve"> FP10SS forms</w:t>
      </w:r>
      <w:r w:rsidR="00B46471" w:rsidRPr="001F3797">
        <w:rPr>
          <w:rFonts w:cstheme="minorHAnsi"/>
        </w:rPr>
        <w:t xml:space="preserve"> resulting in a higher proportion of identified items.</w:t>
      </w:r>
    </w:p>
    <w:p w14:paraId="16673703" w14:textId="2C776CFD" w:rsidR="00A61483" w:rsidRPr="001F3797" w:rsidRDefault="00A61483" w:rsidP="009E760A">
      <w:pPr>
        <w:rPr>
          <w:rFonts w:cstheme="minorHAnsi"/>
        </w:rPr>
      </w:pPr>
      <w:r w:rsidRPr="001F3797">
        <w:rPr>
          <w:rFonts w:cstheme="minorHAnsi"/>
        </w:rPr>
        <w:lastRenderedPageBreak/>
        <w:t>Benzodiazepines and Opiates have lower patient identification rates which is likely to reflect their use of other paper form types that are not submitted via EPS.</w:t>
      </w:r>
    </w:p>
    <w:p w14:paraId="46A4AD47" w14:textId="1CAA3F44" w:rsidR="00A61483" w:rsidRPr="001F3797" w:rsidRDefault="0077102C" w:rsidP="009E760A">
      <w:pPr>
        <w:rPr>
          <w:rFonts w:cstheme="minorHAnsi"/>
        </w:rPr>
      </w:pPr>
      <w:r w:rsidRPr="001F3797">
        <w:rPr>
          <w:rFonts w:cstheme="minorHAnsi"/>
        </w:rPr>
        <w:t>The proportion of items with identified patients is lower for FP10MDA and lower still for other types of prescription form.</w:t>
      </w:r>
    </w:p>
    <w:p w14:paraId="0E1A027A" w14:textId="6A2BEE14" w:rsidR="006F6D83" w:rsidRPr="001F3797" w:rsidRDefault="006F6D83" w:rsidP="006F6D83">
      <w:pPr>
        <w:rPr>
          <w:rFonts w:cstheme="minorHAnsi"/>
        </w:rPr>
      </w:pPr>
      <w:r w:rsidRPr="001F3797">
        <w:rPr>
          <w:rFonts w:cstheme="minorHAnsi"/>
        </w:rPr>
        <w:t>Some controlled drugs are a little less likely to be linked to a patient than for other products included in these medicine classes, again this is likely to reflect – in part – the availability of the electronic prescribing system for some types of prescription.</w:t>
      </w:r>
    </w:p>
    <w:p w14:paraId="655DFF59" w14:textId="6792DD6F" w:rsidR="00A61483" w:rsidRPr="00431E28" w:rsidRDefault="00A61483" w:rsidP="00A61483">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3</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w:t>
      </w:r>
      <w:r w:rsidR="006F6D83" w:rsidRPr="00431E28">
        <w:rPr>
          <w:rFonts w:asciiTheme="minorHAnsi" w:hAnsiTheme="minorHAnsi" w:cstheme="minorHAnsi"/>
        </w:rPr>
        <w:t>for</w:t>
      </w:r>
      <w:r w:rsidRPr="00431E28">
        <w:rPr>
          <w:rFonts w:asciiTheme="minorHAnsi" w:hAnsiTheme="minorHAnsi" w:cstheme="minorHAnsi"/>
        </w:rPr>
        <w:t xml:space="preserve"> P</w:t>
      </w:r>
      <w:r w:rsidR="0047535A" w:rsidRPr="00431E28">
        <w:rPr>
          <w:rFonts w:asciiTheme="minorHAnsi" w:hAnsiTheme="minorHAnsi" w:cstheme="minorHAnsi"/>
        </w:rPr>
        <w:t>MR</w:t>
      </w:r>
      <w:r w:rsidRPr="00431E28">
        <w:rPr>
          <w:rFonts w:asciiTheme="minorHAnsi" w:hAnsiTheme="minorHAnsi" w:cstheme="minorHAnsi"/>
        </w:rPr>
        <w:t xml:space="preserve"> medicine class</w:t>
      </w:r>
      <w:r w:rsidR="006F6D83" w:rsidRPr="00431E28">
        <w:rPr>
          <w:rFonts w:asciiTheme="minorHAnsi" w:hAnsiTheme="minorHAnsi" w:cstheme="minorHAnsi"/>
        </w:rPr>
        <w:t>es by Controlled Drug (CD) status</w:t>
      </w:r>
    </w:p>
    <w:p w14:paraId="416D5544" w14:textId="55995C26" w:rsidR="00A61483" w:rsidRPr="001F3797" w:rsidRDefault="00D25839" w:rsidP="009E760A">
      <w:pPr>
        <w:rPr>
          <w:rFonts w:cstheme="minorHAnsi"/>
        </w:rPr>
      </w:pPr>
      <w:r>
        <w:rPr>
          <w:noProof/>
        </w:rPr>
        <w:drawing>
          <wp:inline distT="0" distB="0" distL="0" distR="0" wp14:anchorId="7770F4F2" wp14:editId="697725F7">
            <wp:extent cx="4315691" cy="2452254"/>
            <wp:effectExtent l="0" t="0" r="8890" b="5715"/>
            <wp:docPr id="1" name="Chart 1">
              <a:extLst xmlns:a="http://schemas.openxmlformats.org/drawingml/2006/main">
                <a:ext uri="{FF2B5EF4-FFF2-40B4-BE49-F238E27FC236}">
                  <a16:creationId xmlns:a16="http://schemas.microsoft.com/office/drawing/2014/main" id="{29A36A1A-1051-4714-A9F3-972C1562A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74FC" w14:textId="76BA9E54" w:rsidR="001B6BC6" w:rsidRPr="001F3797" w:rsidRDefault="00476517" w:rsidP="009E760A">
      <w:pPr>
        <w:rPr>
          <w:rFonts w:cstheme="minorHAnsi"/>
        </w:rPr>
      </w:pPr>
      <w:r>
        <w:rPr>
          <w:rFonts w:cstheme="minorHAnsi"/>
        </w:rPr>
        <w:t>The chart below shows no strong bias across the opioids identified by strength in terms of OME. There is a lower proportion of opioid items for which a patient was identified for presentations that</w:t>
      </w:r>
      <w:r w:rsidR="008C22A8">
        <w:rPr>
          <w:rFonts w:cstheme="minorHAnsi"/>
        </w:rPr>
        <w:t xml:space="preserve"> have not been assigned </w:t>
      </w:r>
      <w:r>
        <w:rPr>
          <w:rFonts w:cstheme="minorHAnsi"/>
        </w:rPr>
        <w:t>OME values.</w:t>
      </w:r>
    </w:p>
    <w:p w14:paraId="751C182E" w14:textId="7927FCBA" w:rsidR="00F258D5" w:rsidRPr="00431E28" w:rsidRDefault="00F258D5" w:rsidP="00F258D5">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4</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for opioids </w:t>
      </w:r>
      <w:r w:rsidR="00476517">
        <w:rPr>
          <w:rFonts w:asciiTheme="minorHAnsi" w:hAnsiTheme="minorHAnsi" w:cstheme="minorHAnsi"/>
        </w:rPr>
        <w:t>by Oral Morphine equivalent strength</w:t>
      </w:r>
    </w:p>
    <w:p w14:paraId="50C7183C" w14:textId="0C634EC5" w:rsidR="009E760A" w:rsidRPr="001F3797" w:rsidRDefault="00476517" w:rsidP="009E760A">
      <w:pPr>
        <w:rPr>
          <w:rFonts w:cstheme="minorHAnsi"/>
        </w:rPr>
      </w:pPr>
      <w:r>
        <w:rPr>
          <w:noProof/>
        </w:rPr>
        <w:drawing>
          <wp:inline distT="0" distB="0" distL="0" distR="0" wp14:anchorId="58D1A1EC" wp14:editId="7D3DCA13">
            <wp:extent cx="3962399" cy="2124635"/>
            <wp:effectExtent l="0" t="0" r="635" b="0"/>
            <wp:docPr id="12" name="Chart 12">
              <a:extLst xmlns:a="http://schemas.openxmlformats.org/drawingml/2006/main">
                <a:ext uri="{FF2B5EF4-FFF2-40B4-BE49-F238E27FC236}">
                  <a16:creationId xmlns:a16="http://schemas.microsoft.com/office/drawing/2014/main" id="{2A891DD8-D354-488C-AAF4-8F35136B1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9E760A" w:rsidRPr="001F3797">
        <w:rPr>
          <w:rFonts w:cstheme="minorHAnsi"/>
        </w:rPr>
        <w:br w:type="page"/>
      </w:r>
    </w:p>
    <w:p w14:paraId="2F6AA50D" w14:textId="4396324E" w:rsidR="00B92059" w:rsidRPr="00431E28" w:rsidRDefault="00B92059" w:rsidP="00B92059">
      <w:pPr>
        <w:pStyle w:val="Heading1"/>
        <w:rPr>
          <w:rFonts w:asciiTheme="minorHAnsi" w:hAnsiTheme="minorHAnsi" w:cstheme="minorHAnsi"/>
        </w:rPr>
      </w:pPr>
      <w:bookmarkStart w:id="21" w:name="_Toc102729705"/>
      <w:r w:rsidRPr="00431E28">
        <w:rPr>
          <w:rFonts w:asciiTheme="minorHAnsi" w:hAnsiTheme="minorHAnsi" w:cstheme="minorHAnsi"/>
        </w:rPr>
        <w:lastRenderedPageBreak/>
        <w:t>Use of the electronic prescribing system for opiates</w:t>
      </w:r>
      <w:bookmarkEnd w:id="21"/>
    </w:p>
    <w:p w14:paraId="7414B166" w14:textId="3774CAE3" w:rsidR="00B92059" w:rsidRPr="001F3797" w:rsidRDefault="00B92059" w:rsidP="00B92059">
      <w:pPr>
        <w:ind w:left="360"/>
        <w:rPr>
          <w:rFonts w:cstheme="minorHAnsi"/>
        </w:rPr>
      </w:pPr>
      <w:r w:rsidRPr="001F3797">
        <w:rPr>
          <w:rFonts w:cstheme="minorHAnsi"/>
        </w:rPr>
        <w:t xml:space="preserve">These comparators include an experimental indicator based on electronic prescribing system information as received by NHSBSA following claims from dispensers. These </w:t>
      </w:r>
      <w:r w:rsidR="00EF2BD1" w:rsidRPr="001F3797">
        <w:rPr>
          <w:rFonts w:cstheme="minorHAnsi"/>
        </w:rPr>
        <w:t>comparators</w:t>
      </w:r>
      <w:r w:rsidRPr="001F3797">
        <w:rPr>
          <w:rFonts w:cstheme="minorHAnsi"/>
        </w:rPr>
        <w:t xml:space="preserve"> </w:t>
      </w:r>
      <w:r w:rsidR="00D25839">
        <w:rPr>
          <w:rFonts w:cstheme="minorHAnsi"/>
        </w:rPr>
        <w:t>provide more timely information about prescribing, but can provide an incomplete picture for patients with some paper prescribing</w:t>
      </w:r>
      <w:r w:rsidRPr="001F3797">
        <w:rPr>
          <w:rFonts w:cstheme="minorHAnsi"/>
        </w:rPr>
        <w:t>.</w:t>
      </w:r>
    </w:p>
    <w:p w14:paraId="16C04D4A" w14:textId="50FAA998" w:rsidR="00B92059" w:rsidRPr="001F3797" w:rsidRDefault="00B92059" w:rsidP="00B92059">
      <w:pPr>
        <w:ind w:left="360"/>
        <w:rPr>
          <w:rFonts w:cstheme="minorHAnsi"/>
        </w:rPr>
      </w:pPr>
      <w:r w:rsidRPr="001F3797">
        <w:rPr>
          <w:rFonts w:cstheme="minorHAnsi"/>
        </w:rPr>
        <w:t xml:space="preserve">This section describes the use of EPS for these medicines to establish the limitations of these </w:t>
      </w:r>
      <w:r w:rsidR="00EF2BD1" w:rsidRPr="001F3797">
        <w:rPr>
          <w:rFonts w:cstheme="minorHAnsi"/>
        </w:rPr>
        <w:t>comparators</w:t>
      </w:r>
      <w:r w:rsidRPr="001F3797">
        <w:rPr>
          <w:rFonts w:cstheme="minorHAnsi"/>
        </w:rPr>
        <w:t>, and any potential biases that may be present.</w:t>
      </w:r>
    </w:p>
    <w:p w14:paraId="5050327A" w14:textId="7FE0A388" w:rsidR="00B92059" w:rsidRDefault="00B92059" w:rsidP="00B92059">
      <w:pPr>
        <w:ind w:left="360"/>
        <w:rPr>
          <w:rFonts w:cstheme="minorHAnsi"/>
        </w:rPr>
      </w:pPr>
      <w:r w:rsidRPr="001F3797">
        <w:rPr>
          <w:rFonts w:cstheme="minorHAnsi"/>
        </w:rPr>
        <w:t xml:space="preserve">EPS use for the opiates </w:t>
      </w:r>
      <w:r w:rsidRPr="00A45C76">
        <w:rPr>
          <w:rFonts w:cstheme="minorHAnsi"/>
        </w:rPr>
        <w:t xml:space="preserve">medicine class reached </w:t>
      </w:r>
      <w:r w:rsidR="0083455D" w:rsidRPr="00A45C76">
        <w:rPr>
          <w:rFonts w:cstheme="minorHAnsi"/>
        </w:rPr>
        <w:t xml:space="preserve">around </w:t>
      </w:r>
      <w:r w:rsidRPr="00A45C76">
        <w:rPr>
          <w:rFonts w:cstheme="minorHAnsi"/>
        </w:rPr>
        <w:t xml:space="preserve">91% </w:t>
      </w:r>
      <w:r w:rsidR="0083455D" w:rsidRPr="00A45C76">
        <w:rPr>
          <w:rFonts w:cstheme="minorHAnsi"/>
        </w:rPr>
        <w:t>by February 2022</w:t>
      </w:r>
      <w:r w:rsidRPr="00A45C76">
        <w:rPr>
          <w:rFonts w:cstheme="minorHAnsi"/>
        </w:rPr>
        <w:t xml:space="preserve">, having increased gradually from around 87% in March 2020. </w:t>
      </w:r>
      <w:r w:rsidR="00A44AE2" w:rsidRPr="00A45C76">
        <w:rPr>
          <w:rFonts w:cstheme="minorHAnsi"/>
        </w:rPr>
        <w:t xml:space="preserve">Before </w:t>
      </w:r>
      <w:r w:rsidRPr="00A45C76">
        <w:rPr>
          <w:rFonts w:cstheme="minorHAnsi"/>
        </w:rPr>
        <w:t>that EPS rates were lower</w:t>
      </w:r>
      <w:r w:rsidR="00A44AE2" w:rsidRPr="00A45C76">
        <w:rPr>
          <w:rFonts w:cstheme="minorHAnsi"/>
        </w:rPr>
        <w:t xml:space="preserve"> and increased sharply in response to the roll-out of the EPS system and the national lockdowns implemented following the outbreak of covid-19. Comparators based on EPS prescriptions are</w:t>
      </w:r>
      <w:r w:rsidR="00A44AE2" w:rsidRPr="001F3797">
        <w:rPr>
          <w:rFonts w:cstheme="minorHAnsi"/>
        </w:rPr>
        <w:t xml:space="preserve"> unlikely to provide meaningful comparisons over time, especially before the second quarter of 2020.</w:t>
      </w:r>
    </w:p>
    <w:p w14:paraId="67EEA485" w14:textId="18276CC0" w:rsidR="0083455D" w:rsidRPr="001F3797" w:rsidRDefault="0083455D" w:rsidP="00B92059">
      <w:pPr>
        <w:ind w:left="360"/>
        <w:rPr>
          <w:rFonts w:cstheme="minorHAnsi"/>
        </w:rPr>
      </w:pPr>
      <w:r>
        <w:rPr>
          <w:rFonts w:cstheme="minorHAnsi"/>
        </w:rPr>
        <w:t>As a consequence EPS comparators may be considered to underestimate opioid patients or their items by around one in ten. Any analysis that relies on EPS data farther back in time, particularly before March 2020 will provide a less complete picture of prescribing.</w:t>
      </w:r>
    </w:p>
    <w:p w14:paraId="075AC63A" w14:textId="0E2FA670" w:rsidR="00B92059" w:rsidRPr="00431E28" w:rsidRDefault="00B92059" w:rsidP="00851695">
      <w:pPr>
        <w:pStyle w:val="Heading4"/>
        <w:rPr>
          <w:rFonts w:asciiTheme="minorHAnsi" w:eastAsia="Times New Roman" w:hAnsiTheme="minorHAnsi" w:cstheme="minorHAnsi"/>
          <w:lang w:eastAsia="en-GB"/>
        </w:rPr>
      </w:pPr>
      <w:r w:rsidRPr="00431E28">
        <w:rPr>
          <w:rFonts w:asciiTheme="minorHAnsi" w:eastAsia="Times New Roman" w:hAnsiTheme="minorHAnsi" w:cstheme="minorHAnsi"/>
          <w:lang w:eastAsia="en-GB"/>
        </w:rPr>
        <w:t xml:space="preserve">Figure </w:t>
      </w:r>
      <w:r w:rsidR="00544A81">
        <w:rPr>
          <w:rFonts w:asciiTheme="minorHAnsi" w:eastAsia="Times New Roman" w:hAnsiTheme="minorHAnsi" w:cstheme="minorHAnsi"/>
          <w:lang w:eastAsia="en-GB"/>
        </w:rPr>
        <w:t>9</w:t>
      </w:r>
      <w:r w:rsidR="00B61B74">
        <w:rPr>
          <w:rFonts w:asciiTheme="minorHAnsi" w:eastAsia="Times New Roman" w:hAnsiTheme="minorHAnsi" w:cstheme="minorHAnsi"/>
          <w:lang w:eastAsia="en-GB"/>
        </w:rPr>
        <w:t>.1</w:t>
      </w:r>
      <w:r w:rsidRPr="00431E28">
        <w:rPr>
          <w:rFonts w:asciiTheme="minorHAnsi" w:eastAsia="Times New Roman" w:hAnsiTheme="minorHAnsi" w:cstheme="minorHAnsi"/>
          <w:lang w:eastAsia="en-GB"/>
        </w:rPr>
        <w:t>: Proportion of prescribed items submitted using the Electronic Prescribing System from April 2017 to July 2021, for opiates</w:t>
      </w:r>
    </w:p>
    <w:p w14:paraId="01BFA006" w14:textId="317E60AF" w:rsidR="00B92059" w:rsidRPr="001F3797" w:rsidRDefault="00D25839" w:rsidP="009E760A">
      <w:pPr>
        <w:rPr>
          <w:rFonts w:eastAsiaTheme="majorEastAsia" w:cstheme="minorHAnsi"/>
          <w:color w:val="002E5B" w:themeColor="accent1" w:themeShade="7F"/>
          <w:sz w:val="24"/>
          <w:szCs w:val="24"/>
        </w:rPr>
      </w:pPr>
      <w:r>
        <w:rPr>
          <w:noProof/>
        </w:rPr>
        <w:drawing>
          <wp:inline distT="0" distB="0" distL="0" distR="0" wp14:anchorId="584FF8E2" wp14:editId="4864B8DF">
            <wp:extent cx="5731510" cy="2525395"/>
            <wp:effectExtent l="0" t="0" r="2540" b="8255"/>
            <wp:docPr id="9" name="Chart 9">
              <a:extLst xmlns:a="http://schemas.openxmlformats.org/drawingml/2006/main">
                <a:ext uri="{FF2B5EF4-FFF2-40B4-BE49-F238E27FC236}">
                  <a16:creationId xmlns:a16="http://schemas.microsoft.com/office/drawing/2014/main" id="{9497E2A5-B14E-495A-9E23-84DC3D72F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64A435" w14:textId="30552E8A" w:rsidR="00A44AE2" w:rsidRPr="001F3797" w:rsidRDefault="00A44AE2" w:rsidP="009E760A">
      <w:pPr>
        <w:rPr>
          <w:rFonts w:cstheme="minorHAnsi"/>
        </w:rPr>
      </w:pPr>
      <w:r w:rsidRPr="001F3797">
        <w:rPr>
          <w:rFonts w:cstheme="minorHAnsi"/>
        </w:rPr>
        <w:t>Prescriptions using forms other than FP10SS forms are not submitted using the EPS system. For opiates overall this included about 0.7% of prescription items from January to July 2021 that mostly used FP10NC, FP10MDA, FP10D and FP10P forms.</w:t>
      </w:r>
      <w:r w:rsidR="000754D1" w:rsidRPr="001F3797">
        <w:rPr>
          <w:rFonts w:cstheme="minorHAnsi"/>
        </w:rPr>
        <w:t xml:space="preserve"> In terms of biases over products that may be excluded, there was slightly lower coverage of some higher strength opiates in particular for those with 600 to 720 mg Oral Morphine Equivalence.</w:t>
      </w:r>
      <w:r w:rsidR="00851695" w:rsidRPr="001F3797">
        <w:rPr>
          <w:rFonts w:cstheme="minorHAnsi"/>
        </w:rPr>
        <w:t xml:space="preserve"> </w:t>
      </w:r>
    </w:p>
    <w:p w14:paraId="2C3C30BC" w14:textId="31D6908A" w:rsidR="00B92059" w:rsidRPr="00431E28" w:rsidRDefault="00B92059" w:rsidP="00851695">
      <w:pPr>
        <w:pStyle w:val="Heading4"/>
        <w:rPr>
          <w:rFonts w:asciiTheme="minorHAnsi" w:hAnsiTheme="minorHAnsi" w:cstheme="minorHAnsi"/>
        </w:rPr>
      </w:pPr>
      <w:r w:rsidRPr="00431E28">
        <w:rPr>
          <w:rFonts w:asciiTheme="minorHAnsi" w:hAnsiTheme="minorHAnsi" w:cstheme="minorHAnsi"/>
        </w:rPr>
        <w:lastRenderedPageBreak/>
        <w:t xml:space="preserve">Figure </w:t>
      </w:r>
      <w:r w:rsidR="00544A81">
        <w:rPr>
          <w:rFonts w:asciiTheme="minorHAnsi" w:hAnsiTheme="minorHAnsi" w:cstheme="minorHAnsi"/>
        </w:rPr>
        <w:t>9</w:t>
      </w:r>
      <w:r w:rsidR="00B61B74">
        <w:rPr>
          <w:rFonts w:asciiTheme="minorHAnsi" w:hAnsiTheme="minorHAnsi" w:cstheme="minorHAnsi"/>
        </w:rPr>
        <w:t>.2</w:t>
      </w:r>
      <w:r w:rsidRPr="00431E28">
        <w:rPr>
          <w:rFonts w:asciiTheme="minorHAnsi" w:hAnsiTheme="minorHAnsi" w:cstheme="minorHAnsi"/>
        </w:rPr>
        <w:t xml:space="preserve">: Proportion of items submitted via the Electronic Prescribing System, </w:t>
      </w:r>
      <w:r w:rsidR="001C7D40">
        <w:rPr>
          <w:rFonts w:asciiTheme="minorHAnsi" w:hAnsiTheme="minorHAnsi" w:cstheme="minorHAnsi"/>
        </w:rPr>
        <w:t>12 months to February 2022</w:t>
      </w:r>
      <w:r w:rsidRPr="00431E28">
        <w:rPr>
          <w:rFonts w:asciiTheme="minorHAnsi" w:hAnsiTheme="minorHAnsi" w:cstheme="minorHAnsi"/>
        </w:rPr>
        <w:t>, for opioids by strength</w:t>
      </w:r>
    </w:p>
    <w:p w14:paraId="0CD2AC72" w14:textId="1383E05F" w:rsidR="00B92059" w:rsidRPr="00431E28" w:rsidRDefault="001C7D40">
      <w:pPr>
        <w:rPr>
          <w:rFonts w:eastAsiaTheme="majorEastAsia" w:cstheme="minorHAnsi"/>
          <w:color w:val="0070C0"/>
          <w:sz w:val="24"/>
          <w:szCs w:val="24"/>
        </w:rPr>
      </w:pPr>
      <w:r>
        <w:rPr>
          <w:noProof/>
        </w:rPr>
        <w:drawing>
          <wp:inline distT="0" distB="0" distL="0" distR="0" wp14:anchorId="454354A2" wp14:editId="4312A690">
            <wp:extent cx="3951642" cy="1972684"/>
            <wp:effectExtent l="0" t="0" r="0" b="8890"/>
            <wp:docPr id="10" name="Chart 10">
              <a:extLst xmlns:a="http://schemas.openxmlformats.org/drawingml/2006/main">
                <a:ext uri="{FF2B5EF4-FFF2-40B4-BE49-F238E27FC236}">
                  <a16:creationId xmlns:a16="http://schemas.microsoft.com/office/drawing/2014/main" id="{F90E7206-DD4E-43F6-8DEB-E0AD8C064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92059" w:rsidRPr="001F3797">
        <w:rPr>
          <w:rFonts w:cstheme="minorHAnsi"/>
        </w:rPr>
        <w:br w:type="page"/>
      </w:r>
    </w:p>
    <w:p w14:paraId="0690A024" w14:textId="50D8160C" w:rsidR="003623C3" w:rsidRPr="00431E28" w:rsidRDefault="003623C3" w:rsidP="003629ED">
      <w:pPr>
        <w:pStyle w:val="Heading1"/>
        <w:rPr>
          <w:rFonts w:asciiTheme="minorHAnsi" w:hAnsiTheme="minorHAnsi" w:cstheme="minorHAnsi"/>
        </w:rPr>
      </w:pPr>
      <w:bookmarkStart w:id="22" w:name="_Toc102729706"/>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P</w:t>
      </w:r>
      <w:r w:rsidR="002F29ED" w:rsidRPr="00431E28">
        <w:rPr>
          <w:rFonts w:asciiTheme="minorHAnsi" w:hAnsiTheme="minorHAnsi" w:cstheme="minorHAnsi"/>
        </w:rPr>
        <w:t>MR</w:t>
      </w:r>
      <w:r w:rsidRPr="00431E28">
        <w:rPr>
          <w:rFonts w:asciiTheme="minorHAnsi" w:hAnsiTheme="minorHAnsi" w:cstheme="minorHAnsi"/>
        </w:rPr>
        <w:t xml:space="preserve"> </w:t>
      </w:r>
      <w:r w:rsidR="002F29ED" w:rsidRPr="00431E28">
        <w:rPr>
          <w:rFonts w:asciiTheme="minorHAnsi" w:hAnsiTheme="minorHAnsi" w:cstheme="minorHAnsi"/>
        </w:rPr>
        <w:t>medicine classes</w:t>
      </w:r>
      <w:bookmarkEnd w:id="22"/>
    </w:p>
    <w:p w14:paraId="0830346C" w14:textId="1E90194F"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files</w:t>
      </w:r>
      <w:r w:rsidR="00D24D65">
        <w:rPr>
          <w:rFonts w:cstheme="minorHAnsi"/>
        </w:rPr>
        <w:t>, available on the NHSBSA website,</w:t>
      </w:r>
      <w:r w:rsidRPr="001F3797">
        <w:rPr>
          <w:rFonts w:cstheme="minorHAnsi"/>
        </w:rPr>
        <w:t xml:space="preserve"> include the lists of products by BNF code of </w:t>
      </w:r>
      <w:r w:rsidR="00A45C76">
        <w:rPr>
          <w:rFonts w:cstheme="minorHAnsi"/>
        </w:rPr>
        <w:t>January</w:t>
      </w:r>
      <w:r w:rsidRPr="001F3797">
        <w:rPr>
          <w:rFonts w:cstheme="minorHAnsi"/>
        </w:rPr>
        <w:t xml:space="preserve"> 202</w:t>
      </w:r>
      <w:r w:rsidR="00A45C76">
        <w:rPr>
          <w:rFonts w:cstheme="minorHAnsi"/>
        </w:rPr>
        <w:t>2</w:t>
      </w:r>
      <w:r w:rsidRPr="001F3797">
        <w:rPr>
          <w:rFonts w:cstheme="minorHAnsi"/>
        </w:rPr>
        <w:t>.</w:t>
      </w:r>
    </w:p>
    <w:p w14:paraId="3C57B674" w14:textId="77777777" w:rsidR="00B65078" w:rsidRPr="00431E28" w:rsidRDefault="00B65078" w:rsidP="00B65078">
      <w:pPr>
        <w:pStyle w:val="Heading2"/>
        <w:rPr>
          <w:rFonts w:asciiTheme="minorHAnsi" w:hAnsiTheme="minorHAnsi" w:cstheme="minorHAnsi"/>
        </w:rPr>
      </w:pPr>
      <w:bookmarkStart w:id="23" w:name="_Toc102729707"/>
      <w:r w:rsidRPr="00431E28">
        <w:rPr>
          <w:rFonts w:asciiTheme="minorHAnsi" w:hAnsiTheme="minorHAnsi" w:cstheme="minorHAnsi"/>
        </w:rPr>
        <w:t>Section 1: Antidepressants</w:t>
      </w:r>
      <w:bookmarkEnd w:id="23"/>
    </w:p>
    <w:p w14:paraId="0BFF41DB" w14:textId="2C2750B0" w:rsidR="00B65078" w:rsidRPr="001F3797" w:rsidRDefault="00B65078" w:rsidP="00B65078">
      <w:pPr>
        <w:ind w:firstLine="360"/>
        <w:rPr>
          <w:rFonts w:cstheme="minorHAnsi"/>
        </w:rPr>
      </w:pPr>
      <w:r w:rsidRPr="001F3797">
        <w:rPr>
          <w:rFonts w:cstheme="minorHAnsi"/>
        </w:rPr>
        <w:t xml:space="preserve"> </w:t>
      </w:r>
    </w:p>
    <w:p w14:paraId="5A8E2D7F" w14:textId="2A8FD1FD" w:rsidR="00B65078" w:rsidRPr="00431E28" w:rsidRDefault="00B65078" w:rsidP="00B65078">
      <w:pPr>
        <w:pStyle w:val="Heading2"/>
        <w:rPr>
          <w:rFonts w:asciiTheme="minorHAnsi" w:hAnsiTheme="minorHAnsi" w:cstheme="minorHAnsi"/>
        </w:rPr>
      </w:pPr>
      <w:bookmarkStart w:id="24" w:name="_Toc102729708"/>
      <w:r w:rsidRPr="00431E28">
        <w:rPr>
          <w:rFonts w:asciiTheme="minorHAnsi" w:hAnsiTheme="minorHAnsi" w:cstheme="minorHAnsi"/>
        </w:rPr>
        <w:t>Section 2.1: Overall Opioids (PMR)</w:t>
      </w:r>
      <w:bookmarkEnd w:id="24"/>
    </w:p>
    <w:p w14:paraId="1B745128" w14:textId="7B4F32B2" w:rsidR="00B65078" w:rsidRPr="001F3797" w:rsidRDefault="00B65078" w:rsidP="00B65078">
      <w:pPr>
        <w:ind w:firstLine="360"/>
        <w:rPr>
          <w:rFonts w:cstheme="minorHAnsi"/>
        </w:rPr>
      </w:pPr>
    </w:p>
    <w:p w14:paraId="585A3436" w14:textId="77777777" w:rsidR="00B65078" w:rsidRPr="00431E28" w:rsidRDefault="00B65078" w:rsidP="00B65078">
      <w:pPr>
        <w:pStyle w:val="Heading2"/>
        <w:rPr>
          <w:rFonts w:asciiTheme="minorHAnsi" w:hAnsiTheme="minorHAnsi" w:cstheme="minorHAnsi"/>
        </w:rPr>
      </w:pPr>
      <w:bookmarkStart w:id="25" w:name="_Toc102729709"/>
      <w:r w:rsidRPr="00431E28">
        <w:rPr>
          <w:rFonts w:asciiTheme="minorHAnsi" w:hAnsiTheme="minorHAnsi" w:cstheme="minorHAnsi"/>
        </w:rPr>
        <w:t>Section 2.2 Opioid Pain Medicines</w:t>
      </w:r>
      <w:bookmarkEnd w:id="25"/>
    </w:p>
    <w:p w14:paraId="1791DCCD" w14:textId="1927AF23" w:rsidR="00B65078" w:rsidRPr="001F3797" w:rsidRDefault="00B65078" w:rsidP="00B65078">
      <w:pPr>
        <w:ind w:firstLine="360"/>
        <w:rPr>
          <w:rFonts w:cstheme="minorHAnsi"/>
        </w:rPr>
      </w:pPr>
      <w:r w:rsidRPr="001F3797">
        <w:rPr>
          <w:rFonts w:cstheme="minorHAnsi"/>
        </w:rPr>
        <w:t xml:space="preserve"> </w:t>
      </w:r>
    </w:p>
    <w:p w14:paraId="51D06E80" w14:textId="77777777" w:rsidR="00B65078" w:rsidRPr="00431E28" w:rsidRDefault="00B65078" w:rsidP="00B65078">
      <w:pPr>
        <w:pStyle w:val="Heading2"/>
        <w:rPr>
          <w:rFonts w:asciiTheme="minorHAnsi" w:hAnsiTheme="minorHAnsi" w:cstheme="minorHAnsi"/>
        </w:rPr>
      </w:pPr>
      <w:bookmarkStart w:id="26" w:name="_Toc102729710"/>
      <w:r w:rsidRPr="00431E28">
        <w:rPr>
          <w:rFonts w:asciiTheme="minorHAnsi" w:hAnsiTheme="minorHAnsi" w:cstheme="minorHAnsi"/>
        </w:rPr>
        <w:t>Section 2.3 Oral Morphine Equivalences</w:t>
      </w:r>
      <w:bookmarkEnd w:id="26"/>
    </w:p>
    <w:p w14:paraId="4FC16E6A" w14:textId="73379D14" w:rsidR="00BE6122" w:rsidRDefault="00BE6122" w:rsidP="006C4279">
      <w:pPr>
        <w:ind w:firstLine="360"/>
        <w:jc w:val="right"/>
        <w:rPr>
          <w:rFonts w:cstheme="minorHAnsi"/>
        </w:rPr>
      </w:pPr>
    </w:p>
    <w:p w14:paraId="7D4D58A1" w14:textId="2276977A" w:rsidR="00531266" w:rsidRDefault="00531266" w:rsidP="00F65916">
      <w:pPr>
        <w:ind w:firstLine="360"/>
        <w:rPr>
          <w:rFonts w:cstheme="minorHAnsi"/>
        </w:rPr>
      </w:pPr>
    </w:p>
    <w:p w14:paraId="49CC1B27" w14:textId="5A941097" w:rsidR="00B65078" w:rsidRPr="001F3797" w:rsidRDefault="00B65078" w:rsidP="00F65916">
      <w:pPr>
        <w:ind w:firstLine="360"/>
        <w:rPr>
          <w:rFonts w:cstheme="minorHAnsi"/>
        </w:rPr>
      </w:pPr>
      <w:r w:rsidRPr="001F3797">
        <w:rPr>
          <w:rFonts w:cstheme="minorHAnsi"/>
        </w:rPr>
        <w:t xml:space="preserve">See appendix 2 for </w:t>
      </w:r>
      <w:r w:rsidR="00531266">
        <w:rPr>
          <w:rFonts w:cstheme="minorHAnsi"/>
        </w:rPr>
        <w:t>more detail on the</w:t>
      </w:r>
      <w:r w:rsidRPr="001F3797">
        <w:rPr>
          <w:rFonts w:cstheme="minorHAnsi"/>
        </w:rPr>
        <w:t xml:space="preserve"> sources used for the OME values.</w:t>
      </w:r>
    </w:p>
    <w:p w14:paraId="363A7FCF" w14:textId="77777777" w:rsidR="00B65078" w:rsidRPr="00431E28" w:rsidRDefault="00B65078" w:rsidP="00B65078">
      <w:pPr>
        <w:pStyle w:val="Heading2"/>
        <w:rPr>
          <w:rFonts w:asciiTheme="minorHAnsi" w:hAnsiTheme="minorHAnsi" w:cstheme="minorHAnsi"/>
        </w:rPr>
      </w:pPr>
      <w:bookmarkStart w:id="27" w:name="_Toc102729711"/>
      <w:r w:rsidRPr="00431E28">
        <w:rPr>
          <w:rFonts w:asciiTheme="minorHAnsi" w:hAnsiTheme="minorHAnsi" w:cstheme="minorHAnsi"/>
        </w:rPr>
        <w:t>Section 3 Gabapentinoids</w:t>
      </w:r>
      <w:bookmarkEnd w:id="27"/>
    </w:p>
    <w:p w14:paraId="7D45FD77" w14:textId="3A9DDAEB" w:rsidR="00B65078" w:rsidRPr="001F3797" w:rsidRDefault="00B65078" w:rsidP="00B65078">
      <w:pPr>
        <w:ind w:firstLine="360"/>
        <w:rPr>
          <w:rFonts w:cstheme="minorHAnsi"/>
        </w:rPr>
      </w:pPr>
      <w:r w:rsidRPr="001F3797">
        <w:rPr>
          <w:rFonts w:cstheme="minorHAnsi"/>
        </w:rPr>
        <w:t xml:space="preserve"> </w:t>
      </w:r>
    </w:p>
    <w:p w14:paraId="0119B333" w14:textId="77777777" w:rsidR="00B65078" w:rsidRPr="00431E28" w:rsidRDefault="00B65078" w:rsidP="00B65078">
      <w:pPr>
        <w:pStyle w:val="Heading2"/>
        <w:rPr>
          <w:rFonts w:asciiTheme="minorHAnsi" w:hAnsiTheme="minorHAnsi" w:cstheme="minorHAnsi"/>
        </w:rPr>
      </w:pPr>
      <w:bookmarkStart w:id="28" w:name="_Toc102729712"/>
      <w:r w:rsidRPr="00431E28">
        <w:rPr>
          <w:rFonts w:asciiTheme="minorHAnsi" w:hAnsiTheme="minorHAnsi" w:cstheme="minorHAnsi"/>
        </w:rPr>
        <w:t>Section 4 Benzodiazepines</w:t>
      </w:r>
      <w:bookmarkEnd w:id="28"/>
    </w:p>
    <w:p w14:paraId="51FC4D78" w14:textId="54E43AAB" w:rsidR="00B65078" w:rsidRPr="001F3797" w:rsidRDefault="00B65078" w:rsidP="00B65078">
      <w:pPr>
        <w:ind w:firstLine="360"/>
        <w:rPr>
          <w:rFonts w:cstheme="minorHAnsi"/>
        </w:rPr>
      </w:pPr>
    </w:p>
    <w:p w14:paraId="2EC0D747" w14:textId="7A3089D2" w:rsidR="002F29ED" w:rsidRPr="00431E28" w:rsidRDefault="002F29ED">
      <w:pPr>
        <w:rPr>
          <w:rFonts w:eastAsiaTheme="majorEastAsia" w:cstheme="minorHAnsi"/>
          <w:color w:val="0070C0"/>
          <w:sz w:val="24"/>
          <w:szCs w:val="24"/>
        </w:rPr>
      </w:pPr>
    </w:p>
    <w:p w14:paraId="6C64948D" w14:textId="14702ED1" w:rsidR="00ED65D7" w:rsidRPr="00431E28" w:rsidRDefault="00ED65D7" w:rsidP="00ED65D7">
      <w:pPr>
        <w:pStyle w:val="Heading1"/>
        <w:rPr>
          <w:rFonts w:asciiTheme="minorHAnsi" w:hAnsiTheme="minorHAnsi" w:cstheme="minorHAnsi"/>
        </w:rPr>
      </w:pPr>
      <w:bookmarkStart w:id="29" w:name="_Toc102729713"/>
      <w:r w:rsidRPr="00431E28">
        <w:rPr>
          <w:rFonts w:asciiTheme="minorHAnsi" w:hAnsiTheme="minorHAnsi" w:cstheme="minorHAnsi"/>
        </w:rPr>
        <w:t>Appendix 2: Opioid pain medicines and Oral Morphine Equivalent Values</w:t>
      </w:r>
      <w:bookmarkEnd w:id="29"/>
    </w:p>
    <w:p w14:paraId="69A3E8DF" w14:textId="18B66CEB" w:rsidR="00ED65D7" w:rsidRPr="001F3797" w:rsidRDefault="00ED65D7" w:rsidP="00ED65D7">
      <w:pPr>
        <w:rPr>
          <w:rFonts w:cstheme="minorHAnsi"/>
        </w:rPr>
      </w:pPr>
    </w:p>
    <w:p w14:paraId="4F223ED7" w14:textId="19676D81" w:rsidR="00672246" w:rsidRPr="001F3797" w:rsidRDefault="002F29ED" w:rsidP="00ED65D7">
      <w:pPr>
        <w:rPr>
          <w:rFonts w:cstheme="minorHAnsi"/>
        </w:rPr>
      </w:pPr>
      <w:r w:rsidRPr="001F3797">
        <w:rPr>
          <w:rFonts w:cstheme="minorHAnsi"/>
        </w:rPr>
        <w:t>The following spreadsheet describes the methodology for the assignment of Oral Morphine Equivalence (OME) values to BNF presentations.</w:t>
      </w:r>
      <w:r w:rsidR="00DC00AA" w:rsidRPr="001F3797">
        <w:rPr>
          <w:rFonts w:cstheme="minorHAnsi"/>
        </w:rPr>
        <w:t xml:space="preserve"> These have been assigned to a set of BNF presentations with reference to the following sources</w:t>
      </w:r>
      <w:r w:rsidR="002F75C1" w:rsidRPr="001F3797">
        <w:rPr>
          <w:rFonts w:cstheme="minorHAnsi"/>
        </w:rPr>
        <w:t>, each BNF presentation is linked to a source “Reference code”</w:t>
      </w:r>
      <w:r w:rsidR="00672246" w:rsidRPr="001F3797">
        <w:rPr>
          <w:rFonts w:cstheme="minorHAnsi"/>
        </w:rPr>
        <w:t xml:space="preserve"> corresponding to a source in the table below.</w:t>
      </w:r>
    </w:p>
    <w:p w14:paraId="5B0430F6" w14:textId="77777777" w:rsidR="00672246" w:rsidRPr="001F3797" w:rsidRDefault="00672246" w:rsidP="00672246">
      <w:pPr>
        <w:rPr>
          <w:rFonts w:cstheme="minorHAnsi"/>
        </w:rPr>
      </w:pPr>
      <w:r w:rsidRPr="001F3797">
        <w:rPr>
          <w:rFonts w:cstheme="minorHAnsi"/>
        </w:rPr>
        <w:t>Many opiates included in the PMR medicine class do not have OME assigned, these are shown in the spreadsheet and in appendix 1_2 where EQUIVALENCE_VALUE is blank.</w:t>
      </w:r>
    </w:p>
    <w:p w14:paraId="3B149E35" w14:textId="52AB8F08" w:rsidR="00ED65D7" w:rsidRPr="001F3797" w:rsidRDefault="00672246" w:rsidP="00ED65D7">
      <w:pPr>
        <w:rPr>
          <w:rFonts w:cstheme="minorHAnsi"/>
        </w:rPr>
      </w:pPr>
      <w:r w:rsidRPr="001F3797">
        <w:rPr>
          <w:rFonts w:cstheme="minorHAnsi"/>
        </w:rPr>
        <w:t xml:space="preserve"> </w:t>
      </w:r>
    </w:p>
    <w:tbl>
      <w:tblPr>
        <w:tblW w:w="0" w:type="auto"/>
        <w:tblLook w:val="04A0" w:firstRow="1" w:lastRow="0" w:firstColumn="1" w:lastColumn="0" w:noHBand="0" w:noVBand="1"/>
      </w:tblPr>
      <w:tblGrid>
        <w:gridCol w:w="902"/>
        <w:gridCol w:w="1583"/>
        <w:gridCol w:w="6541"/>
      </w:tblGrid>
      <w:tr w:rsidR="00DC00AA" w:rsidRPr="001F3797" w14:paraId="7D509231" w14:textId="77777777" w:rsidTr="0049234B">
        <w:trPr>
          <w:trHeight w:val="900"/>
        </w:trPr>
        <w:tc>
          <w:tcPr>
            <w:tcW w:w="0" w:type="auto"/>
            <w:tcBorders>
              <w:top w:val="nil"/>
              <w:left w:val="nil"/>
              <w:bottom w:val="nil"/>
              <w:right w:val="nil"/>
            </w:tcBorders>
            <w:shd w:val="clear" w:color="000000" w:fill="005EB8"/>
            <w:hideMark/>
          </w:tcPr>
          <w:p w14:paraId="08BA5E3D"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Code</w:t>
            </w:r>
          </w:p>
        </w:tc>
        <w:tc>
          <w:tcPr>
            <w:tcW w:w="2146" w:type="dxa"/>
            <w:tcBorders>
              <w:top w:val="nil"/>
              <w:left w:val="nil"/>
              <w:bottom w:val="nil"/>
              <w:right w:val="nil"/>
            </w:tcBorders>
            <w:shd w:val="clear" w:color="000000" w:fill="005EB8"/>
            <w:hideMark/>
          </w:tcPr>
          <w:p w14:paraId="70BDF47E"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Name</w:t>
            </w:r>
          </w:p>
        </w:tc>
        <w:tc>
          <w:tcPr>
            <w:tcW w:w="6033" w:type="dxa"/>
            <w:tcBorders>
              <w:top w:val="nil"/>
              <w:left w:val="nil"/>
              <w:bottom w:val="nil"/>
              <w:right w:val="nil"/>
            </w:tcBorders>
            <w:shd w:val="clear" w:color="000000" w:fill="005EB8"/>
            <w:hideMark/>
          </w:tcPr>
          <w:p w14:paraId="425977AA"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Link</w:t>
            </w:r>
          </w:p>
        </w:tc>
      </w:tr>
      <w:tr w:rsidR="00DC00AA" w:rsidRPr="001F3797" w14:paraId="6ACD7E19" w14:textId="77777777" w:rsidTr="0049234B">
        <w:trPr>
          <w:trHeight w:val="276"/>
        </w:trPr>
        <w:tc>
          <w:tcPr>
            <w:tcW w:w="0" w:type="auto"/>
            <w:tcBorders>
              <w:top w:val="nil"/>
              <w:left w:val="nil"/>
              <w:bottom w:val="nil"/>
              <w:right w:val="nil"/>
            </w:tcBorders>
            <w:shd w:val="clear" w:color="000000" w:fill="BDDEFF"/>
            <w:noWrap/>
            <w:hideMark/>
          </w:tcPr>
          <w:p w14:paraId="17054F0D"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BNF</w:t>
            </w:r>
          </w:p>
        </w:tc>
        <w:tc>
          <w:tcPr>
            <w:tcW w:w="2146" w:type="dxa"/>
            <w:tcBorders>
              <w:top w:val="nil"/>
              <w:left w:val="nil"/>
              <w:bottom w:val="nil"/>
              <w:right w:val="nil"/>
            </w:tcBorders>
            <w:shd w:val="clear" w:color="000000" w:fill="BDDEFF"/>
            <w:noWrap/>
            <w:hideMark/>
          </w:tcPr>
          <w:p w14:paraId="41B652E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British National Formulary</w:t>
            </w:r>
          </w:p>
        </w:tc>
        <w:tc>
          <w:tcPr>
            <w:tcW w:w="6033" w:type="dxa"/>
            <w:tcBorders>
              <w:top w:val="nil"/>
              <w:left w:val="nil"/>
              <w:bottom w:val="nil"/>
              <w:right w:val="nil"/>
            </w:tcBorders>
            <w:shd w:val="clear" w:color="000000" w:fill="BDDEFF"/>
            <w:noWrap/>
            <w:hideMark/>
          </w:tcPr>
          <w:p w14:paraId="0A975611"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27" w:history="1">
              <w:r w:rsidR="00DC00AA" w:rsidRPr="00431E28">
                <w:rPr>
                  <w:rFonts w:eastAsia="Times New Roman" w:cstheme="minorHAnsi"/>
                  <w:bCs w:val="0"/>
                  <w:color w:val="0072CE"/>
                  <w:u w:val="single"/>
                  <w:lang w:eastAsia="en-GB"/>
                </w:rPr>
                <w:t>https://www.bnf.org/products/bnf-online/</w:t>
              </w:r>
            </w:hyperlink>
          </w:p>
        </w:tc>
      </w:tr>
      <w:tr w:rsidR="00DC00AA" w:rsidRPr="001F3797" w14:paraId="57CB2166" w14:textId="77777777" w:rsidTr="0049234B">
        <w:trPr>
          <w:trHeight w:val="276"/>
        </w:trPr>
        <w:tc>
          <w:tcPr>
            <w:tcW w:w="0" w:type="auto"/>
            <w:tcBorders>
              <w:top w:val="nil"/>
              <w:left w:val="nil"/>
              <w:bottom w:val="nil"/>
              <w:right w:val="nil"/>
            </w:tcBorders>
            <w:shd w:val="clear" w:color="auto" w:fill="auto"/>
            <w:noWrap/>
            <w:hideMark/>
          </w:tcPr>
          <w:p w14:paraId="686B8090"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CMS</w:t>
            </w:r>
          </w:p>
        </w:tc>
        <w:tc>
          <w:tcPr>
            <w:tcW w:w="2146" w:type="dxa"/>
            <w:tcBorders>
              <w:top w:val="nil"/>
              <w:left w:val="nil"/>
              <w:bottom w:val="nil"/>
              <w:right w:val="nil"/>
            </w:tcBorders>
            <w:shd w:val="clear" w:color="auto" w:fill="auto"/>
            <w:noWrap/>
            <w:hideMark/>
          </w:tcPr>
          <w:p w14:paraId="7F2FFB56" w14:textId="77B2D177" w:rsidR="00DC00AA" w:rsidRPr="00431E28" w:rsidRDefault="001F3797" w:rsidP="002F75C1">
            <w:pPr>
              <w:spacing w:after="0" w:line="240" w:lineRule="auto"/>
              <w:rPr>
                <w:rFonts w:eastAsia="Times New Roman" w:cstheme="minorHAnsi"/>
                <w:bCs w:val="0"/>
                <w:color w:val="000000"/>
                <w:lang w:eastAsia="en-GB"/>
              </w:rPr>
            </w:pPr>
            <w:r w:rsidRPr="001F3797">
              <w:rPr>
                <w:rFonts w:eastAsia="Times New Roman" w:cstheme="minorHAnsi"/>
                <w:bCs w:val="0"/>
                <w:color w:val="000000"/>
                <w:lang w:eastAsia="en-GB"/>
              </w:rPr>
              <w:t>Centres</w:t>
            </w:r>
            <w:r w:rsidR="00DC00AA" w:rsidRPr="00431E28">
              <w:rPr>
                <w:rFonts w:eastAsia="Times New Roman" w:cstheme="minorHAnsi"/>
                <w:bCs w:val="0"/>
                <w:color w:val="000000"/>
                <w:lang w:eastAsia="en-GB"/>
              </w:rPr>
              <w:t xml:space="preserve"> for Medicare &amp; Medicaid Services</w:t>
            </w:r>
          </w:p>
        </w:tc>
        <w:tc>
          <w:tcPr>
            <w:tcW w:w="6033" w:type="dxa"/>
            <w:tcBorders>
              <w:top w:val="nil"/>
              <w:left w:val="nil"/>
              <w:bottom w:val="nil"/>
              <w:right w:val="nil"/>
            </w:tcBorders>
            <w:shd w:val="clear" w:color="auto" w:fill="auto"/>
            <w:noWrap/>
            <w:hideMark/>
          </w:tcPr>
          <w:p w14:paraId="6ECA0913"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28" w:history="1">
              <w:r w:rsidR="00DC00AA" w:rsidRPr="00431E28">
                <w:rPr>
                  <w:rFonts w:eastAsia="Times New Roman" w:cstheme="minorHAnsi"/>
                  <w:bCs w:val="0"/>
                  <w:color w:val="0072CE"/>
                  <w:u w:val="single"/>
                  <w:lang w:eastAsia="en-GB"/>
                </w:rPr>
                <w:t>https://www.cms.gov/Medicare/Prescription-Drug-Coverage/PrescriptionDrugCovContra/Downloads/Opioid-Morphine-EQ-Conversion-Factors-March-2015.pdf</w:t>
              </w:r>
            </w:hyperlink>
          </w:p>
        </w:tc>
      </w:tr>
      <w:tr w:rsidR="00DC00AA" w:rsidRPr="001F3797" w14:paraId="0616142F" w14:textId="77777777" w:rsidTr="0049234B">
        <w:trPr>
          <w:trHeight w:val="276"/>
        </w:trPr>
        <w:tc>
          <w:tcPr>
            <w:tcW w:w="0" w:type="auto"/>
            <w:tcBorders>
              <w:top w:val="nil"/>
              <w:left w:val="nil"/>
              <w:bottom w:val="nil"/>
              <w:right w:val="nil"/>
            </w:tcBorders>
            <w:shd w:val="clear" w:color="000000" w:fill="BDDEFF"/>
            <w:noWrap/>
            <w:hideMark/>
          </w:tcPr>
          <w:p w14:paraId="26CD3DDE"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GPN</w:t>
            </w:r>
          </w:p>
        </w:tc>
        <w:tc>
          <w:tcPr>
            <w:tcW w:w="2146" w:type="dxa"/>
            <w:tcBorders>
              <w:top w:val="nil"/>
              <w:left w:val="nil"/>
              <w:bottom w:val="nil"/>
              <w:right w:val="nil"/>
            </w:tcBorders>
            <w:shd w:val="clear" w:color="000000" w:fill="BDDEFF"/>
            <w:noWrap/>
            <w:hideMark/>
          </w:tcPr>
          <w:p w14:paraId="2ACB322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 Notebook</w:t>
            </w:r>
          </w:p>
        </w:tc>
        <w:tc>
          <w:tcPr>
            <w:tcW w:w="6033" w:type="dxa"/>
            <w:tcBorders>
              <w:top w:val="nil"/>
              <w:left w:val="nil"/>
              <w:bottom w:val="nil"/>
              <w:right w:val="nil"/>
            </w:tcBorders>
            <w:shd w:val="clear" w:color="000000" w:fill="BDDEFF"/>
            <w:noWrap/>
            <w:hideMark/>
          </w:tcPr>
          <w:p w14:paraId="504F1CF0"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29" w:history="1">
              <w:r w:rsidR="00DC00AA" w:rsidRPr="00431E28">
                <w:rPr>
                  <w:rFonts w:eastAsia="Times New Roman" w:cstheme="minorHAnsi"/>
                  <w:bCs w:val="0"/>
                  <w:color w:val="0072CE"/>
                  <w:u w:val="single"/>
                  <w:lang w:eastAsia="en-GB"/>
                </w:rPr>
                <w:t>https://www.gpnotebook.co.uk/</w:t>
              </w:r>
            </w:hyperlink>
          </w:p>
        </w:tc>
      </w:tr>
      <w:tr w:rsidR="00DC00AA" w:rsidRPr="001F3797" w14:paraId="3D99A76F" w14:textId="77777777" w:rsidTr="0049234B">
        <w:trPr>
          <w:trHeight w:val="276"/>
        </w:trPr>
        <w:tc>
          <w:tcPr>
            <w:tcW w:w="0" w:type="auto"/>
            <w:tcBorders>
              <w:top w:val="nil"/>
              <w:left w:val="nil"/>
              <w:bottom w:val="nil"/>
              <w:right w:val="nil"/>
            </w:tcBorders>
            <w:shd w:val="clear" w:color="auto" w:fill="auto"/>
            <w:noWrap/>
            <w:hideMark/>
          </w:tcPr>
          <w:p w14:paraId="1810FF4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MIMS</w:t>
            </w:r>
          </w:p>
        </w:tc>
        <w:tc>
          <w:tcPr>
            <w:tcW w:w="2146" w:type="dxa"/>
            <w:tcBorders>
              <w:top w:val="nil"/>
              <w:left w:val="nil"/>
              <w:bottom w:val="nil"/>
              <w:right w:val="nil"/>
            </w:tcBorders>
            <w:shd w:val="clear" w:color="auto" w:fill="auto"/>
            <w:noWrap/>
            <w:hideMark/>
          </w:tcPr>
          <w:p w14:paraId="5F1D3295"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Monthly Index of Medical Specialities</w:t>
            </w:r>
          </w:p>
        </w:tc>
        <w:tc>
          <w:tcPr>
            <w:tcW w:w="6033" w:type="dxa"/>
            <w:tcBorders>
              <w:top w:val="nil"/>
              <w:left w:val="nil"/>
              <w:bottom w:val="nil"/>
              <w:right w:val="nil"/>
            </w:tcBorders>
            <w:shd w:val="clear" w:color="auto" w:fill="auto"/>
            <w:noWrap/>
            <w:hideMark/>
          </w:tcPr>
          <w:p w14:paraId="7E2A7363"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30" w:history="1">
              <w:r w:rsidR="00DC00AA" w:rsidRPr="00431E28">
                <w:rPr>
                  <w:rFonts w:eastAsia="Times New Roman" w:cstheme="minorHAnsi"/>
                  <w:bCs w:val="0"/>
                  <w:color w:val="0072CE"/>
                  <w:u w:val="single"/>
                  <w:lang w:eastAsia="en-GB"/>
                </w:rPr>
                <w:t>https://www.mims.co.uk/</w:t>
              </w:r>
            </w:hyperlink>
          </w:p>
        </w:tc>
      </w:tr>
      <w:tr w:rsidR="00DC00AA" w:rsidRPr="001F3797" w14:paraId="07ED2D5C" w14:textId="77777777" w:rsidTr="0049234B">
        <w:trPr>
          <w:trHeight w:val="276"/>
        </w:trPr>
        <w:tc>
          <w:tcPr>
            <w:tcW w:w="0" w:type="auto"/>
            <w:tcBorders>
              <w:top w:val="nil"/>
              <w:left w:val="nil"/>
              <w:bottom w:val="nil"/>
              <w:right w:val="nil"/>
            </w:tcBorders>
            <w:shd w:val="clear" w:color="000000" w:fill="BDDEFF"/>
            <w:noWrap/>
            <w:hideMark/>
          </w:tcPr>
          <w:p w14:paraId="4AB91A93"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OA</w:t>
            </w:r>
          </w:p>
        </w:tc>
        <w:tc>
          <w:tcPr>
            <w:tcW w:w="2146" w:type="dxa"/>
            <w:tcBorders>
              <w:top w:val="nil"/>
              <w:left w:val="nil"/>
              <w:bottom w:val="nil"/>
              <w:right w:val="nil"/>
            </w:tcBorders>
            <w:shd w:val="clear" w:color="000000" w:fill="BDDEFF"/>
            <w:noWrap/>
            <w:hideMark/>
          </w:tcPr>
          <w:p w14:paraId="3A3D5DA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Opioids Aware</w:t>
            </w:r>
          </w:p>
        </w:tc>
        <w:tc>
          <w:tcPr>
            <w:tcW w:w="6033" w:type="dxa"/>
            <w:tcBorders>
              <w:top w:val="nil"/>
              <w:left w:val="nil"/>
              <w:bottom w:val="nil"/>
              <w:right w:val="nil"/>
            </w:tcBorders>
            <w:shd w:val="clear" w:color="000000" w:fill="BDDEFF"/>
            <w:noWrap/>
            <w:hideMark/>
          </w:tcPr>
          <w:p w14:paraId="5F3ED138"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31" w:history="1">
              <w:r w:rsidR="00DC00AA" w:rsidRPr="00431E28">
                <w:rPr>
                  <w:rFonts w:eastAsia="Times New Roman" w:cstheme="minorHAnsi"/>
                  <w:bCs w:val="0"/>
                  <w:color w:val="0072CE"/>
                  <w:u w:val="single"/>
                  <w:lang w:eastAsia="en-GB"/>
                </w:rPr>
                <w:t>https://www.rcoa.ac.uk/faculty-of-pain-medicine/opioids-aware</w:t>
              </w:r>
            </w:hyperlink>
          </w:p>
        </w:tc>
      </w:tr>
      <w:tr w:rsidR="00DC00AA" w:rsidRPr="001F3797" w14:paraId="2AECDEC5" w14:textId="77777777" w:rsidTr="0049234B">
        <w:trPr>
          <w:trHeight w:val="276"/>
        </w:trPr>
        <w:tc>
          <w:tcPr>
            <w:tcW w:w="0" w:type="auto"/>
            <w:tcBorders>
              <w:top w:val="nil"/>
              <w:left w:val="nil"/>
              <w:right w:val="nil"/>
            </w:tcBorders>
            <w:shd w:val="clear" w:color="auto" w:fill="auto"/>
            <w:noWrap/>
            <w:hideMark/>
          </w:tcPr>
          <w:p w14:paraId="30F1D7FF"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ABHB</w:t>
            </w:r>
          </w:p>
        </w:tc>
        <w:tc>
          <w:tcPr>
            <w:tcW w:w="2146" w:type="dxa"/>
            <w:tcBorders>
              <w:top w:val="nil"/>
              <w:left w:val="nil"/>
              <w:right w:val="nil"/>
            </w:tcBorders>
            <w:shd w:val="clear" w:color="auto" w:fill="auto"/>
            <w:noWrap/>
            <w:hideMark/>
          </w:tcPr>
          <w:p w14:paraId="48F8269B"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Aneurin Bevan Health Board</w:t>
            </w:r>
          </w:p>
        </w:tc>
        <w:tc>
          <w:tcPr>
            <w:tcW w:w="6033" w:type="dxa"/>
            <w:tcBorders>
              <w:top w:val="nil"/>
              <w:left w:val="nil"/>
              <w:right w:val="nil"/>
            </w:tcBorders>
            <w:shd w:val="clear" w:color="auto" w:fill="auto"/>
            <w:noWrap/>
            <w:hideMark/>
          </w:tcPr>
          <w:p w14:paraId="72EDE165" w14:textId="77777777" w:rsidR="00DC00AA" w:rsidRPr="00431E28" w:rsidRDefault="0089156C" w:rsidP="002F75C1">
            <w:pPr>
              <w:spacing w:after="0" w:line="240" w:lineRule="auto"/>
              <w:rPr>
                <w:rFonts w:eastAsia="Times New Roman" w:cstheme="minorHAnsi"/>
                <w:bCs w:val="0"/>
                <w:color w:val="0072CE"/>
                <w:u w:val="single"/>
                <w:lang w:eastAsia="en-GB"/>
              </w:rPr>
            </w:pPr>
            <w:hyperlink r:id="rId32" w:history="1">
              <w:r w:rsidR="00DC00AA" w:rsidRPr="00431E28">
                <w:rPr>
                  <w:rFonts w:eastAsia="Times New Roman" w:cstheme="minorHAnsi"/>
                  <w:bCs w:val="0"/>
                  <w:color w:val="0072CE"/>
                  <w:u w:val="single"/>
                  <w:lang w:eastAsia="en-GB"/>
                </w:rPr>
                <w:t>https://www.wales.nhs.uk/sites3/Documents/814/OpiateConversionDoses%5BFinal%5DNov2010.pdf</w:t>
              </w:r>
            </w:hyperlink>
          </w:p>
        </w:tc>
      </w:tr>
      <w:tr w:rsidR="00C12E1E" w:rsidRPr="001F3797" w14:paraId="75F837B9" w14:textId="77777777" w:rsidTr="0049234B">
        <w:trPr>
          <w:trHeight w:val="276"/>
        </w:trPr>
        <w:tc>
          <w:tcPr>
            <w:tcW w:w="0" w:type="auto"/>
            <w:tcBorders>
              <w:top w:val="nil"/>
              <w:left w:val="nil"/>
              <w:bottom w:val="nil"/>
              <w:right w:val="nil"/>
            </w:tcBorders>
            <w:shd w:val="clear" w:color="auto" w:fill="BDDEFF" w:themeFill="text2" w:themeFillTint="33"/>
            <w:noWrap/>
          </w:tcPr>
          <w:p w14:paraId="5CD2D172" w14:textId="689745BA" w:rsidR="00C12E1E" w:rsidRPr="0049234B" w:rsidRDefault="00C12E1E" w:rsidP="00C12E1E">
            <w:pPr>
              <w:spacing w:after="0" w:line="240" w:lineRule="auto"/>
              <w:rPr>
                <w:rFonts w:eastAsia="Times New Roman" w:cstheme="minorHAnsi"/>
                <w:bCs w:val="0"/>
                <w:lang w:eastAsia="en-GB"/>
              </w:rPr>
            </w:pPr>
            <w:r w:rsidRPr="00EB3692">
              <w:t>PCF</w:t>
            </w:r>
          </w:p>
        </w:tc>
        <w:tc>
          <w:tcPr>
            <w:tcW w:w="2146" w:type="dxa"/>
            <w:tcBorders>
              <w:top w:val="nil"/>
              <w:left w:val="nil"/>
              <w:bottom w:val="nil"/>
              <w:right w:val="nil"/>
            </w:tcBorders>
            <w:shd w:val="clear" w:color="auto" w:fill="BDDEFF" w:themeFill="text2" w:themeFillTint="33"/>
            <w:noWrap/>
          </w:tcPr>
          <w:p w14:paraId="1EB9E28D" w14:textId="0E5AE7B6" w:rsidR="00C12E1E" w:rsidRPr="0049234B" w:rsidRDefault="00C12E1E" w:rsidP="00C12E1E">
            <w:pPr>
              <w:spacing w:after="0" w:line="240" w:lineRule="auto"/>
              <w:rPr>
                <w:rFonts w:eastAsia="Times New Roman" w:cstheme="minorHAnsi"/>
                <w:bCs w:val="0"/>
                <w:lang w:eastAsia="en-GB"/>
              </w:rPr>
            </w:pPr>
            <w:r w:rsidRPr="00EB3692">
              <w:t>Palliative Care Formulary</w:t>
            </w:r>
          </w:p>
        </w:tc>
        <w:tc>
          <w:tcPr>
            <w:tcW w:w="6033" w:type="dxa"/>
            <w:tcBorders>
              <w:top w:val="nil"/>
              <w:left w:val="nil"/>
              <w:bottom w:val="nil"/>
              <w:right w:val="nil"/>
            </w:tcBorders>
            <w:shd w:val="clear" w:color="auto" w:fill="BDDEFF" w:themeFill="text2" w:themeFillTint="33"/>
            <w:noWrap/>
          </w:tcPr>
          <w:p w14:paraId="5C34F06C" w14:textId="005AB303" w:rsidR="00C12E1E" w:rsidRPr="00EB3692" w:rsidRDefault="00C12E1E" w:rsidP="00C12E1E">
            <w:pPr>
              <w:spacing w:after="0" w:line="240" w:lineRule="auto"/>
            </w:pPr>
          </w:p>
        </w:tc>
      </w:tr>
    </w:tbl>
    <w:p w14:paraId="5AE43290" w14:textId="3E3CD4D6" w:rsidR="00C12E1E" w:rsidRDefault="00C12E1E">
      <w:pPr>
        <w:rPr>
          <w:rFonts w:eastAsiaTheme="majorEastAsia" w:cstheme="minorHAnsi"/>
          <w:color w:val="0070C0"/>
          <w:sz w:val="24"/>
          <w:szCs w:val="24"/>
        </w:rPr>
      </w:pPr>
      <w:r>
        <w:rPr>
          <w:rFonts w:cstheme="minorHAnsi"/>
        </w:rPr>
        <w:lastRenderedPageBreak/>
        <w:br w:type="page"/>
      </w:r>
    </w:p>
    <w:p w14:paraId="38CD6228" w14:textId="21ABE7B1" w:rsidR="003629ED" w:rsidRPr="00431E28" w:rsidRDefault="003629ED" w:rsidP="003629ED">
      <w:pPr>
        <w:pStyle w:val="Heading1"/>
        <w:rPr>
          <w:rFonts w:asciiTheme="minorHAnsi" w:hAnsiTheme="minorHAnsi" w:cstheme="minorHAnsi"/>
        </w:rPr>
      </w:pPr>
      <w:bookmarkStart w:id="30" w:name="_Toc102729714"/>
      <w:r w:rsidRPr="00431E28">
        <w:rPr>
          <w:rFonts w:asciiTheme="minorHAnsi" w:hAnsiTheme="minorHAnsi" w:cstheme="minorHAnsi"/>
        </w:rPr>
        <w:lastRenderedPageBreak/>
        <w:t>Appendix 3: Working groups</w:t>
      </w:r>
      <w:bookmarkEnd w:id="30"/>
    </w:p>
    <w:p w14:paraId="75A20A32" w14:textId="24CAAC59" w:rsidR="00667B5D" w:rsidRDefault="00667B5D" w:rsidP="00667B5D">
      <w:pPr>
        <w:rPr>
          <w:rFonts w:cstheme="minorHAnsi"/>
        </w:rPr>
      </w:pPr>
    </w:p>
    <w:p w14:paraId="2AAF3561" w14:textId="77777777" w:rsidR="00F65916" w:rsidRPr="00A45C7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 xml:space="preserve">The Opioid Comparators Working Group </w:t>
      </w:r>
    </w:p>
    <w:p w14:paraId="1E9F95C5" w14:textId="77777777" w:rsidR="00F65916" w:rsidRDefault="00F65916" w:rsidP="00F65916">
      <w:pPr>
        <w:pStyle w:val="NoSpacing"/>
        <w:rPr>
          <w:rStyle w:val="Hyperlink"/>
          <w:rFonts w:ascii="Arial" w:hAnsi="Arial" w:cs="Arial"/>
        </w:rPr>
      </w:pPr>
    </w:p>
    <w:p w14:paraId="6B415DA3" w14:textId="77777777" w:rsidR="00F65916" w:rsidRPr="00A45C76"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Clare Howard</w:t>
      </w:r>
      <w:r w:rsidRPr="00A45C76">
        <w:rPr>
          <w:rStyle w:val="SubtleEmphasis"/>
          <w:i w:val="0"/>
          <w:iCs w:val="0"/>
          <w:color w:val="000000" w:themeColor="text1"/>
          <w:sz w:val="20"/>
          <w:szCs w:val="20"/>
        </w:rPr>
        <w:t xml:space="preserve"> Clinical Lead Medicines Optimisation</w:t>
      </w:r>
      <w:r w:rsidRPr="00D63E5E">
        <w:rPr>
          <w:rStyle w:val="SubtleEmphasis"/>
          <w:i w:val="0"/>
          <w:iCs w:val="0"/>
          <w:color w:val="000000" w:themeColor="text1"/>
          <w:sz w:val="20"/>
          <w:szCs w:val="20"/>
        </w:rPr>
        <w:t xml:space="preserve"> Wessex AHSN</w:t>
      </w:r>
      <w:r>
        <w:rPr>
          <w:rStyle w:val="SubtleEmphasis"/>
          <w:i w:val="0"/>
          <w:iCs w:val="0"/>
          <w:color w:val="000000" w:themeColor="text1"/>
          <w:sz w:val="20"/>
          <w:szCs w:val="20"/>
        </w:rPr>
        <w:t xml:space="preserve"> Chair</w:t>
      </w:r>
    </w:p>
    <w:p w14:paraId="45B2237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Vicki Rowell (Pain Meds Management Pharmacist HIOW CCG) </w:t>
      </w:r>
    </w:p>
    <w:p w14:paraId="5E07396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Joseph Hamed (Statistician Information Services NHSBSA) </w:t>
      </w:r>
    </w:p>
    <w:p w14:paraId="56325F4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Ian </w:t>
      </w:r>
      <w:proofErr w:type="spellStart"/>
      <w:r w:rsidRPr="00D63E5E">
        <w:rPr>
          <w:rStyle w:val="SubtleEmphasis"/>
          <w:i w:val="0"/>
          <w:iCs w:val="0"/>
          <w:color w:val="000000" w:themeColor="text1"/>
          <w:sz w:val="20"/>
          <w:szCs w:val="20"/>
        </w:rPr>
        <w:t>Bews</w:t>
      </w:r>
      <w:proofErr w:type="spellEnd"/>
      <w:r w:rsidRPr="00D63E5E">
        <w:rPr>
          <w:rStyle w:val="SubtleEmphasis"/>
          <w:i w:val="0"/>
          <w:iCs w:val="0"/>
          <w:color w:val="000000" w:themeColor="text1"/>
          <w:sz w:val="20"/>
          <w:szCs w:val="20"/>
        </w:rPr>
        <w:t xml:space="preserve"> (</w:t>
      </w:r>
      <w:r>
        <w:rPr>
          <w:rStyle w:val="SubtleEmphasis"/>
          <w:i w:val="0"/>
          <w:iCs w:val="0"/>
          <w:color w:val="000000" w:themeColor="text1"/>
          <w:sz w:val="20"/>
          <w:szCs w:val="20"/>
        </w:rPr>
        <w:t xml:space="preserve">Senior Information </w:t>
      </w:r>
      <w:r w:rsidRPr="00D63E5E">
        <w:rPr>
          <w:rStyle w:val="SubtleEmphasis"/>
          <w:i w:val="0"/>
          <w:iCs w:val="0"/>
          <w:color w:val="000000" w:themeColor="text1"/>
          <w:sz w:val="20"/>
          <w:szCs w:val="20"/>
        </w:rPr>
        <w:t>Analyst NHSBSA)</w:t>
      </w:r>
    </w:p>
    <w:p w14:paraId="657E742B"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Victoria (Tori) Hunter (Practice Pharmacist HIOW CCG)</w:t>
      </w:r>
    </w:p>
    <w:p w14:paraId="3F3B911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Claudia Lucas (GP The Willow Group)</w:t>
      </w:r>
    </w:p>
    <w:p w14:paraId="6B3A7978"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Margaret </w:t>
      </w:r>
      <w:proofErr w:type="spellStart"/>
      <w:r w:rsidRPr="00D63E5E">
        <w:rPr>
          <w:rStyle w:val="SubtleEmphasis"/>
          <w:i w:val="0"/>
          <w:iCs w:val="0"/>
          <w:color w:val="000000" w:themeColor="text1"/>
          <w:sz w:val="20"/>
          <w:szCs w:val="20"/>
        </w:rPr>
        <w:t>Dockey</w:t>
      </w:r>
      <w:proofErr w:type="spellEnd"/>
      <w:r w:rsidRPr="00D63E5E">
        <w:rPr>
          <w:rStyle w:val="SubtleEmphasis"/>
          <w:i w:val="0"/>
          <w:iCs w:val="0"/>
          <w:color w:val="000000" w:themeColor="text1"/>
          <w:sz w:val="20"/>
          <w:szCs w:val="20"/>
        </w:rPr>
        <w:t xml:space="preserve"> (Prescriptions Information Services Manager NHSBSA)</w:t>
      </w:r>
    </w:p>
    <w:p w14:paraId="3D52E76E"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Simon Cooper (Head of Primary Care, Portsmouth CCG)</w:t>
      </w:r>
    </w:p>
    <w:p w14:paraId="3085441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Nikki Perret-Green (Wessex PSC)</w:t>
      </w:r>
    </w:p>
    <w:p w14:paraId="03924475"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Adam Hocking (DCHFT) </w:t>
      </w:r>
    </w:p>
    <w:p w14:paraId="1D58FA0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Kaleem Akhtar (Senior Clinical Pharmacist, South Coast Medical Group)</w:t>
      </w:r>
    </w:p>
    <w:p w14:paraId="797C708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Ewan Maule (Head of Medicines Optimisation Sunderland CCG) </w:t>
      </w:r>
    </w:p>
    <w:p w14:paraId="35F5B54C"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Lawrence Brad (GP Westbourne Medical Group)</w:t>
      </w:r>
    </w:p>
    <w:p w14:paraId="0E429087" w14:textId="77777777" w:rsidR="00F65916" w:rsidRPr="001F3797" w:rsidRDefault="00F65916" w:rsidP="00667B5D">
      <w:pPr>
        <w:rPr>
          <w:rFonts w:cstheme="minorHAnsi"/>
        </w:rPr>
      </w:pPr>
    </w:p>
    <w:sectPr w:rsidR="00F65916" w:rsidRPr="001F3797">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6145" w14:textId="77777777" w:rsidR="0089156C" w:rsidRDefault="0089156C" w:rsidP="0035674C">
      <w:r>
        <w:separator/>
      </w:r>
    </w:p>
  </w:endnote>
  <w:endnote w:type="continuationSeparator" w:id="0">
    <w:p w14:paraId="47E11C89" w14:textId="77777777" w:rsidR="0089156C" w:rsidRDefault="0089156C" w:rsidP="0035674C">
      <w:r>
        <w:continuationSeparator/>
      </w:r>
    </w:p>
  </w:endnote>
  <w:endnote w:type="continuationNotice" w:id="1">
    <w:p w14:paraId="7217F431" w14:textId="77777777" w:rsidR="0089156C" w:rsidRDefault="0089156C">
      <w:pPr>
        <w:spacing w:after="0" w:line="240" w:lineRule="auto"/>
      </w:pPr>
    </w:p>
  </w:endnote>
  <w:endnote w:id="2">
    <w:p w14:paraId="46BF04B7" w14:textId="506F5739" w:rsidR="0041212E" w:rsidRDefault="0041212E" w:rsidP="00F65916">
      <w:pPr>
        <w:pStyle w:val="EndnoteText"/>
        <w:rPr>
          <w:rStyle w:val="Hyperlink"/>
          <w:rFonts w:ascii="Arial" w:hAnsi="Arial" w:cs="Arial"/>
        </w:rPr>
      </w:pPr>
      <w:r>
        <w:rPr>
          <w:rStyle w:val="EndnoteReference"/>
        </w:rPr>
        <w:endnoteRef/>
      </w:r>
      <w:r w:rsidR="00F65916">
        <w:t>PHE (2019),</w:t>
      </w:r>
      <w:r w:rsidR="00F65916" w:rsidRPr="00F65916">
        <w:t xml:space="preserve"> </w:t>
      </w:r>
      <w:r w:rsidR="00F65916" w:rsidRPr="00F65916">
        <w:rPr>
          <w:i/>
          <w:iCs/>
        </w:rPr>
        <w:t>“Prescribed medicines review: report, Report of the review of the evidence for dependence on, and withdrawal from, prescribed medicines”</w:t>
      </w:r>
      <w:r w:rsidR="00F65916">
        <w:t xml:space="preserve"> , </w:t>
      </w:r>
      <w:hyperlink r:id="rId1" w:history="1">
        <w:r w:rsidR="00F65916" w:rsidRPr="000F1202">
          <w:rPr>
            <w:rStyle w:val="Hyperlink"/>
            <w:rFonts w:ascii="Arial" w:hAnsi="Arial" w:cs="Arial"/>
          </w:rPr>
          <w:t>https://www.gov.uk/government/publications/prescribed-medicines-review-report</w:t>
        </w:r>
      </w:hyperlink>
    </w:p>
    <w:p w14:paraId="19457674" w14:textId="444D5939" w:rsidR="00DE7DA9" w:rsidRDefault="00DE7DA9" w:rsidP="00D63E5E">
      <w:pPr>
        <w:pStyle w:val="NoSpacing"/>
        <w:rPr>
          <w:rStyle w:val="Hyperlink"/>
          <w:rFonts w:ascii="Arial" w:hAnsi="Arial" w:cs="Arial"/>
        </w:rPr>
      </w:pPr>
    </w:p>
    <w:p w14:paraId="3EF983C8" w14:textId="3F423667" w:rsidR="00DE7DA9" w:rsidRDefault="00DE7DA9" w:rsidP="00D63E5E">
      <w:pPr>
        <w:pStyle w:val="NoSpacing"/>
        <w:rPr>
          <w:rStyle w:val="Hyperlink"/>
          <w:rFonts w:ascii="Arial" w:hAnsi="Arial" w:cs="Arial"/>
        </w:rPr>
      </w:pPr>
    </w:p>
    <w:p w14:paraId="62CBD1C3" w14:textId="77777777" w:rsidR="00D63E5E" w:rsidRPr="00B52A7D" w:rsidRDefault="00D63E5E" w:rsidP="00D63E5E">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4923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446E" w14:textId="77777777" w:rsidR="0089156C" w:rsidRDefault="0089156C" w:rsidP="0035674C">
      <w:r>
        <w:separator/>
      </w:r>
    </w:p>
  </w:footnote>
  <w:footnote w:type="continuationSeparator" w:id="0">
    <w:p w14:paraId="67417B48" w14:textId="77777777" w:rsidR="0089156C" w:rsidRDefault="0089156C" w:rsidP="0035674C">
      <w:r>
        <w:continuationSeparator/>
      </w:r>
    </w:p>
  </w:footnote>
  <w:footnote w:type="continuationNotice" w:id="1">
    <w:p w14:paraId="297235EA" w14:textId="77777777" w:rsidR="0089156C" w:rsidRDefault="0089156C">
      <w:pPr>
        <w:spacing w:after="0" w:line="240" w:lineRule="auto"/>
      </w:pPr>
    </w:p>
  </w:footnote>
  <w:footnote w:id="2">
    <w:p w14:paraId="36A0C34F" w14:textId="2415CBF5" w:rsidR="0084541E" w:rsidRDefault="0084541E">
      <w:pPr>
        <w:pStyle w:val="FootnoteText"/>
      </w:pPr>
      <w:r>
        <w:rPr>
          <w:rStyle w:val="FootnoteReference"/>
        </w:rPr>
        <w:footnoteRef/>
      </w:r>
      <w:r>
        <w:t xml:space="preserve"> Public Health England (2018) ‘</w:t>
      </w:r>
      <w:r w:rsidRPr="0084541E">
        <w:t>Dependence and withdrawal associated with</w:t>
      </w:r>
      <w:r>
        <w:t xml:space="preserve"> </w:t>
      </w:r>
      <w:r w:rsidRPr="0084541E">
        <w:t>some prescribed medicines</w:t>
      </w:r>
      <w:r>
        <w:t xml:space="preserve">: </w:t>
      </w:r>
      <w:r w:rsidRPr="0084541E">
        <w:t>An evidence review –technical annexe</w:t>
      </w:r>
      <w:r>
        <w:t xml:space="preserve">’, PMR, technical annexe, page 13 and Figure 1, </w:t>
      </w:r>
      <w:r w:rsidRPr="0084541E">
        <w:t>https://app.box.com/s/2i61byjuz1bfxeik322iew2q3wpybck5/file/520664470668</w:t>
      </w:r>
    </w:p>
  </w:footnote>
  <w:footnote w:id="3">
    <w:p w14:paraId="465CEEB4" w14:textId="3DE5BC1D" w:rsidR="004E0147" w:rsidRDefault="004E0147">
      <w:pPr>
        <w:pStyle w:val="FootnoteText"/>
      </w:pPr>
      <w:r>
        <w:rPr>
          <w:rStyle w:val="FootnoteReference"/>
        </w:rPr>
        <w:footnoteRef/>
      </w:r>
      <w:r>
        <w:t xml:space="preserve"> NHS Organisation Data Service code.</w:t>
      </w:r>
    </w:p>
  </w:footnote>
  <w:footnote w:id="4">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1" w:history="1">
        <w:r w:rsidR="007C5DE7" w:rsidRPr="000F1202">
          <w:rPr>
            <w:rStyle w:val="Hyperlink"/>
          </w:rPr>
          <w:t>https://www.nhsbsa.nhs.uk/sites/default/files/2018-02/180115%20Age%20Logic%20Summary%20Flow%20Chart%20-%20Revised%20Layout.pdf</w:t>
        </w:r>
      </w:hyperlink>
      <w:r w:rsidR="007C5DE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14"/>
  </w:num>
  <w:num w:numId="4">
    <w:abstractNumId w:val="15"/>
  </w:num>
  <w:num w:numId="5">
    <w:abstractNumId w:val="11"/>
  </w:num>
  <w:num w:numId="6">
    <w:abstractNumId w:val="10"/>
  </w:num>
  <w:num w:numId="7">
    <w:abstractNumId w:val="12"/>
  </w:num>
  <w:num w:numId="8">
    <w:abstractNumId w:val="19"/>
  </w:num>
  <w:num w:numId="9">
    <w:abstractNumId w:val="16"/>
  </w:num>
  <w:num w:numId="10">
    <w:abstractNumId w:val="18"/>
  </w:num>
  <w:num w:numId="11">
    <w:abstractNumId w:val="10"/>
    <w:lvlOverride w:ilvl="0">
      <w:startOverride w:val="1"/>
    </w:lvlOverride>
  </w:num>
  <w:num w:numId="12">
    <w:abstractNumId w:val="10"/>
    <w:lvlOverride w:ilvl="0">
      <w:startOverride w:val="5"/>
    </w:lvlOverride>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54F5"/>
    <w:rsid w:val="000205DE"/>
    <w:rsid w:val="0002165F"/>
    <w:rsid w:val="00022CE4"/>
    <w:rsid w:val="00034B7D"/>
    <w:rsid w:val="00043826"/>
    <w:rsid w:val="00045068"/>
    <w:rsid w:val="000518F1"/>
    <w:rsid w:val="0005339C"/>
    <w:rsid w:val="00055A2C"/>
    <w:rsid w:val="000579B9"/>
    <w:rsid w:val="000579F6"/>
    <w:rsid w:val="00065B1B"/>
    <w:rsid w:val="00066261"/>
    <w:rsid w:val="000666DC"/>
    <w:rsid w:val="0007408A"/>
    <w:rsid w:val="000754D1"/>
    <w:rsid w:val="0007557D"/>
    <w:rsid w:val="00077243"/>
    <w:rsid w:val="000810A1"/>
    <w:rsid w:val="00081CBD"/>
    <w:rsid w:val="00083BF4"/>
    <w:rsid w:val="00086C28"/>
    <w:rsid w:val="00091E73"/>
    <w:rsid w:val="00092687"/>
    <w:rsid w:val="000948D1"/>
    <w:rsid w:val="000A1B12"/>
    <w:rsid w:val="000A4E03"/>
    <w:rsid w:val="000A5FE3"/>
    <w:rsid w:val="000B5B0E"/>
    <w:rsid w:val="000B7BB8"/>
    <w:rsid w:val="000C2AE2"/>
    <w:rsid w:val="000C6359"/>
    <w:rsid w:val="000D635D"/>
    <w:rsid w:val="000E0018"/>
    <w:rsid w:val="000E3EEE"/>
    <w:rsid w:val="000E74B8"/>
    <w:rsid w:val="000F1555"/>
    <w:rsid w:val="000F47AB"/>
    <w:rsid w:val="000F6C64"/>
    <w:rsid w:val="00107280"/>
    <w:rsid w:val="00112081"/>
    <w:rsid w:val="0011559B"/>
    <w:rsid w:val="001158A2"/>
    <w:rsid w:val="00117770"/>
    <w:rsid w:val="0012049A"/>
    <w:rsid w:val="00120ED1"/>
    <w:rsid w:val="0013021B"/>
    <w:rsid w:val="00131488"/>
    <w:rsid w:val="00136E47"/>
    <w:rsid w:val="00140E5C"/>
    <w:rsid w:val="00146078"/>
    <w:rsid w:val="001472F4"/>
    <w:rsid w:val="001516D1"/>
    <w:rsid w:val="00161FC2"/>
    <w:rsid w:val="00164CE1"/>
    <w:rsid w:val="0016551E"/>
    <w:rsid w:val="001674EC"/>
    <w:rsid w:val="00173A66"/>
    <w:rsid w:val="001741BA"/>
    <w:rsid w:val="0017467D"/>
    <w:rsid w:val="001820D7"/>
    <w:rsid w:val="001845DE"/>
    <w:rsid w:val="00185897"/>
    <w:rsid w:val="00186A8B"/>
    <w:rsid w:val="00197015"/>
    <w:rsid w:val="001A02E8"/>
    <w:rsid w:val="001A37CD"/>
    <w:rsid w:val="001A607A"/>
    <w:rsid w:val="001A701D"/>
    <w:rsid w:val="001B04DB"/>
    <w:rsid w:val="001B0A08"/>
    <w:rsid w:val="001B6BC6"/>
    <w:rsid w:val="001C339C"/>
    <w:rsid w:val="001C7D40"/>
    <w:rsid w:val="001D0D41"/>
    <w:rsid w:val="001D3F03"/>
    <w:rsid w:val="001D629C"/>
    <w:rsid w:val="001E039F"/>
    <w:rsid w:val="001F371E"/>
    <w:rsid w:val="001F3797"/>
    <w:rsid w:val="001F61AC"/>
    <w:rsid w:val="00207408"/>
    <w:rsid w:val="002078DB"/>
    <w:rsid w:val="002102FB"/>
    <w:rsid w:val="00220EDD"/>
    <w:rsid w:val="002267D4"/>
    <w:rsid w:val="0023017D"/>
    <w:rsid w:val="002325E6"/>
    <w:rsid w:val="00234E04"/>
    <w:rsid w:val="002370E5"/>
    <w:rsid w:val="00243079"/>
    <w:rsid w:val="00243647"/>
    <w:rsid w:val="00253383"/>
    <w:rsid w:val="00253FBA"/>
    <w:rsid w:val="0026088A"/>
    <w:rsid w:val="00263B25"/>
    <w:rsid w:val="002654B4"/>
    <w:rsid w:val="00274E21"/>
    <w:rsid w:val="002766DC"/>
    <w:rsid w:val="0028670C"/>
    <w:rsid w:val="00290D05"/>
    <w:rsid w:val="002A7C17"/>
    <w:rsid w:val="002B27E2"/>
    <w:rsid w:val="002B50CC"/>
    <w:rsid w:val="002C4C09"/>
    <w:rsid w:val="002C6B96"/>
    <w:rsid w:val="002D2552"/>
    <w:rsid w:val="002D494F"/>
    <w:rsid w:val="002D5A9D"/>
    <w:rsid w:val="002E37A3"/>
    <w:rsid w:val="002E4C4A"/>
    <w:rsid w:val="002F29ED"/>
    <w:rsid w:val="002F3AB8"/>
    <w:rsid w:val="002F3D30"/>
    <w:rsid w:val="002F61A3"/>
    <w:rsid w:val="002F7053"/>
    <w:rsid w:val="002F75C1"/>
    <w:rsid w:val="00304997"/>
    <w:rsid w:val="00312265"/>
    <w:rsid w:val="003141AF"/>
    <w:rsid w:val="00321787"/>
    <w:rsid w:val="00322305"/>
    <w:rsid w:val="00324B55"/>
    <w:rsid w:val="0032719A"/>
    <w:rsid w:val="003376E4"/>
    <w:rsid w:val="0035674C"/>
    <w:rsid w:val="003623C3"/>
    <w:rsid w:val="003629ED"/>
    <w:rsid w:val="00365F0E"/>
    <w:rsid w:val="0037336E"/>
    <w:rsid w:val="00380924"/>
    <w:rsid w:val="00380F53"/>
    <w:rsid w:val="003867F2"/>
    <w:rsid w:val="00386D2E"/>
    <w:rsid w:val="0039145A"/>
    <w:rsid w:val="00392ACF"/>
    <w:rsid w:val="00393D92"/>
    <w:rsid w:val="003946C3"/>
    <w:rsid w:val="003A2CF4"/>
    <w:rsid w:val="003A5857"/>
    <w:rsid w:val="003B3BF9"/>
    <w:rsid w:val="003B6371"/>
    <w:rsid w:val="003B7B62"/>
    <w:rsid w:val="003C17E5"/>
    <w:rsid w:val="003C4573"/>
    <w:rsid w:val="003C74CD"/>
    <w:rsid w:val="003C7949"/>
    <w:rsid w:val="003D17E6"/>
    <w:rsid w:val="003D5478"/>
    <w:rsid w:val="003D6C6B"/>
    <w:rsid w:val="003E1038"/>
    <w:rsid w:val="003E62B7"/>
    <w:rsid w:val="003F1DBC"/>
    <w:rsid w:val="003F53C7"/>
    <w:rsid w:val="004012A6"/>
    <w:rsid w:val="004050E8"/>
    <w:rsid w:val="00405862"/>
    <w:rsid w:val="0041212E"/>
    <w:rsid w:val="00414101"/>
    <w:rsid w:val="004255F1"/>
    <w:rsid w:val="00427231"/>
    <w:rsid w:val="00431E28"/>
    <w:rsid w:val="0045229E"/>
    <w:rsid w:val="00454D35"/>
    <w:rsid w:val="004613A9"/>
    <w:rsid w:val="00462EA8"/>
    <w:rsid w:val="004661A2"/>
    <w:rsid w:val="00474375"/>
    <w:rsid w:val="0047535A"/>
    <w:rsid w:val="00476517"/>
    <w:rsid w:val="0047759C"/>
    <w:rsid w:val="00481C3F"/>
    <w:rsid w:val="00491996"/>
    <w:rsid w:val="00491CF2"/>
    <w:rsid w:val="0049234B"/>
    <w:rsid w:val="004979E5"/>
    <w:rsid w:val="004A00B9"/>
    <w:rsid w:val="004A0831"/>
    <w:rsid w:val="004A2BA3"/>
    <w:rsid w:val="004A49D0"/>
    <w:rsid w:val="004A504D"/>
    <w:rsid w:val="004B02F2"/>
    <w:rsid w:val="004C01D8"/>
    <w:rsid w:val="004C3EC2"/>
    <w:rsid w:val="004D2A10"/>
    <w:rsid w:val="004D632B"/>
    <w:rsid w:val="004E0147"/>
    <w:rsid w:val="004E19E4"/>
    <w:rsid w:val="004E2880"/>
    <w:rsid w:val="004E3C4D"/>
    <w:rsid w:val="004E49DF"/>
    <w:rsid w:val="004F1185"/>
    <w:rsid w:val="004F274C"/>
    <w:rsid w:val="004F4833"/>
    <w:rsid w:val="004F5F16"/>
    <w:rsid w:val="004F6209"/>
    <w:rsid w:val="00500E8F"/>
    <w:rsid w:val="005064EC"/>
    <w:rsid w:val="00511742"/>
    <w:rsid w:val="0051761D"/>
    <w:rsid w:val="005259F1"/>
    <w:rsid w:val="00526350"/>
    <w:rsid w:val="00531266"/>
    <w:rsid w:val="005350C7"/>
    <w:rsid w:val="00543DDC"/>
    <w:rsid w:val="0054412E"/>
    <w:rsid w:val="00544918"/>
    <w:rsid w:val="00544A81"/>
    <w:rsid w:val="00546503"/>
    <w:rsid w:val="00546CDC"/>
    <w:rsid w:val="0056158E"/>
    <w:rsid w:val="00562498"/>
    <w:rsid w:val="00562BD6"/>
    <w:rsid w:val="00567E10"/>
    <w:rsid w:val="00571CF1"/>
    <w:rsid w:val="00571EAB"/>
    <w:rsid w:val="00575E4A"/>
    <w:rsid w:val="005844E7"/>
    <w:rsid w:val="005920B7"/>
    <w:rsid w:val="00594213"/>
    <w:rsid w:val="005B58B0"/>
    <w:rsid w:val="005B5DDF"/>
    <w:rsid w:val="005B5F4B"/>
    <w:rsid w:val="005C1C2E"/>
    <w:rsid w:val="005C230E"/>
    <w:rsid w:val="005C27E9"/>
    <w:rsid w:val="005C545F"/>
    <w:rsid w:val="005C7119"/>
    <w:rsid w:val="005D42B5"/>
    <w:rsid w:val="005F440C"/>
    <w:rsid w:val="00605CAE"/>
    <w:rsid w:val="006061FD"/>
    <w:rsid w:val="00621D47"/>
    <w:rsid w:val="00625A73"/>
    <w:rsid w:val="00650F3B"/>
    <w:rsid w:val="00653A6F"/>
    <w:rsid w:val="006541E7"/>
    <w:rsid w:val="00657761"/>
    <w:rsid w:val="00667B5D"/>
    <w:rsid w:val="00672246"/>
    <w:rsid w:val="00677410"/>
    <w:rsid w:val="006A3D06"/>
    <w:rsid w:val="006B30A6"/>
    <w:rsid w:val="006B40EC"/>
    <w:rsid w:val="006B4C27"/>
    <w:rsid w:val="006B6F6D"/>
    <w:rsid w:val="006C4279"/>
    <w:rsid w:val="006D5DEE"/>
    <w:rsid w:val="006D616E"/>
    <w:rsid w:val="006D6DDF"/>
    <w:rsid w:val="006E053D"/>
    <w:rsid w:val="006E220B"/>
    <w:rsid w:val="006F6545"/>
    <w:rsid w:val="006F6D83"/>
    <w:rsid w:val="0070091D"/>
    <w:rsid w:val="007075F7"/>
    <w:rsid w:val="007123EA"/>
    <w:rsid w:val="00721AA8"/>
    <w:rsid w:val="00725EC0"/>
    <w:rsid w:val="00742D5B"/>
    <w:rsid w:val="00742F94"/>
    <w:rsid w:val="0074337E"/>
    <w:rsid w:val="007477CF"/>
    <w:rsid w:val="00750F93"/>
    <w:rsid w:val="0075293F"/>
    <w:rsid w:val="0077102C"/>
    <w:rsid w:val="0077290A"/>
    <w:rsid w:val="007738F5"/>
    <w:rsid w:val="00776AB8"/>
    <w:rsid w:val="00780974"/>
    <w:rsid w:val="00782090"/>
    <w:rsid w:val="007844FF"/>
    <w:rsid w:val="00785279"/>
    <w:rsid w:val="00796334"/>
    <w:rsid w:val="007A1203"/>
    <w:rsid w:val="007A1D96"/>
    <w:rsid w:val="007A3181"/>
    <w:rsid w:val="007B278D"/>
    <w:rsid w:val="007C0974"/>
    <w:rsid w:val="007C5DE7"/>
    <w:rsid w:val="007D2E7B"/>
    <w:rsid w:val="007F139E"/>
    <w:rsid w:val="007F2DA8"/>
    <w:rsid w:val="008020AD"/>
    <w:rsid w:val="0080394F"/>
    <w:rsid w:val="008073E9"/>
    <w:rsid w:val="00807C86"/>
    <w:rsid w:val="00807C9F"/>
    <w:rsid w:val="00815C5B"/>
    <w:rsid w:val="0081729B"/>
    <w:rsid w:val="00823645"/>
    <w:rsid w:val="00824249"/>
    <w:rsid w:val="008263DF"/>
    <w:rsid w:val="00826BFF"/>
    <w:rsid w:val="008310F3"/>
    <w:rsid w:val="008326C8"/>
    <w:rsid w:val="0083455D"/>
    <w:rsid w:val="0084286B"/>
    <w:rsid w:val="00843963"/>
    <w:rsid w:val="0084541E"/>
    <w:rsid w:val="00845B0A"/>
    <w:rsid w:val="008469AB"/>
    <w:rsid w:val="00851695"/>
    <w:rsid w:val="008528D3"/>
    <w:rsid w:val="00854E32"/>
    <w:rsid w:val="008604CA"/>
    <w:rsid w:val="00863230"/>
    <w:rsid w:val="008641CA"/>
    <w:rsid w:val="00877675"/>
    <w:rsid w:val="00880977"/>
    <w:rsid w:val="00881157"/>
    <w:rsid w:val="00885A52"/>
    <w:rsid w:val="00886DF0"/>
    <w:rsid w:val="008876E0"/>
    <w:rsid w:val="0089156C"/>
    <w:rsid w:val="0089589E"/>
    <w:rsid w:val="00895F9E"/>
    <w:rsid w:val="008A3A5B"/>
    <w:rsid w:val="008A4564"/>
    <w:rsid w:val="008B1F4A"/>
    <w:rsid w:val="008B2228"/>
    <w:rsid w:val="008B2AE6"/>
    <w:rsid w:val="008B43E0"/>
    <w:rsid w:val="008C22A8"/>
    <w:rsid w:val="008C65EA"/>
    <w:rsid w:val="008C6679"/>
    <w:rsid w:val="008D0B47"/>
    <w:rsid w:val="008E1755"/>
    <w:rsid w:val="008E41FD"/>
    <w:rsid w:val="008E75D4"/>
    <w:rsid w:val="008F2D45"/>
    <w:rsid w:val="008F6B16"/>
    <w:rsid w:val="009017D1"/>
    <w:rsid w:val="0091015A"/>
    <w:rsid w:val="00921F5E"/>
    <w:rsid w:val="0093040F"/>
    <w:rsid w:val="00930570"/>
    <w:rsid w:val="009318E6"/>
    <w:rsid w:val="00934C0F"/>
    <w:rsid w:val="0094636B"/>
    <w:rsid w:val="00947D73"/>
    <w:rsid w:val="009574F7"/>
    <w:rsid w:val="0095766A"/>
    <w:rsid w:val="009631CC"/>
    <w:rsid w:val="009644FB"/>
    <w:rsid w:val="009659D5"/>
    <w:rsid w:val="0097081A"/>
    <w:rsid w:val="0097494A"/>
    <w:rsid w:val="00981D62"/>
    <w:rsid w:val="00981E34"/>
    <w:rsid w:val="009831AE"/>
    <w:rsid w:val="00984189"/>
    <w:rsid w:val="00987067"/>
    <w:rsid w:val="0099474C"/>
    <w:rsid w:val="009A1BD5"/>
    <w:rsid w:val="009A2129"/>
    <w:rsid w:val="009A46D7"/>
    <w:rsid w:val="009A56DB"/>
    <w:rsid w:val="009A658F"/>
    <w:rsid w:val="009B0194"/>
    <w:rsid w:val="009B17D1"/>
    <w:rsid w:val="009B648A"/>
    <w:rsid w:val="009D6643"/>
    <w:rsid w:val="009E747C"/>
    <w:rsid w:val="009E760A"/>
    <w:rsid w:val="009F6E67"/>
    <w:rsid w:val="009F7947"/>
    <w:rsid w:val="00A04BE2"/>
    <w:rsid w:val="00A10F74"/>
    <w:rsid w:val="00A124D4"/>
    <w:rsid w:val="00A12517"/>
    <w:rsid w:val="00A1262E"/>
    <w:rsid w:val="00A127B4"/>
    <w:rsid w:val="00A16263"/>
    <w:rsid w:val="00A23EFA"/>
    <w:rsid w:val="00A32A53"/>
    <w:rsid w:val="00A3372F"/>
    <w:rsid w:val="00A44AE2"/>
    <w:rsid w:val="00A45C76"/>
    <w:rsid w:val="00A54D51"/>
    <w:rsid w:val="00A61483"/>
    <w:rsid w:val="00A70A3B"/>
    <w:rsid w:val="00A72B97"/>
    <w:rsid w:val="00A8527F"/>
    <w:rsid w:val="00AA0333"/>
    <w:rsid w:val="00AA2ABA"/>
    <w:rsid w:val="00AA39F4"/>
    <w:rsid w:val="00AA5C29"/>
    <w:rsid w:val="00AB38BB"/>
    <w:rsid w:val="00AC1EFA"/>
    <w:rsid w:val="00AC700C"/>
    <w:rsid w:val="00AD123F"/>
    <w:rsid w:val="00AD1F1A"/>
    <w:rsid w:val="00AD6090"/>
    <w:rsid w:val="00AE05FB"/>
    <w:rsid w:val="00AE09E3"/>
    <w:rsid w:val="00AE4205"/>
    <w:rsid w:val="00AE4C4D"/>
    <w:rsid w:val="00AF351A"/>
    <w:rsid w:val="00B05B68"/>
    <w:rsid w:val="00B05CCE"/>
    <w:rsid w:val="00B07B3F"/>
    <w:rsid w:val="00B106F4"/>
    <w:rsid w:val="00B153CE"/>
    <w:rsid w:val="00B2044B"/>
    <w:rsid w:val="00B22D58"/>
    <w:rsid w:val="00B2352D"/>
    <w:rsid w:val="00B23D17"/>
    <w:rsid w:val="00B32AFA"/>
    <w:rsid w:val="00B410C6"/>
    <w:rsid w:val="00B46471"/>
    <w:rsid w:val="00B46997"/>
    <w:rsid w:val="00B52A7D"/>
    <w:rsid w:val="00B54DF4"/>
    <w:rsid w:val="00B56261"/>
    <w:rsid w:val="00B61B74"/>
    <w:rsid w:val="00B62A1C"/>
    <w:rsid w:val="00B646AF"/>
    <w:rsid w:val="00B65078"/>
    <w:rsid w:val="00B6587E"/>
    <w:rsid w:val="00B81CA3"/>
    <w:rsid w:val="00B83824"/>
    <w:rsid w:val="00B92059"/>
    <w:rsid w:val="00B9296E"/>
    <w:rsid w:val="00B93B20"/>
    <w:rsid w:val="00BA29A0"/>
    <w:rsid w:val="00BA4224"/>
    <w:rsid w:val="00BB0E56"/>
    <w:rsid w:val="00BB1155"/>
    <w:rsid w:val="00BB1985"/>
    <w:rsid w:val="00BC1A1A"/>
    <w:rsid w:val="00BD11B3"/>
    <w:rsid w:val="00BD3339"/>
    <w:rsid w:val="00BD5EAB"/>
    <w:rsid w:val="00BE1112"/>
    <w:rsid w:val="00BE6122"/>
    <w:rsid w:val="00BE6D48"/>
    <w:rsid w:val="00BF165A"/>
    <w:rsid w:val="00C0070B"/>
    <w:rsid w:val="00C12E1E"/>
    <w:rsid w:val="00C158DB"/>
    <w:rsid w:val="00C1652D"/>
    <w:rsid w:val="00C21E36"/>
    <w:rsid w:val="00C21F0B"/>
    <w:rsid w:val="00C23150"/>
    <w:rsid w:val="00C311CA"/>
    <w:rsid w:val="00C34C77"/>
    <w:rsid w:val="00C4368A"/>
    <w:rsid w:val="00C51854"/>
    <w:rsid w:val="00C54193"/>
    <w:rsid w:val="00C5758B"/>
    <w:rsid w:val="00C64F20"/>
    <w:rsid w:val="00C66CB8"/>
    <w:rsid w:val="00C66FCA"/>
    <w:rsid w:val="00C8198B"/>
    <w:rsid w:val="00C83026"/>
    <w:rsid w:val="00C85DAE"/>
    <w:rsid w:val="00C878AA"/>
    <w:rsid w:val="00C91C2A"/>
    <w:rsid w:val="00C97E55"/>
    <w:rsid w:val="00CB0990"/>
    <w:rsid w:val="00CC33BC"/>
    <w:rsid w:val="00CC57FB"/>
    <w:rsid w:val="00CD0B8B"/>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72EB"/>
    <w:rsid w:val="00D238B0"/>
    <w:rsid w:val="00D24D65"/>
    <w:rsid w:val="00D25302"/>
    <w:rsid w:val="00D25839"/>
    <w:rsid w:val="00D36A88"/>
    <w:rsid w:val="00D40485"/>
    <w:rsid w:val="00D41E87"/>
    <w:rsid w:val="00D42112"/>
    <w:rsid w:val="00D443ED"/>
    <w:rsid w:val="00D45F76"/>
    <w:rsid w:val="00D46983"/>
    <w:rsid w:val="00D62F7E"/>
    <w:rsid w:val="00D63E5E"/>
    <w:rsid w:val="00D71E53"/>
    <w:rsid w:val="00D7574A"/>
    <w:rsid w:val="00D80028"/>
    <w:rsid w:val="00D802DD"/>
    <w:rsid w:val="00D85372"/>
    <w:rsid w:val="00D901E1"/>
    <w:rsid w:val="00D90B1F"/>
    <w:rsid w:val="00D94753"/>
    <w:rsid w:val="00D9642D"/>
    <w:rsid w:val="00DB4876"/>
    <w:rsid w:val="00DC00AA"/>
    <w:rsid w:val="00DC7C1E"/>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3774"/>
    <w:rsid w:val="00E1430A"/>
    <w:rsid w:val="00E146E7"/>
    <w:rsid w:val="00E16BDD"/>
    <w:rsid w:val="00E265A9"/>
    <w:rsid w:val="00E317DC"/>
    <w:rsid w:val="00E33C74"/>
    <w:rsid w:val="00E37694"/>
    <w:rsid w:val="00E37FF1"/>
    <w:rsid w:val="00E51066"/>
    <w:rsid w:val="00E6433B"/>
    <w:rsid w:val="00E76BF2"/>
    <w:rsid w:val="00E80F7E"/>
    <w:rsid w:val="00E84F14"/>
    <w:rsid w:val="00E861EF"/>
    <w:rsid w:val="00E87A95"/>
    <w:rsid w:val="00E909BA"/>
    <w:rsid w:val="00E964E0"/>
    <w:rsid w:val="00EA32D8"/>
    <w:rsid w:val="00EA3F40"/>
    <w:rsid w:val="00EA677A"/>
    <w:rsid w:val="00EA73A9"/>
    <w:rsid w:val="00EB18B2"/>
    <w:rsid w:val="00EB3692"/>
    <w:rsid w:val="00EC2B2A"/>
    <w:rsid w:val="00EC7597"/>
    <w:rsid w:val="00ED1739"/>
    <w:rsid w:val="00ED2827"/>
    <w:rsid w:val="00ED4FBF"/>
    <w:rsid w:val="00ED65D7"/>
    <w:rsid w:val="00EE41DC"/>
    <w:rsid w:val="00EE56C9"/>
    <w:rsid w:val="00EE639C"/>
    <w:rsid w:val="00EE6AB6"/>
    <w:rsid w:val="00EF2BD1"/>
    <w:rsid w:val="00EF7A90"/>
    <w:rsid w:val="00F05A9A"/>
    <w:rsid w:val="00F1612B"/>
    <w:rsid w:val="00F23844"/>
    <w:rsid w:val="00F258D5"/>
    <w:rsid w:val="00F44399"/>
    <w:rsid w:val="00F44D7C"/>
    <w:rsid w:val="00F5612A"/>
    <w:rsid w:val="00F61345"/>
    <w:rsid w:val="00F64301"/>
    <w:rsid w:val="00F64A29"/>
    <w:rsid w:val="00F65916"/>
    <w:rsid w:val="00F65AB6"/>
    <w:rsid w:val="00F6707C"/>
    <w:rsid w:val="00F725D6"/>
    <w:rsid w:val="00F7444F"/>
    <w:rsid w:val="00F75AC2"/>
    <w:rsid w:val="00F777B7"/>
    <w:rsid w:val="00F8130D"/>
    <w:rsid w:val="00F817A1"/>
    <w:rsid w:val="00F92681"/>
    <w:rsid w:val="00F934E0"/>
    <w:rsid w:val="00FA003A"/>
    <w:rsid w:val="00FC0F6C"/>
    <w:rsid w:val="00FC2DC8"/>
    <w:rsid w:val="00FC43CE"/>
    <w:rsid w:val="00FD3D1B"/>
    <w:rsid w:val="00FD4F74"/>
    <w:rsid w:val="00FD528D"/>
    <w:rsid w:val="00FD7001"/>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583A"/>
  <w15:docId w15:val="{1EA62A98-2511-6C47-9F4E-B2A1023E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35674C"/>
    <w:pPr>
      <w:keepNext/>
      <w:keepLines/>
      <w:numPr>
        <w:numId w:val="6"/>
      </w:numPr>
      <w:spacing w:before="240" w:after="0"/>
      <w:outlineLvl w:val="0"/>
    </w:pPr>
    <w:rPr>
      <w:rFonts w:ascii="Arial" w:eastAsiaTheme="majorEastAsia" w:hAnsi="Arial" w:cstheme="majorBidi"/>
      <w:color w:val="0070C0"/>
      <w:sz w:val="24"/>
      <w:szCs w:val="24"/>
    </w:rPr>
  </w:style>
  <w:style w:type="paragraph" w:styleId="Heading2">
    <w:name w:val="heading 2"/>
    <w:basedOn w:val="Normal"/>
    <w:next w:val="Normal"/>
    <w:link w:val="Heading2Char"/>
    <w:uiPriority w:val="9"/>
    <w:unhideWhenUsed/>
    <w:qFormat/>
    <w:rsid w:val="003629ED"/>
    <w:pPr>
      <w:keepNext/>
      <w:keepLines/>
      <w:spacing w:before="40" w:after="0"/>
      <w:outlineLvl w:val="1"/>
    </w:pPr>
    <w:rPr>
      <w:rFonts w:asciiTheme="majorHAnsi" w:eastAsiaTheme="majorEastAsia" w:hAnsiTheme="majorHAnsi" w:cstheme="majorBidi"/>
      <w:color w:val="004689" w:themeColor="accent1" w:themeShade="BF"/>
      <w:sz w:val="24"/>
      <w:szCs w:val="26"/>
    </w:rPr>
  </w:style>
  <w:style w:type="paragraph" w:styleId="Heading3">
    <w:name w:val="heading 3"/>
    <w:basedOn w:val="Normal"/>
    <w:next w:val="Normal"/>
    <w:link w:val="Heading3Char"/>
    <w:uiPriority w:val="9"/>
    <w:unhideWhenUsed/>
    <w:qFormat/>
    <w:rsid w:val="005B58B0"/>
    <w:pPr>
      <w:keepNext/>
      <w:keepLines/>
      <w:spacing w:before="40" w:after="0"/>
      <w:outlineLvl w:val="2"/>
    </w:pPr>
    <w:rPr>
      <w:rFonts w:asciiTheme="majorHAnsi" w:eastAsiaTheme="majorEastAsia" w:hAnsiTheme="majorHAnsi" w:cstheme="majorBidi"/>
      <w:color w:val="002E5B" w:themeColor="accent1" w:themeShade="7F"/>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29ED"/>
    <w:rPr>
      <w:rFonts w:asciiTheme="majorHAnsi" w:eastAsiaTheme="majorEastAsia" w:hAnsiTheme="majorHAnsi" w:cstheme="majorBidi"/>
      <w:bCs/>
      <w:color w:val="004689" w:themeColor="accent1" w:themeShade="BF"/>
      <w:sz w:val="24"/>
      <w:szCs w:val="26"/>
    </w:rPr>
  </w:style>
  <w:style w:type="character" w:customStyle="1" w:styleId="Heading1Char">
    <w:name w:val="Heading 1 Char"/>
    <w:basedOn w:val="DefaultParagraphFont"/>
    <w:link w:val="Heading1"/>
    <w:uiPriority w:val="9"/>
    <w:rsid w:val="0035674C"/>
    <w:rPr>
      <w:rFonts w:ascii="Arial" w:eastAsiaTheme="majorEastAsia" w:hAnsi="Arial" w:cstheme="majorBidi"/>
      <w:bCs/>
      <w:color w:val="0070C0"/>
      <w:sz w:val="24"/>
      <w:szCs w:val="24"/>
    </w:rPr>
  </w:style>
  <w:style w:type="character" w:customStyle="1" w:styleId="Heading3Char">
    <w:name w:val="Heading 3 Char"/>
    <w:basedOn w:val="DefaultParagraphFont"/>
    <w:link w:val="Heading3"/>
    <w:uiPriority w:val="9"/>
    <w:rsid w:val="005B58B0"/>
    <w:rPr>
      <w:rFonts w:asciiTheme="majorHAnsi" w:eastAsiaTheme="majorEastAsia" w:hAnsiTheme="majorHAnsi" w:cstheme="majorBidi"/>
      <w:color w:val="002E5B" w:themeColor="accent1" w:themeShade="7F"/>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fact-sheets/detail/opioid-overdose" TargetMode="External"/><Relationship Id="rId18" Type="http://schemas.openxmlformats.org/officeDocument/2006/relationships/hyperlink" Target="https://www.fpm.ac.uk/opioids-aware" TargetMode="Externa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pm.ac.uk/opioids-aware-opioids-addiction/terminology-and-prevalence" TargetMode="External"/><Relationship Id="rId17" Type="http://schemas.openxmlformats.org/officeDocument/2006/relationships/hyperlink" Target="https://www.who.int/news-room/fact-sheets/detail/opioid-overdose" TargetMode="External"/><Relationship Id="rId25" Type="http://schemas.openxmlformats.org/officeDocument/2006/relationships/chart" Target="charts/chart3.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pm.ac.uk/opioids-aware" TargetMode="External"/><Relationship Id="rId20" Type="http://schemas.openxmlformats.org/officeDocument/2006/relationships/hyperlink" Target="https://www.fpm.ac.uk/opioids-aware" TargetMode="External"/><Relationship Id="rId29" Type="http://schemas.openxmlformats.org/officeDocument/2006/relationships/hyperlink" Target="https://www.gpnotebook.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40255/PHE_PMR_report_Dec2020.pdf" TargetMode="External"/><Relationship Id="rId24" Type="http://schemas.openxmlformats.org/officeDocument/2006/relationships/chart" Target="charts/chart2.xml"/><Relationship Id="rId32" Type="http://schemas.openxmlformats.org/officeDocument/2006/relationships/hyperlink" Target="https://www.wales.nhs.uk/sites3/Documents/814/OpiateConversionDoses%5BFinal%5DNov2010.pdf" TargetMode="External"/><Relationship Id="rId5" Type="http://schemas.openxmlformats.org/officeDocument/2006/relationships/numbering" Target="numbering.xml"/><Relationship Id="rId15" Type="http://schemas.openxmlformats.org/officeDocument/2006/relationships/hyperlink" Target="https://www.who.int/news-room/fact-sheets/detail/opioid-overdose" TargetMode="External"/><Relationship Id="rId23" Type="http://schemas.openxmlformats.org/officeDocument/2006/relationships/chart" Target="charts/chart1.xml"/><Relationship Id="rId28" Type="http://schemas.openxmlformats.org/officeDocument/2006/relationships/hyperlink" Target="https://www.cms.gov/Medicare/Prescription-Drug-Coverage/PrescriptionDrugCovContra/Downloads/Opioid-Morphine-EQ-Conversion-Factors-March-2015.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news-room/fact-sheets/detail/opioid-overdose" TargetMode="External"/><Relationship Id="rId31" Type="http://schemas.openxmlformats.org/officeDocument/2006/relationships/hyperlink" Target="https://www.rcoa.ac.uk/faculty-of-pain-medicine/opioids-aw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m.ac.uk/opioids-aware" TargetMode="External"/><Relationship Id="rId22" Type="http://schemas.openxmlformats.org/officeDocument/2006/relationships/image" Target="media/image2.png"/><Relationship Id="rId27" Type="http://schemas.openxmlformats.org/officeDocument/2006/relationships/hyperlink" Target="https://www.bnf.org/products/bnf-online/" TargetMode="External"/><Relationship Id="rId30" Type="http://schemas.openxmlformats.org/officeDocument/2006/relationships/hyperlink" Target="https://www.mims.co.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ublications/prescribed-medicines-review-re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bsa.nhs.uk/sites/default/files/2018-02/180115%20Age%20Logic%20Summary%20Flow%20Chart%20-%20Revised%20Layou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accent2"/>
            </a:solidFill>
            <a:ln>
              <a:noFill/>
            </a:ln>
            <a:effectLst/>
          </c:spPr>
          <c:invertIfNegative val="0"/>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'[2022-05-05_ID_Analysis_for_Spec.xlsx]byCD'!$Q$8:$Q$22</c:f>
              <c:numCache>
                <c:formatCode>_-* #,##0_-;\-* #,##0_-;_-* "-"??_-;_-@_-</c:formatCode>
                <c:ptCount val="10"/>
                <c:pt idx="0">
                  <c:v>100</c:v>
                </c:pt>
                <c:pt idx="1">
                  <c:v>100</c:v>
                </c:pt>
                <c:pt idx="2">
                  <c:v>100</c:v>
                </c:pt>
                <c:pt idx="3">
                  <c:v>101</c:v>
                </c:pt>
                <c:pt idx="4">
                  <c:v>102</c:v>
                </c:pt>
                <c:pt idx="5">
                  <c:v>103</c:v>
                </c:pt>
                <c:pt idx="6">
                  <c:v>100</c:v>
                </c:pt>
                <c:pt idx="7">
                  <c:v>100</c:v>
                </c:pt>
                <c:pt idx="8">
                  <c:v>100</c:v>
                </c:pt>
                <c:pt idx="9">
                  <c:v>100</c:v>
                </c:pt>
              </c:numCache>
            </c:numRef>
          </c:val>
          <c:extLst>
            <c:ext xmlns:c16="http://schemas.microsoft.com/office/drawing/2014/chart" uri="{C3380CC4-5D6E-409C-BE32-E72D297353CC}">
              <c16:uniqueId val="{00000000-8D98-4341-8160-576218C7190F}"/>
            </c:ext>
          </c:extLst>
        </c:ser>
        <c:ser>
          <c:idx val="0"/>
          <c:order val="1"/>
          <c:spPr>
            <a:solidFill>
              <a:schemeClr val="accent1"/>
            </a:solidFill>
            <a:ln>
              <a:noFill/>
            </a:ln>
            <a:effectLst/>
          </c:spPr>
          <c:invertIfNegative val="0"/>
          <c:dLbls>
            <c:dLbl>
              <c:idx val="0"/>
              <c:tx>
                <c:rich>
                  <a:bodyPr/>
                  <a:lstStyle/>
                  <a:p>
                    <a:fld id="{E25171CE-BDD6-4CFD-83CC-14D4FD19B265}"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D98-4341-8160-576218C7190F}"/>
                </c:ext>
              </c:extLst>
            </c:dLbl>
            <c:dLbl>
              <c:idx val="1"/>
              <c:tx>
                <c:rich>
                  <a:bodyPr/>
                  <a:lstStyle/>
                  <a:p>
                    <a:fld id="{CD67C08B-F8F5-442C-A598-03F65165670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D98-4341-8160-576218C7190F}"/>
                </c:ext>
              </c:extLst>
            </c:dLbl>
            <c:dLbl>
              <c:idx val="2"/>
              <c:tx>
                <c:rich>
                  <a:bodyPr/>
                  <a:lstStyle/>
                  <a:p>
                    <a:fld id="{9981D49C-6998-47ED-AC1A-5D5A825F0DE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D98-4341-8160-576218C7190F}"/>
                </c:ext>
              </c:extLst>
            </c:dLbl>
            <c:dLbl>
              <c:idx val="3"/>
              <c:tx>
                <c:rich>
                  <a:bodyPr/>
                  <a:lstStyle/>
                  <a:p>
                    <a:fld id="{9AED0E67-3795-4CCE-8DA3-2AC8AA36159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D98-4341-8160-576218C7190F}"/>
                </c:ext>
              </c:extLst>
            </c:dLbl>
            <c:dLbl>
              <c:idx val="4"/>
              <c:tx>
                <c:rich>
                  <a:bodyPr/>
                  <a:lstStyle/>
                  <a:p>
                    <a:fld id="{661F8758-D77C-42F4-8DFA-9B3699C2FD1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D98-4341-8160-576218C7190F}"/>
                </c:ext>
              </c:extLst>
            </c:dLbl>
            <c:dLbl>
              <c:idx val="5"/>
              <c:tx>
                <c:rich>
                  <a:bodyPr/>
                  <a:lstStyle/>
                  <a:p>
                    <a:fld id="{D107D5D7-41D7-4D4F-B2BC-6BBEF01EA29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D98-4341-8160-576218C7190F}"/>
                </c:ext>
              </c:extLst>
            </c:dLbl>
            <c:dLbl>
              <c:idx val="6"/>
              <c:tx>
                <c:rich>
                  <a:bodyPr/>
                  <a:lstStyle/>
                  <a:p>
                    <a:fld id="{9E64217C-D83F-420C-9DF7-3B88689C634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D98-4341-8160-576218C7190F}"/>
                </c:ext>
              </c:extLst>
            </c:dLbl>
            <c:dLbl>
              <c:idx val="7"/>
              <c:tx>
                <c:rich>
                  <a:bodyPr/>
                  <a:lstStyle/>
                  <a:p>
                    <a:fld id="{73F6DD3D-E106-42C2-BB43-3C16BA76329A}"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D98-4341-8160-576218C7190F}"/>
                </c:ext>
              </c:extLst>
            </c:dLbl>
            <c:dLbl>
              <c:idx val="8"/>
              <c:tx>
                <c:rich>
                  <a:bodyPr/>
                  <a:lstStyle/>
                  <a:p>
                    <a:fld id="{218CF317-6A47-46BC-B6B6-4486276114D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D98-4341-8160-576218C7190F}"/>
                </c:ext>
              </c:extLst>
            </c:dLbl>
            <c:dLbl>
              <c:idx val="9"/>
              <c:tx>
                <c:rich>
                  <a:bodyPr/>
                  <a:lstStyle/>
                  <a:p>
                    <a:fld id="{DF16A798-0FB5-477D-9179-3F17033A125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D98-4341-8160-576218C7190F}"/>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'[2022-05-05_ID_Analysis_for_Spec.xlsx]byCD'!$P$8:$P$22</c:f>
              <c:numCache>
                <c:formatCode>_-* #,##0.0_-;\-* #,##0.0_-;_-* "-"??_-;_-@_-</c:formatCode>
                <c:ptCount val="10"/>
                <c:pt idx="0">
                  <c:v>99.140930889330761</c:v>
                </c:pt>
                <c:pt idx="1">
                  <c:v>98.67334016764157</c:v>
                </c:pt>
                <c:pt idx="2">
                  <c:v>98.453346605701057</c:v>
                </c:pt>
                <c:pt idx="3">
                  <c:v>98.065101378285618</c:v>
                </c:pt>
                <c:pt idx="4">
                  <c:v>99.267905178792475</c:v>
                </c:pt>
                <c:pt idx="5">
                  <c:v>99.055648889499835</c:v>
                </c:pt>
                <c:pt idx="6">
                  <c:v>99.34601801521363</c:v>
                </c:pt>
                <c:pt idx="7">
                  <c:v>96.963191042226541</c:v>
                </c:pt>
                <c:pt idx="8">
                  <c:v>98.813416484072135</c:v>
                </c:pt>
                <c:pt idx="9">
                  <c:v>98.317642577621328</c:v>
                </c:pt>
              </c:numCache>
            </c:numRef>
          </c:val>
          <c:extLst>
            <c:ext xmlns:c15="http://schemas.microsoft.com/office/drawing/2012/chart" uri="{02D57815-91ED-43cb-92C2-25804820EDAC}">
              <c15:datalabelsRange>
                <c15:f>'[2022-05-05_ID_Analysis_for_Spec.xlsx]byCD'!$R$8:$R$22</c15:f>
                <c15:dlblRangeCache>
                  <c:ptCount val="10"/>
                  <c:pt idx="0">
                    <c:v>No Controlled Drug Status   99.1</c:v>
                  </c:pt>
                  <c:pt idx="1">
                    <c:v>No Controlled Drug Status   98.7</c:v>
                  </c:pt>
                  <c:pt idx="2">
                    <c:v>Schedule 2 (CD)   98.5</c:v>
                  </c:pt>
                  <c:pt idx="3">
                    <c:v>Schedule 3 (CD No Register)   98.1</c:v>
                  </c:pt>
                  <c:pt idx="4">
                    <c:v>Schedule 3 (CD No Register Exempt Safe Custody)   99.3</c:v>
                  </c:pt>
                  <c:pt idx="5">
                    <c:v>Schedule 5 (CD Inv)   99.1</c:v>
                  </c:pt>
                  <c:pt idx="6">
                    <c:v>Schedule 3 (CD No Register Exempt Safe Custody)   99.3</c:v>
                  </c:pt>
                  <c:pt idx="7">
                    <c:v>Schedule 4 (CD Benz)   97.0</c:v>
                  </c:pt>
                  <c:pt idx="8">
                    <c:v>Schedule 3 (CD No Register)   98.8</c:v>
                  </c:pt>
                  <c:pt idx="9">
                    <c:v>Schedule 4 (CD Benz)   98.3</c:v>
                  </c:pt>
                </c15:dlblRangeCache>
              </c15:datalabelsRange>
            </c:ext>
            <c:ext xmlns:c16="http://schemas.microsoft.com/office/drawing/2014/chart" uri="{C3380CC4-5D6E-409C-BE32-E72D297353CC}">
              <c16:uniqueId val="{0000000B-8D98-4341-8160-576218C7190F}"/>
            </c:ext>
          </c:extLst>
        </c:ser>
        <c:dLbls>
          <c:showLegendKey val="0"/>
          <c:showVal val="0"/>
          <c:showCatName val="0"/>
          <c:showSerName val="0"/>
          <c:showPercent val="0"/>
          <c:showBubbleSize val="0"/>
        </c:dLbls>
        <c:gapWidth val="25"/>
        <c:overlap val="100"/>
        <c:axId val="834785359"/>
        <c:axId val="444257823"/>
      </c:barChart>
      <c:catAx>
        <c:axId val="834785359"/>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57823"/>
        <c:crosses val="autoZero"/>
        <c:auto val="1"/>
        <c:lblAlgn val="ctr"/>
        <c:lblOffset val="100"/>
        <c:noMultiLvlLbl val="0"/>
      </c:catAx>
      <c:valAx>
        <c:axId val="444257823"/>
        <c:scaling>
          <c:orientation val="minMax"/>
          <c:max val="100"/>
          <c:min val="0"/>
        </c:scaling>
        <c:delete val="1"/>
        <c:axPos val="t"/>
        <c:numFmt formatCode="_-* #,##0_-;\-* #,##0_-;_-* &quot;-&quot;??_-;_-@_-" sourceLinked="1"/>
        <c:majorTickMark val="out"/>
        <c:minorTickMark val="none"/>
        <c:tickLblPos val="nextTo"/>
        <c:crossAx val="834785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'[2022-05-05_ID_Analysis_for_Spec.xlsx]Strength'!$Y$8:$Y$24</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8B27-4FD9-8052-226121958D8C}"/>
            </c:ext>
          </c:extLst>
        </c:ser>
        <c:ser>
          <c:idx val="1"/>
          <c:order val="1"/>
          <c:spPr>
            <a:solidFill>
              <a:schemeClr val="accent2"/>
            </a:solidFill>
            <a:ln>
              <a:noFill/>
            </a:ln>
            <a:effectLst/>
          </c:spPr>
          <c:invertIfNegative val="0"/>
          <c:dLbls>
            <c:dLbl>
              <c:idx val="0"/>
              <c:tx>
                <c:rich>
                  <a:bodyPr/>
                  <a:lstStyle/>
                  <a:p>
                    <a:fld id="{3583214B-21EF-4E50-ACA5-994738153F69}"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B27-4FD9-8052-226121958D8C}"/>
                </c:ext>
              </c:extLst>
            </c:dLbl>
            <c:dLbl>
              <c:idx val="1"/>
              <c:tx>
                <c:rich>
                  <a:bodyPr/>
                  <a:lstStyle/>
                  <a:p>
                    <a:fld id="{177F2128-EAD2-4D5B-B3DC-B743753C5C9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B27-4FD9-8052-226121958D8C}"/>
                </c:ext>
              </c:extLst>
            </c:dLbl>
            <c:dLbl>
              <c:idx val="2"/>
              <c:tx>
                <c:rich>
                  <a:bodyPr/>
                  <a:lstStyle/>
                  <a:p>
                    <a:fld id="{C8D8B78A-3380-406A-8104-8BC9D6F0978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B27-4FD9-8052-226121958D8C}"/>
                </c:ext>
              </c:extLst>
            </c:dLbl>
            <c:dLbl>
              <c:idx val="3"/>
              <c:tx>
                <c:rich>
                  <a:bodyPr/>
                  <a:lstStyle/>
                  <a:p>
                    <a:fld id="{86AB4666-B143-4575-AD1F-B82C299F92C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B27-4FD9-8052-226121958D8C}"/>
                </c:ext>
              </c:extLst>
            </c:dLbl>
            <c:dLbl>
              <c:idx val="4"/>
              <c:tx>
                <c:rich>
                  <a:bodyPr/>
                  <a:lstStyle/>
                  <a:p>
                    <a:fld id="{96B955A4-2B48-48B1-81C4-0D32F3DC299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B27-4FD9-8052-226121958D8C}"/>
                </c:ext>
              </c:extLst>
            </c:dLbl>
            <c:dLbl>
              <c:idx val="5"/>
              <c:tx>
                <c:rich>
                  <a:bodyPr/>
                  <a:lstStyle/>
                  <a:p>
                    <a:fld id="{1227DC84-E6ED-4DC1-8787-5828D4751DB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B27-4FD9-8052-226121958D8C}"/>
                </c:ext>
              </c:extLst>
            </c:dLbl>
            <c:dLbl>
              <c:idx val="6"/>
              <c:tx>
                <c:rich>
                  <a:bodyPr/>
                  <a:lstStyle/>
                  <a:p>
                    <a:fld id="{D1055996-99E6-4EA6-B263-EF4C9014146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B27-4FD9-8052-226121958D8C}"/>
                </c:ext>
              </c:extLst>
            </c:dLbl>
            <c:dLbl>
              <c:idx val="7"/>
              <c:tx>
                <c:rich>
                  <a:bodyPr/>
                  <a:lstStyle/>
                  <a:p>
                    <a:fld id="{81DDACC4-86F7-46F7-85F8-1703985127C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B27-4FD9-8052-226121958D8C}"/>
                </c:ext>
              </c:extLst>
            </c:dLbl>
            <c:dLbl>
              <c:idx val="8"/>
              <c:tx>
                <c:rich>
                  <a:bodyPr/>
                  <a:lstStyle/>
                  <a:p>
                    <a:fld id="{74364856-EEEB-4484-81B5-D795AC555D2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B27-4FD9-8052-226121958D8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'[2022-05-05_ID_Analysis_for_Spec.xlsx]Strength'!$V$8:$V$16</c:f>
              <c:numCache>
                <c:formatCode>_-* #,##0.0_-;\-* #,##0.0_-;_-* "-"??_-;_-@_-</c:formatCode>
                <c:ptCount val="9"/>
                <c:pt idx="0">
                  <c:v>90.461198298445041</c:v>
                </c:pt>
                <c:pt idx="1">
                  <c:v>98.743626118260735</c:v>
                </c:pt>
                <c:pt idx="2">
                  <c:v>99.121887278322021</c:v>
                </c:pt>
                <c:pt idx="3">
                  <c:v>99.163327789537348</c:v>
                </c:pt>
                <c:pt idx="4">
                  <c:v>99.302259955989342</c:v>
                </c:pt>
                <c:pt idx="5">
                  <c:v>99.289190151525148</c:v>
                </c:pt>
                <c:pt idx="6">
                  <c:v>99.112846342602253</c:v>
                </c:pt>
                <c:pt idx="7">
                  <c:v>98.883045941869469</c:v>
                </c:pt>
                <c:pt idx="8">
                  <c:v>99.2599894482548</c:v>
                </c:pt>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0A-8B27-4FD9-8052-226121958D8C}"/>
            </c:ext>
          </c:extLst>
        </c:ser>
        <c:ser>
          <c:idx val="0"/>
          <c:order val="2"/>
          <c:spPr>
            <a:solidFill>
              <a:schemeClr val="accent3"/>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2-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'[2022-05-05_ID_Analysis_for_Spec.xlsx]Strength'!$W$8:$W$24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4-8B27-4FD9-8052-226121958D8C}"/>
            </c:ext>
          </c:extLst>
        </c:ser>
        <c:ser>
          <c:idx val="2"/>
          <c:order val="3"/>
          <c:spPr>
            <a:solidFill>
              <a:schemeClr val="accent3">
                <a:lumMod val="20000"/>
                <a:lumOff val="80000"/>
              </a:schemeClr>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6-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7-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8-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9-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A-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B-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C-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D-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'[2022-05-05_ID_Analysis_for_Spec.xlsx]Strength'!$X$8:$X$24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E-8B27-4FD9-8052-226121958D8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'[2022-05-05_ID_Analysis_for_Spec.xlsx]TimeEPS'!$X$7</c:f>
              <c:strCache>
                <c:ptCount val="1"/>
                <c:pt idx="0">
                  <c:v>Opioids (PMR)</c:v>
                </c:pt>
              </c:strCache>
            </c:strRef>
          </c:tx>
          <c:spPr>
            <a:ln w="28575" cap="rnd">
              <a:solidFill>
                <a:schemeClr val="accent2"/>
              </a:solidFill>
              <a:prstDash val="lgDash"/>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'[2022-05-05_ID_Analysis_for_Spec.xlsx]TimeEPS'!$X$8:$X$66</c:f>
              <c:numCache>
                <c:formatCode>_-* #,##0_-;\-* #,##0_-;_-* "-"??_-;_-@_-</c:formatCode>
                <c:ptCount val="59"/>
                <c:pt idx="0">
                  <c:v>35.236487672361825</c:v>
                </c:pt>
                <c:pt idx="1">
                  <c:v>35.925184347097371</c:v>
                </c:pt>
                <c:pt idx="2">
                  <c:v>36.408444512979358</c:v>
                </c:pt>
                <c:pt idx="3">
                  <c:v>36.865124448502506</c:v>
                </c:pt>
                <c:pt idx="4">
                  <c:v>36.731176755216651</c:v>
                </c:pt>
                <c:pt idx="5">
                  <c:v>36.6701754314604</c:v>
                </c:pt>
                <c:pt idx="6">
                  <c:v>37.62796983343604</c:v>
                </c:pt>
                <c:pt idx="7">
                  <c:v>38.104491904683194</c:v>
                </c:pt>
                <c:pt idx="8">
                  <c:v>38.697315783561848</c:v>
                </c:pt>
                <c:pt idx="9">
                  <c:v>39.139939427217065</c:v>
                </c:pt>
                <c:pt idx="10">
                  <c:v>39.187608143020185</c:v>
                </c:pt>
                <c:pt idx="11">
                  <c:v>39.539152161258556</c:v>
                </c:pt>
                <c:pt idx="12">
                  <c:v>40.165874987386104</c:v>
                </c:pt>
                <c:pt idx="13">
                  <c:v>40.179938303578624</c:v>
                </c:pt>
                <c:pt idx="14">
                  <c:v>40.489793217652434</c:v>
                </c:pt>
                <c:pt idx="15">
                  <c:v>41.075603705886458</c:v>
                </c:pt>
                <c:pt idx="16">
                  <c:v>40.745412249739452</c:v>
                </c:pt>
                <c:pt idx="17">
                  <c:v>41.351260849570167</c:v>
                </c:pt>
                <c:pt idx="18">
                  <c:v>41.859806388665774</c:v>
                </c:pt>
                <c:pt idx="19">
                  <c:v>41.989046874756653</c:v>
                </c:pt>
                <c:pt idx="20">
                  <c:v>42.635183860822941</c:v>
                </c:pt>
                <c:pt idx="21">
                  <c:v>43.026680469213524</c:v>
                </c:pt>
                <c:pt idx="22">
                  <c:v>42.992102052926498</c:v>
                </c:pt>
                <c:pt idx="23">
                  <c:v>48.384908730996102</c:v>
                </c:pt>
                <c:pt idx="24">
                  <c:v>63.842986297883066</c:v>
                </c:pt>
                <c:pt idx="25">
                  <c:v>68.581179831357872</c:v>
                </c:pt>
                <c:pt idx="26">
                  <c:v>69.53455422749154</c:v>
                </c:pt>
                <c:pt idx="27">
                  <c:v>69.180379404151722</c:v>
                </c:pt>
                <c:pt idx="28">
                  <c:v>71.67717279770261</c:v>
                </c:pt>
                <c:pt idx="29">
                  <c:v>70.813157869740678</c:v>
                </c:pt>
                <c:pt idx="30">
                  <c:v>71.4680147661782</c:v>
                </c:pt>
                <c:pt idx="31">
                  <c:v>72.075012004861861</c:v>
                </c:pt>
                <c:pt idx="32">
                  <c:v>73.027413098235272</c:v>
                </c:pt>
                <c:pt idx="33">
                  <c:v>73.078338508686826</c:v>
                </c:pt>
                <c:pt idx="34">
                  <c:v>74.076739790672192</c:v>
                </c:pt>
                <c:pt idx="35">
                  <c:v>79.668383654428041</c:v>
                </c:pt>
                <c:pt idx="36">
                  <c:v>87.19576503327005</c:v>
                </c:pt>
                <c:pt idx="37">
                  <c:v>88.722426164558797</c:v>
                </c:pt>
                <c:pt idx="38">
                  <c:v>89.369046174473738</c:v>
                </c:pt>
                <c:pt idx="39">
                  <c:v>89.763283468112164</c:v>
                </c:pt>
                <c:pt idx="40">
                  <c:v>89.585748438443346</c:v>
                </c:pt>
                <c:pt idx="41">
                  <c:v>90.087254538828546</c:v>
                </c:pt>
                <c:pt idx="42">
                  <c:v>90.505809363390782</c:v>
                </c:pt>
                <c:pt idx="43">
                  <c:v>90.687549870712971</c:v>
                </c:pt>
                <c:pt idx="44">
                  <c:v>91.008830282504178</c:v>
                </c:pt>
                <c:pt idx="45">
                  <c:v>91.108138279714737</c:v>
                </c:pt>
                <c:pt idx="46">
                  <c:v>91.308394407316541</c:v>
                </c:pt>
                <c:pt idx="47">
                  <c:v>91.391040772110543</c:v>
                </c:pt>
                <c:pt idx="48">
                  <c:v>91.308870303453006</c:v>
                </c:pt>
                <c:pt idx="49">
                  <c:v>91.114734679160691</c:v>
                </c:pt>
                <c:pt idx="50">
                  <c:v>91.365290258150964</c:v>
                </c:pt>
                <c:pt idx="51">
                  <c:v>91.340830668268921</c:v>
                </c:pt>
                <c:pt idx="52">
                  <c:v>91.193029070079874</c:v>
                </c:pt>
                <c:pt idx="53">
                  <c:v>91.338863335716496</c:v>
                </c:pt>
                <c:pt idx="54">
                  <c:v>91.309504503680429</c:v>
                </c:pt>
                <c:pt idx="55">
                  <c:v>91.58464968346496</c:v>
                </c:pt>
                <c:pt idx="56">
                  <c:v>91.673948565855184</c:v>
                </c:pt>
                <c:pt idx="57">
                  <c:v>91.682649734481188</c:v>
                </c:pt>
                <c:pt idx="58">
                  <c:v>91.675591906679429</c:v>
                </c:pt>
              </c:numCache>
            </c:numRef>
          </c:val>
          <c:smooth val="0"/>
          <c:extLst>
            <c:ext xmlns:c16="http://schemas.microsoft.com/office/drawing/2014/chart" uri="{C3380CC4-5D6E-409C-BE32-E72D297353CC}">
              <c16:uniqueId val="{00000000-978E-4621-B6D7-AE948F41D985}"/>
            </c:ext>
          </c:extLst>
        </c:ser>
        <c:ser>
          <c:idx val="0"/>
          <c:order val="1"/>
          <c:tx>
            <c:strRef>
              <c:f>'[2022-05-05_ID_Analysis_for_Spec.xlsx]TimeEPS'!$Y$7</c:f>
              <c:strCache>
                <c:ptCount val="1"/>
                <c:pt idx="0">
                  <c:v>Opioids (excluding injectables, Co-codamol, Co-dydramol)</c:v>
                </c:pt>
              </c:strCache>
            </c:strRef>
          </c:tx>
          <c:spPr>
            <a:ln w="28575" cap="rnd">
              <a:solidFill>
                <a:schemeClr val="accent1"/>
              </a:solidFill>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'[2022-05-05_ID_Analysis_for_Spec.xlsx]TimeEPS'!$Y$8:$Y$66</c:f>
              <c:numCache>
                <c:formatCode>_-* #,##0_-;\-* #,##0_-;_-* "-"??_-;_-@_-</c:formatCode>
                <c:ptCount val="59"/>
                <c:pt idx="0">
                  <c:v>19.285986941447408</c:v>
                </c:pt>
                <c:pt idx="1">
                  <c:v>19.85750610112229</c:v>
                </c:pt>
                <c:pt idx="2">
                  <c:v>20.120865535633754</c:v>
                </c:pt>
                <c:pt idx="3">
                  <c:v>20.397952159048106</c:v>
                </c:pt>
                <c:pt idx="4">
                  <c:v>20.313302541864505</c:v>
                </c:pt>
                <c:pt idx="5">
                  <c:v>20.349212000164933</c:v>
                </c:pt>
                <c:pt idx="6">
                  <c:v>21.001447489407823</c:v>
                </c:pt>
                <c:pt idx="7">
                  <c:v>21.300237086139976</c:v>
                </c:pt>
                <c:pt idx="8">
                  <c:v>21.53804134922763</c:v>
                </c:pt>
                <c:pt idx="9">
                  <c:v>22.057378703709674</c:v>
                </c:pt>
                <c:pt idx="10">
                  <c:v>22.034894287272067</c:v>
                </c:pt>
                <c:pt idx="11">
                  <c:v>22.280312400255347</c:v>
                </c:pt>
                <c:pt idx="12">
                  <c:v>22.690425879807812</c:v>
                </c:pt>
                <c:pt idx="13">
                  <c:v>22.659574362343658</c:v>
                </c:pt>
                <c:pt idx="14">
                  <c:v>22.817514665645682</c:v>
                </c:pt>
                <c:pt idx="15">
                  <c:v>23.225077774610511</c:v>
                </c:pt>
                <c:pt idx="16">
                  <c:v>23.009215723152153</c:v>
                </c:pt>
                <c:pt idx="17">
                  <c:v>23.522609139946073</c:v>
                </c:pt>
                <c:pt idx="18">
                  <c:v>23.875321638699411</c:v>
                </c:pt>
                <c:pt idx="19">
                  <c:v>24.015480396422433</c:v>
                </c:pt>
                <c:pt idx="20">
                  <c:v>24.486019006967989</c:v>
                </c:pt>
                <c:pt idx="21">
                  <c:v>25.016849030679278</c:v>
                </c:pt>
                <c:pt idx="22">
                  <c:v>24.906664086898168</c:v>
                </c:pt>
                <c:pt idx="23">
                  <c:v>33.964436471463685</c:v>
                </c:pt>
                <c:pt idx="24">
                  <c:v>60.013470479784971</c:v>
                </c:pt>
                <c:pt idx="25">
                  <c:v>67.464281394463796</c:v>
                </c:pt>
                <c:pt idx="26">
                  <c:v>68.745500412645086</c:v>
                </c:pt>
                <c:pt idx="27">
                  <c:v>68.511994182516347</c:v>
                </c:pt>
                <c:pt idx="28">
                  <c:v>71.14883692383232</c:v>
                </c:pt>
                <c:pt idx="29">
                  <c:v>70.401358005598183</c:v>
                </c:pt>
                <c:pt idx="30">
                  <c:v>71.070115990815637</c:v>
                </c:pt>
                <c:pt idx="31">
                  <c:v>71.728525441064861</c:v>
                </c:pt>
                <c:pt idx="32">
                  <c:v>72.593864370017243</c:v>
                </c:pt>
                <c:pt idx="33">
                  <c:v>72.841323223340694</c:v>
                </c:pt>
                <c:pt idx="34">
                  <c:v>73.804860611960436</c:v>
                </c:pt>
                <c:pt idx="35">
                  <c:v>78.762906316383578</c:v>
                </c:pt>
                <c:pt idx="36">
                  <c:v>85.807213170469211</c:v>
                </c:pt>
                <c:pt idx="37">
                  <c:v>87.53982246058878</c:v>
                </c:pt>
                <c:pt idx="38">
                  <c:v>88.323840058210251</c:v>
                </c:pt>
                <c:pt idx="39">
                  <c:v>88.810268790073536</c:v>
                </c:pt>
                <c:pt idx="40">
                  <c:v>88.651272428391977</c:v>
                </c:pt>
                <c:pt idx="41">
                  <c:v>89.230833161896612</c:v>
                </c:pt>
                <c:pt idx="42">
                  <c:v>89.67564872274194</c:v>
                </c:pt>
                <c:pt idx="43">
                  <c:v>89.866157091229979</c:v>
                </c:pt>
                <c:pt idx="44">
                  <c:v>90.17543738918728</c:v>
                </c:pt>
                <c:pt idx="45">
                  <c:v>90.253021954214674</c:v>
                </c:pt>
                <c:pt idx="46">
                  <c:v>90.471003845171083</c:v>
                </c:pt>
                <c:pt idx="47">
                  <c:v>90.584961263800494</c:v>
                </c:pt>
                <c:pt idx="48">
                  <c:v>90.515412306005189</c:v>
                </c:pt>
                <c:pt idx="49">
                  <c:v>90.332442539433032</c:v>
                </c:pt>
                <c:pt idx="50">
                  <c:v>90.625517645961509</c:v>
                </c:pt>
                <c:pt idx="51">
                  <c:v>90.620853682095955</c:v>
                </c:pt>
                <c:pt idx="52">
                  <c:v>90.48866517544117</c:v>
                </c:pt>
                <c:pt idx="53">
                  <c:v>90.662603919490493</c:v>
                </c:pt>
                <c:pt idx="54">
                  <c:v>90.692635382757871</c:v>
                </c:pt>
                <c:pt idx="55">
                  <c:v>90.989104796835164</c:v>
                </c:pt>
                <c:pt idx="56">
                  <c:v>91.04666774550661</c:v>
                </c:pt>
                <c:pt idx="57">
                  <c:v>91.060691407142144</c:v>
                </c:pt>
                <c:pt idx="58">
                  <c:v>91.060966377449503</c:v>
                </c:pt>
              </c:numCache>
            </c:numRef>
          </c:val>
          <c:smooth val="0"/>
          <c:extLst>
            <c:ext xmlns:c16="http://schemas.microsoft.com/office/drawing/2014/chart" uri="{C3380CC4-5D6E-409C-BE32-E72D297353CC}">
              <c16:uniqueId val="{00000001-978E-4621-B6D7-AE948F41D985}"/>
            </c:ext>
          </c:extLst>
        </c:ser>
        <c:dLbls>
          <c:showLegendKey val="0"/>
          <c:showVal val="0"/>
          <c:showCatName val="0"/>
          <c:showSerName val="0"/>
          <c:showPercent val="0"/>
          <c:showBubbleSize val="0"/>
        </c:dLbls>
        <c:smooth val="0"/>
        <c:axId val="498260527"/>
        <c:axId val="723932015"/>
      </c:lineChart>
      <c:catAx>
        <c:axId val="49826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32015"/>
        <c:crosses val="autoZero"/>
        <c:auto val="1"/>
        <c:lblAlgn val="ctr"/>
        <c:lblOffset val="100"/>
        <c:noMultiLvlLbl val="0"/>
      </c:catAx>
      <c:valAx>
        <c:axId val="723932015"/>
        <c:scaling>
          <c:orientation val="minMax"/>
          <c:max val="100"/>
          <c:min val="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60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'[2022-05-05_ID_Analysis_for_Spec.xlsx]StrengthEPS'!$Y$8:$Y$16</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7E3-4A10-AB14-5951F673BBFC}"/>
            </c:ext>
          </c:extLst>
        </c:ser>
        <c:ser>
          <c:idx val="1"/>
          <c:order val="1"/>
          <c:spPr>
            <a:solidFill>
              <a:schemeClr val="accent2"/>
            </a:solidFill>
            <a:ln>
              <a:noFill/>
            </a:ln>
            <a:effectLst/>
          </c:spPr>
          <c:invertIfNegative val="0"/>
          <c:dLbls>
            <c:dLbl>
              <c:idx val="0"/>
              <c:tx>
                <c:rich>
                  <a:bodyPr/>
                  <a:lstStyle/>
                  <a:p>
                    <a:fld id="{6A199A51-B6B7-411B-A954-C7E77FB66680}"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7E3-4A10-AB14-5951F673BBFC}"/>
                </c:ext>
              </c:extLst>
            </c:dLbl>
            <c:dLbl>
              <c:idx val="1"/>
              <c:tx>
                <c:rich>
                  <a:bodyPr/>
                  <a:lstStyle/>
                  <a:p>
                    <a:fld id="{4E757C79-BA14-4A17-ACDF-86BCE2D0DB40}"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7E3-4A10-AB14-5951F673BBFC}"/>
                </c:ext>
              </c:extLst>
            </c:dLbl>
            <c:dLbl>
              <c:idx val="2"/>
              <c:tx>
                <c:rich>
                  <a:bodyPr/>
                  <a:lstStyle/>
                  <a:p>
                    <a:fld id="{DE5B5563-ACE1-4F7D-9525-30B5FEC023D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7E3-4A10-AB14-5951F673BBFC}"/>
                </c:ext>
              </c:extLst>
            </c:dLbl>
            <c:dLbl>
              <c:idx val="3"/>
              <c:tx>
                <c:rich>
                  <a:bodyPr/>
                  <a:lstStyle/>
                  <a:p>
                    <a:fld id="{610BD816-A2DC-4A46-A011-C0F19856406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E3-4A10-AB14-5951F673BBFC}"/>
                </c:ext>
              </c:extLst>
            </c:dLbl>
            <c:dLbl>
              <c:idx val="4"/>
              <c:tx>
                <c:rich>
                  <a:bodyPr/>
                  <a:lstStyle/>
                  <a:p>
                    <a:fld id="{3796CE8E-EFC4-4F47-B61E-31D1814351E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7E3-4A10-AB14-5951F673BBFC}"/>
                </c:ext>
              </c:extLst>
            </c:dLbl>
            <c:dLbl>
              <c:idx val="5"/>
              <c:tx>
                <c:rich>
                  <a:bodyPr/>
                  <a:lstStyle/>
                  <a:p>
                    <a:fld id="{6300EC68-B836-4553-89B9-63C098354B9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E3-4A10-AB14-5951F673BBFC}"/>
                </c:ext>
              </c:extLst>
            </c:dLbl>
            <c:dLbl>
              <c:idx val="6"/>
              <c:tx>
                <c:rich>
                  <a:bodyPr/>
                  <a:lstStyle/>
                  <a:p>
                    <a:fld id="{FA51B724-1A6C-42C9-90B9-12AD1AFF2C7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E3-4A10-AB14-5951F673BBFC}"/>
                </c:ext>
              </c:extLst>
            </c:dLbl>
            <c:dLbl>
              <c:idx val="7"/>
              <c:tx>
                <c:rich>
                  <a:bodyPr/>
                  <a:lstStyle/>
                  <a:p>
                    <a:fld id="{F531AB31-3440-4F8B-9759-D2EDA9B967D3}"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E3-4A10-AB14-5951F673BBFC}"/>
                </c:ext>
              </c:extLst>
            </c:dLbl>
            <c:dLbl>
              <c:idx val="8"/>
              <c:tx>
                <c:rich>
                  <a:bodyPr/>
                  <a:lstStyle/>
                  <a:p>
                    <a:fld id="{78F75800-4BB9-4090-8558-A1D9F2C08512}"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7E3-4A10-AB14-5951F673BBF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'[2022-05-05_ID_Analysis_for_Spec.xlsx]StrengthEPS'!$V$8:$V$16</c:f>
              <c:numCache>
                <c:formatCode>_-* #,##0.0_-;\-* #,##0.0_-;_-* "-"??_-;_-@_-</c:formatCode>
                <c:ptCount val="9"/>
                <c:pt idx="0">
                  <c:v>77.354959263620842</c:v>
                </c:pt>
                <c:pt idx="1">
                  <c:v>90.959811527616083</c:v>
                </c:pt>
                <c:pt idx="2">
                  <c:v>90.623703067219054</c:v>
                </c:pt>
                <c:pt idx="3">
                  <c:v>90.772131085576049</c:v>
                </c:pt>
                <c:pt idx="4">
                  <c:v>90.71231077718717</c:v>
                </c:pt>
                <c:pt idx="5">
                  <c:v>92.119769481333009</c:v>
                </c:pt>
                <c:pt idx="6">
                  <c:v>89.773393337903215</c:v>
                </c:pt>
                <c:pt idx="7">
                  <c:v>83.449512861277569</c:v>
                </c:pt>
                <c:pt idx="8">
                  <c:v>92.397189903645909</c:v>
                </c:pt>
              </c:numCache>
            </c:numRef>
          </c:val>
          <c:extLst>
            <c:ext xmlns:c15="http://schemas.microsoft.com/office/drawing/2012/chart" uri="{02D57815-91ED-43cb-92C2-25804820EDAC}">
              <c15:datalabelsRange>
                <c15:f>'[2022-05-05_ID_Analysis_for_Spec.xlsx]StrengthEPS'!$Z$8:$Z$24</c15:f>
                <c15:dlblRangeCache>
                  <c:ptCount val="17"/>
                  <c:pt idx="0">
                    <c:v> no OME  77.4% </c:v>
                  </c:pt>
                  <c:pt idx="1">
                    <c:v> 0 to 60mg OME  91.0% </c:v>
                  </c:pt>
                  <c:pt idx="2">
                    <c:v> 60 to 120mg OME  90.6% </c:v>
                  </c:pt>
                  <c:pt idx="3">
                    <c:v> 120 to 240mg OME  90.8% </c:v>
                  </c:pt>
                  <c:pt idx="4">
                    <c:v> 240 to 360mg OME  90.7% </c:v>
                  </c:pt>
                  <c:pt idx="5">
                    <c:v> 360 to 480mg OME  92.1% </c:v>
                  </c:pt>
                  <c:pt idx="6">
                    <c:v> 480 to 600mg OME  89.8% </c:v>
                  </c:pt>
                  <c:pt idx="7">
                    <c:v> 600 to 720mg OME  83.4% </c:v>
                  </c:pt>
                  <c:pt idx="8">
                    <c:v> 720mg or more OME  83.4% </c:v>
                  </c:pt>
                  <c:pt idx="9">
                    <c:v> -   </c:v>
                  </c:pt>
                  <c:pt idx="10">
                    <c:v> -   </c:v>
                  </c:pt>
                  <c:pt idx="11">
                    <c:v> -   </c:v>
                  </c:pt>
                  <c:pt idx="12">
                    <c:v> -   </c:v>
                  </c:pt>
                  <c:pt idx="13">
                    <c:v> -   </c:v>
                  </c:pt>
                  <c:pt idx="14">
                    <c:v> -   </c:v>
                  </c:pt>
                  <c:pt idx="15">
                    <c:v> -   </c:v>
                  </c:pt>
                  <c:pt idx="16">
                    <c:v> -   </c:v>
                  </c:pt>
                </c15:dlblRangeCache>
              </c15:datalabelsRange>
            </c:ext>
            <c:ext xmlns:c16="http://schemas.microsoft.com/office/drawing/2014/chart" uri="{C3380CC4-5D6E-409C-BE32-E72D297353CC}">
              <c16:uniqueId val="{0000000A-57E3-4A10-AB14-5951F673BBF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4" ma:contentTypeDescription="Create a new document." ma:contentTypeScope="" ma:versionID="359ebfd71ff780bf386b02028a760998">
  <xsd:schema xmlns:xsd="http://www.w3.org/2001/XMLSchema" xmlns:xs="http://www.w3.org/2001/XMLSchema" xmlns:p="http://schemas.microsoft.com/office/2006/metadata/properties" xmlns:ns1="http://schemas.microsoft.com/sharepoint/v3" xmlns:ns2="91b86cd2-d370-4f57-9db8-681c4fb37596" xmlns:ns3="563bd847-283f-48dc-9444-f54c9e765c55" targetNamespace="http://schemas.microsoft.com/office/2006/metadata/properties" ma:root="true" ma:fieldsID="96432e62a031d99472aec54889fb1874" ns1:_="" ns2:_="" ns3:_="">
    <xsd:import namespace="http://schemas.microsoft.com/sharepoint/v3"/>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34AF-0BE7-4DAC-BD4F-BB0E4D3AC179}">
  <ds:schemaRefs>
    <ds:schemaRef ds:uri="http://schemas.microsoft.com/sharepoint/v3/contenttype/forms"/>
  </ds:schemaRefs>
</ds:datastoreItem>
</file>

<file path=customXml/itemProps2.xml><?xml version="1.0" encoding="utf-8"?>
<ds:datastoreItem xmlns:ds="http://schemas.openxmlformats.org/officeDocument/2006/customXml" ds:itemID="{25A916A8-36D1-4A97-AC37-2797B2DA8E8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0B0894-2BEC-4D5D-BEFE-CA44EF98E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6113</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Dan Thompson</cp:lastModifiedBy>
  <cp:revision>3</cp:revision>
  <cp:lastPrinted>2022-03-14T15:04:00Z</cp:lastPrinted>
  <dcterms:created xsi:type="dcterms:W3CDTF">2022-05-12T10:37:00Z</dcterms:created>
  <dcterms:modified xsi:type="dcterms:W3CDTF">2022-05-13T10:11:00Z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ies>
</file>