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9030" w14:textId="084B86B4" w:rsidR="0008281A" w:rsidRDefault="00EF1FFE" w:rsidP="0056122D">
      <w:pPr>
        <w:pStyle w:val="Heading1"/>
      </w:pPr>
      <w:r>
        <w:t xml:space="preserve">Updating the </w:t>
      </w:r>
      <w:r w:rsidR="00BD0FA6">
        <w:t>SICBL</w:t>
      </w:r>
      <w:r>
        <w:t xml:space="preserve"> Prescribing Model</w:t>
      </w:r>
    </w:p>
    <w:p w14:paraId="20B15B8A" w14:textId="4F1187E9" w:rsidR="00EF1FFE" w:rsidRDefault="00EF1FFE" w:rsidP="00BD0FA6">
      <w:pPr>
        <w:jc w:val="right"/>
      </w:pPr>
    </w:p>
    <w:p w14:paraId="6E97DA1F" w14:textId="4EAC093E" w:rsidR="00EF1FFE" w:rsidRDefault="00EF1FFE" w:rsidP="00EF1FFE">
      <w:pPr>
        <w:pStyle w:val="Heading2"/>
      </w:pPr>
      <w:r>
        <w:t>Overview</w:t>
      </w:r>
    </w:p>
    <w:p w14:paraId="56BCCA3E" w14:textId="63A9024F" w:rsidR="00EF1FFE" w:rsidRDefault="00EF1FFE" w:rsidP="00EF1FFE">
      <w:pPr>
        <w:pStyle w:val="ListParagraph"/>
        <w:numPr>
          <w:ilvl w:val="0"/>
          <w:numId w:val="2"/>
        </w:numPr>
      </w:pPr>
      <w:r>
        <w:t xml:space="preserve">The current </w:t>
      </w:r>
      <w:r w:rsidR="00BD0FA6">
        <w:t>SICBL</w:t>
      </w:r>
      <w:r>
        <w:t xml:space="preserve"> prescribing model relies on using linear regression to forecast the </w:t>
      </w:r>
      <w:r w:rsidR="00F7472E">
        <w:t>prescription spend</w:t>
      </w:r>
      <w:r>
        <w:t xml:space="preserve"> for the remainder of the year. </w:t>
      </w:r>
    </w:p>
    <w:p w14:paraId="564CC268" w14:textId="38040AF0" w:rsidR="009A5D0D" w:rsidRDefault="009A5D0D" w:rsidP="00EF1FFE">
      <w:pPr>
        <w:pStyle w:val="ListParagraph"/>
        <w:numPr>
          <w:ilvl w:val="0"/>
          <w:numId w:val="2"/>
        </w:numPr>
      </w:pPr>
      <w:r>
        <w:t>Given the clear relationship between the month of the year and the number of dispensing days</w:t>
      </w:r>
      <w:r w:rsidR="001D69E3">
        <w:t xml:space="preserve"> to the </w:t>
      </w:r>
      <w:r w:rsidR="00C14860">
        <w:t xml:space="preserve">total </w:t>
      </w:r>
      <w:r w:rsidR="00F7472E">
        <w:t>prescription spend</w:t>
      </w:r>
      <w:r w:rsidR="001D69E3">
        <w:t xml:space="preserve">, it is likely a much </w:t>
      </w:r>
      <w:proofErr w:type="gramStart"/>
      <w:r w:rsidR="001D69E3">
        <w:t>more simple and transparent</w:t>
      </w:r>
      <w:proofErr w:type="gramEnd"/>
      <w:r w:rsidR="001D69E3">
        <w:t xml:space="preserve"> model could be used to forecast the </w:t>
      </w:r>
      <w:r w:rsidR="00F7472E">
        <w:t>spend</w:t>
      </w:r>
      <w:r w:rsidR="001D69E3">
        <w:t xml:space="preserve"> which would be easy to understand for all users. </w:t>
      </w:r>
    </w:p>
    <w:p w14:paraId="02F9256A" w14:textId="0D89C0E3" w:rsidR="0023447A" w:rsidRDefault="00DF7612" w:rsidP="00EF1FFE">
      <w:pPr>
        <w:pStyle w:val="ListParagraph"/>
        <w:numPr>
          <w:ilvl w:val="0"/>
          <w:numId w:val="2"/>
        </w:numPr>
      </w:pPr>
      <w:r>
        <w:t>This document</w:t>
      </w:r>
      <w:r w:rsidR="00B65AA6">
        <w:t xml:space="preserve"> </w:t>
      </w:r>
      <w:r w:rsidR="0023447A">
        <w:t>first consider</w:t>
      </w:r>
      <w:r w:rsidR="0020208F">
        <w:t>s</w:t>
      </w:r>
      <w:r w:rsidR="0023447A">
        <w:t xml:space="preserve"> </w:t>
      </w:r>
      <w:r w:rsidR="00BF0A4D">
        <w:t>4</w:t>
      </w:r>
      <w:r w:rsidR="0023447A">
        <w:t xml:space="preserve"> simple averaging approach</w:t>
      </w:r>
      <w:r w:rsidR="00BF0A4D">
        <w:t>es</w:t>
      </w:r>
      <w:r w:rsidR="0023447A">
        <w:t xml:space="preserve"> to modelling </w:t>
      </w:r>
      <w:r w:rsidR="006E01F5">
        <w:t>to estimate</w:t>
      </w:r>
      <w:r w:rsidR="0023447A">
        <w:t xml:space="preserve"> the spend in </w:t>
      </w:r>
      <w:r w:rsidR="00B65AA6">
        <w:t>2018/19 using data from 2013/14 to 2017/18.</w:t>
      </w:r>
    </w:p>
    <w:p w14:paraId="6016930A" w14:textId="5ECCAEF6" w:rsidR="00B65AA6" w:rsidRDefault="00B65AA6" w:rsidP="00EF1FFE">
      <w:pPr>
        <w:pStyle w:val="ListParagraph"/>
        <w:numPr>
          <w:ilvl w:val="0"/>
          <w:numId w:val="2"/>
        </w:numPr>
      </w:pPr>
      <w:r>
        <w:t>It</w:t>
      </w:r>
      <w:r w:rsidR="0023447A">
        <w:t xml:space="preserve"> then</w:t>
      </w:r>
      <w:r>
        <w:t xml:space="preserve"> compares </w:t>
      </w:r>
      <w:r w:rsidR="0023447A">
        <w:t xml:space="preserve">the best of the simple models with </w:t>
      </w:r>
      <w:r>
        <w:t>the results obtained using the linear regression model</w:t>
      </w:r>
      <w:r w:rsidR="002B7582">
        <w:t xml:space="preserve"> to estimate the spend in 2018/19, 2019/20 and 2020/21 using data from the previous 5 years for each forecast.</w:t>
      </w:r>
      <w:r>
        <w:t xml:space="preserve"> </w:t>
      </w:r>
    </w:p>
    <w:p w14:paraId="15C80D88" w14:textId="02008761" w:rsidR="00B65AA6" w:rsidRDefault="00B65AA6" w:rsidP="00EF1FFE">
      <w:pPr>
        <w:pStyle w:val="ListParagraph"/>
        <w:numPr>
          <w:ilvl w:val="0"/>
          <w:numId w:val="2"/>
        </w:numPr>
      </w:pPr>
      <w:r>
        <w:t xml:space="preserve">We find that </w:t>
      </w:r>
      <w:r w:rsidR="004F34D7">
        <w:t xml:space="preserve">forecasting by averaging the </w:t>
      </w:r>
      <w:r w:rsidR="0023447A">
        <w:t>prescription spend</w:t>
      </w:r>
      <w:r w:rsidR="004F34D7">
        <w:t xml:space="preserve"> per dispensing day each month and multiplying this by the number of dispensing days in the month </w:t>
      </w:r>
      <w:r w:rsidR="00C41BB4">
        <w:t xml:space="preserve">provides a good estimate </w:t>
      </w:r>
      <w:r w:rsidR="008F3AFA">
        <w:t>which is comparable to the linear regression model.</w:t>
      </w:r>
    </w:p>
    <w:p w14:paraId="6956362E" w14:textId="6C08EFF4" w:rsidR="00FE28F2" w:rsidRDefault="00FE28F2" w:rsidP="00EF1FFE">
      <w:pPr>
        <w:pStyle w:val="ListParagraph"/>
        <w:numPr>
          <w:ilvl w:val="0"/>
          <w:numId w:val="2"/>
        </w:numPr>
      </w:pPr>
      <w:r>
        <w:t xml:space="preserve">The linear regression model </w:t>
      </w:r>
      <w:r w:rsidR="009768F8">
        <w:t>was found</w:t>
      </w:r>
      <w:r>
        <w:t xml:space="preserve"> to be quite inaccurate at estimating the overall spend</w:t>
      </w:r>
      <w:r w:rsidR="00F23C2E">
        <w:t xml:space="preserve"> in some perio</w:t>
      </w:r>
      <w:r w:rsidR="00324D84">
        <w:t>ds</w:t>
      </w:r>
      <w:r>
        <w:t xml:space="preserve"> due to issues with the time variable</w:t>
      </w:r>
      <w:r w:rsidR="00880ED1">
        <w:t xml:space="preserve"> whereby the spend is not </w:t>
      </w:r>
      <w:r w:rsidR="00324D84">
        <w:t xml:space="preserve">necessarily </w:t>
      </w:r>
      <w:r w:rsidR="00880ED1">
        <w:t>changing linearly with time.</w:t>
      </w:r>
    </w:p>
    <w:p w14:paraId="38930B6B" w14:textId="4CDFCC51" w:rsidR="000A7F33" w:rsidRDefault="000A7F33" w:rsidP="00EF1FFE">
      <w:pPr>
        <w:pStyle w:val="ListParagraph"/>
        <w:numPr>
          <w:ilvl w:val="0"/>
          <w:numId w:val="2"/>
        </w:numPr>
      </w:pPr>
      <w:r>
        <w:t xml:space="preserve">When quantifying the </w:t>
      </w:r>
      <w:r w:rsidR="002B7582">
        <w:t xml:space="preserve">difference between the models and the true values, the results vary depending on which year is being modelled, but </w:t>
      </w:r>
      <w:proofErr w:type="gramStart"/>
      <w:r w:rsidR="002B7582">
        <w:t>gene</w:t>
      </w:r>
      <w:r w:rsidR="000F4FBF">
        <w:t>rally speaking there</w:t>
      </w:r>
      <w:proofErr w:type="gramEnd"/>
      <w:r w:rsidR="000F4FBF">
        <w:t xml:space="preserve"> is not a large discrepancy between the simple model and the linear regression model.</w:t>
      </w:r>
    </w:p>
    <w:p w14:paraId="5C499E3C" w14:textId="21258C2B" w:rsidR="0056122D" w:rsidRDefault="008F3AFA" w:rsidP="0056122D">
      <w:pPr>
        <w:pStyle w:val="ListParagraph"/>
        <w:numPr>
          <w:ilvl w:val="0"/>
          <w:numId w:val="2"/>
        </w:numPr>
      </w:pPr>
      <w:r>
        <w:t xml:space="preserve">We suggest </w:t>
      </w:r>
      <w:r w:rsidR="000F4FBF">
        <w:t>the</w:t>
      </w:r>
      <w:r>
        <w:t xml:space="preserve"> simple methodology is adopted going forward</w:t>
      </w:r>
      <w:r w:rsidR="000F4FBF">
        <w:t xml:space="preserve"> as it </w:t>
      </w:r>
      <w:r w:rsidR="00447DEA">
        <w:t>is</w:t>
      </w:r>
      <w:r w:rsidR="000F4FBF">
        <w:t xml:space="preserve"> much more transparent</w:t>
      </w:r>
      <w:r w:rsidR="003E607E">
        <w:t xml:space="preserve"> and </w:t>
      </w:r>
      <w:r w:rsidR="00DD257F">
        <w:t>results</w:t>
      </w:r>
      <w:r w:rsidR="00522F4B">
        <w:t xml:space="preserve"> in estimates</w:t>
      </w:r>
      <w:r w:rsidR="00DD257F">
        <w:t xml:space="preserve"> that are comparable to the linear regression model.</w:t>
      </w:r>
    </w:p>
    <w:p w14:paraId="2D5415A4" w14:textId="629773E1" w:rsidR="0056122D" w:rsidRDefault="0056122D" w:rsidP="0056122D">
      <w:pPr>
        <w:pStyle w:val="Heading2"/>
      </w:pPr>
      <w:r>
        <w:t>Current Model</w:t>
      </w:r>
    </w:p>
    <w:p w14:paraId="4589BCFA" w14:textId="13DB4592" w:rsidR="00AA3E3E" w:rsidRDefault="0056122D" w:rsidP="00AA3E3E">
      <w:pPr>
        <w:pStyle w:val="ListParagraph"/>
        <w:numPr>
          <w:ilvl w:val="0"/>
          <w:numId w:val="1"/>
        </w:numPr>
        <w:ind w:left="357" w:hanging="357"/>
        <w:contextualSpacing w:val="0"/>
      </w:pPr>
      <w:r>
        <w:t xml:space="preserve">Currently the </w:t>
      </w:r>
      <w:r w:rsidR="00BD0FA6">
        <w:t>SICBL</w:t>
      </w:r>
      <w:r>
        <w:t xml:space="preserve"> Prescription Forecasting Model relies on linear regression to forecast the </w:t>
      </w:r>
      <w:r w:rsidR="00967727">
        <w:t>spend on prescriptions</w:t>
      </w:r>
      <w:r>
        <w:t xml:space="preserve"> for the remainder of the year broken down by each month. From this, we generate a cumulative profile allowing </w:t>
      </w:r>
      <w:r w:rsidR="00BD0FA6">
        <w:t>SICBL</w:t>
      </w:r>
      <w:r>
        <w:t>s to consider how their spend looks so far and the potential spend on prescriptions for the remainder of the year</w:t>
      </w:r>
      <w:r w:rsidR="00AA3E3E">
        <w:t>.</w:t>
      </w:r>
    </w:p>
    <w:p w14:paraId="276EADF1" w14:textId="43D87F09" w:rsidR="00AF4BEE" w:rsidRDefault="00AA3E3E" w:rsidP="00AA3E3E">
      <w:pPr>
        <w:pStyle w:val="ListParagraph"/>
        <w:numPr>
          <w:ilvl w:val="0"/>
          <w:numId w:val="1"/>
        </w:numPr>
        <w:ind w:left="357" w:hanging="357"/>
        <w:contextualSpacing w:val="0"/>
      </w:pPr>
      <w:r>
        <w:t xml:space="preserve">However, the model is potentially over-complicated for its purpose and </w:t>
      </w:r>
      <w:r w:rsidR="00803CB1">
        <w:t>often generates a relatively low</w:t>
      </w:r>
      <w:r>
        <w:t xml:space="preserve"> R-squared value</w:t>
      </w:r>
      <w:r w:rsidR="00443A78">
        <w:t xml:space="preserve"> as there may no longer be a linear relationship between time and prescribing spend. </w:t>
      </w:r>
      <w:r w:rsidR="00505C83">
        <w:t>Hence</w:t>
      </w:r>
      <w:r>
        <w:t>, the model may benefit from a simpler, stripped back method</w:t>
      </w:r>
      <w:r w:rsidR="00505C83">
        <w:t>ology</w:t>
      </w:r>
      <w:r>
        <w:t xml:space="preserve">. </w:t>
      </w:r>
      <w:r w:rsidR="00A2587B">
        <w:t xml:space="preserve">This will ensure the model </w:t>
      </w:r>
      <w:r w:rsidR="00505C83">
        <w:t xml:space="preserve">is more transparent to its users and </w:t>
      </w:r>
      <w:r w:rsidR="00A2587B">
        <w:t>can be easily understood by anyone hoping to use the data</w:t>
      </w:r>
      <w:r w:rsidR="00505C83">
        <w:t xml:space="preserve">. </w:t>
      </w:r>
    </w:p>
    <w:p w14:paraId="37A158CD" w14:textId="2BAB72EC" w:rsidR="00AA3E3E" w:rsidRDefault="00AF4BEE" w:rsidP="00AF4BEE">
      <w:r>
        <w:br w:type="page"/>
      </w:r>
    </w:p>
    <w:p w14:paraId="7A2CC297" w14:textId="75678798" w:rsidR="00AA3E3E" w:rsidRDefault="00AA3E3E" w:rsidP="00AA3E3E">
      <w:pPr>
        <w:pStyle w:val="Heading2"/>
      </w:pPr>
      <w:r>
        <w:lastRenderedPageBreak/>
        <w:t>Historic Data</w:t>
      </w:r>
    </w:p>
    <w:p w14:paraId="5882ACE9" w14:textId="414884AE" w:rsidR="00AA3E3E" w:rsidRDefault="00C30E20" w:rsidP="00AA3E3E">
      <w:pPr>
        <w:pStyle w:val="ListParagraph"/>
        <w:numPr>
          <w:ilvl w:val="0"/>
          <w:numId w:val="1"/>
        </w:numPr>
        <w:ind w:left="357" w:hanging="357"/>
        <w:contextualSpacing w:val="0"/>
      </w:pPr>
      <w:r>
        <w:t xml:space="preserve">The </w:t>
      </w:r>
      <w:r w:rsidR="00FD6CD7">
        <w:t>p</w:t>
      </w:r>
      <w:r w:rsidR="0091788A">
        <w:t xml:space="preserve">rescription </w:t>
      </w:r>
      <w:proofErr w:type="gramStart"/>
      <w:r w:rsidR="0091788A">
        <w:t>spend</w:t>
      </w:r>
      <w:proofErr w:type="gramEnd"/>
      <w:r w:rsidR="00AA3E3E">
        <w:t xml:space="preserve"> per month</w:t>
      </w:r>
      <w:r w:rsidR="00120124">
        <w:t xml:space="preserve"> divided by the number of dispensing days that month</w:t>
      </w:r>
      <w:r w:rsidR="00AA3E3E">
        <w:t xml:space="preserve"> is shown in</w:t>
      </w:r>
      <w:r w:rsidR="00120124">
        <w:t xml:space="preserve"> </w:t>
      </w:r>
      <w:r w:rsidR="00120124">
        <w:fldChar w:fldCharType="begin"/>
      </w:r>
      <w:r w:rsidR="00120124">
        <w:instrText xml:space="preserve"> REF _Ref94170670 \h </w:instrText>
      </w:r>
      <w:r w:rsidR="00120124">
        <w:fldChar w:fldCharType="separate"/>
      </w:r>
      <w:r w:rsidR="00120124">
        <w:t xml:space="preserve">Figure </w:t>
      </w:r>
      <w:r w:rsidR="00120124">
        <w:rPr>
          <w:noProof/>
        </w:rPr>
        <w:t>1</w:t>
      </w:r>
      <w:r w:rsidR="00120124">
        <w:fldChar w:fldCharType="end"/>
      </w:r>
      <w:r w:rsidR="00AA3E3E">
        <w:t xml:space="preserve"> from 201</w:t>
      </w:r>
      <w:r w:rsidR="001F3E2D">
        <w:t>3</w:t>
      </w:r>
      <w:r w:rsidR="00AA3E3E">
        <w:t>/1</w:t>
      </w:r>
      <w:r w:rsidR="002F4C77">
        <w:t>4</w:t>
      </w:r>
      <w:r w:rsidR="00AA3E3E">
        <w:t xml:space="preserve"> to 2020/21.</w:t>
      </w:r>
    </w:p>
    <w:p w14:paraId="2BA54BE7" w14:textId="5EADF1D7" w:rsidR="0056215A" w:rsidRDefault="00B03CE3" w:rsidP="0056215A">
      <w:pPr>
        <w:pStyle w:val="Captio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223B63F" wp14:editId="19021407">
                <wp:simplePos x="0" y="0"/>
                <wp:positionH relativeFrom="column">
                  <wp:posOffset>0</wp:posOffset>
                </wp:positionH>
                <wp:positionV relativeFrom="paragraph">
                  <wp:posOffset>3375660</wp:posOffset>
                </wp:positionV>
                <wp:extent cx="6126480" cy="6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CE0C1A" w14:textId="22A64EF9" w:rsidR="00B03CE3" w:rsidRPr="003D0830" w:rsidRDefault="00B03CE3" w:rsidP="00B03CE3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: </w:t>
                            </w:r>
                            <w:r w:rsidRPr="005A414E">
                              <w:t xml:space="preserve">The prescription </w:t>
                            </w:r>
                            <w:proofErr w:type="gramStart"/>
                            <w:r w:rsidRPr="005A414E">
                              <w:t>spend</w:t>
                            </w:r>
                            <w:proofErr w:type="gramEnd"/>
                            <w:r w:rsidRPr="005A414E">
                              <w:t xml:space="preserve"> per month divided by the number of dispensing days in that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23B63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65.8pt;width:482.4pt;height:.0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" stroked="f">
                <v:textbox style="mso-fit-shape-to-text:t" inset="0,0,0,0">
                  <w:txbxContent>
                    <w:p w14:paraId="78CE0C1A" w14:textId="22A64EF9" w:rsidR="00B03CE3" w:rsidRPr="003D0830" w:rsidRDefault="00B03CE3" w:rsidP="00B03CE3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: </w:t>
                      </w:r>
                      <w:r w:rsidRPr="005A414E">
                        <w:t xml:space="preserve">The prescription </w:t>
                      </w:r>
                      <w:proofErr w:type="gramStart"/>
                      <w:r w:rsidRPr="005A414E">
                        <w:t>spend</w:t>
                      </w:r>
                      <w:proofErr w:type="gramEnd"/>
                      <w:r w:rsidRPr="005A414E">
                        <w:t xml:space="preserve"> per month divided by the number of dispensing days in that month</w:t>
                      </w:r>
                    </w:p>
                  </w:txbxContent>
                </v:textbox>
              </v:shape>
            </w:pict>
          </mc:Fallback>
        </mc:AlternateContent>
      </w:r>
      <w:r w:rsidR="0056215A">
        <w:rPr>
          <w:noProof/>
        </w:rPr>
        <w:drawing>
          <wp:anchor distT="0" distB="0" distL="114300" distR="114300" simplePos="0" relativeHeight="251658245" behindDoc="0" locked="0" layoutInCell="1" allowOverlap="1" wp14:anchorId="04F027A8" wp14:editId="64764422">
            <wp:simplePos x="0" y="0"/>
            <wp:positionH relativeFrom="margin">
              <wp:align>left</wp:align>
            </wp:positionH>
            <wp:positionV relativeFrom="paragraph">
              <wp:posOffset>161095</wp:posOffset>
            </wp:positionV>
            <wp:extent cx="6126480" cy="3158197"/>
            <wp:effectExtent l="0" t="0" r="7620" b="4445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7368265-6E4B-4520-8AB0-3AC0BFF168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BD31B" w14:textId="7F5DADB0" w:rsidR="0056215A" w:rsidRDefault="0056215A" w:rsidP="0056215A"/>
    <w:p w14:paraId="6E9031DF" w14:textId="30AF9292" w:rsidR="001F3E2D" w:rsidRDefault="001F3E2D" w:rsidP="00120124">
      <w:pPr>
        <w:pStyle w:val="ListParagraph"/>
        <w:keepNext/>
        <w:ind w:left="357"/>
        <w:contextualSpacing w:val="0"/>
      </w:pPr>
    </w:p>
    <w:p w14:paraId="2E8586C4" w14:textId="41918FB9" w:rsidR="001F3E2D" w:rsidRDefault="001F3E2D" w:rsidP="00120124">
      <w:pPr>
        <w:pStyle w:val="ListParagraph"/>
        <w:keepNext/>
        <w:ind w:left="357"/>
        <w:contextualSpacing w:val="0"/>
      </w:pPr>
    </w:p>
    <w:p w14:paraId="525785E6" w14:textId="4979AE4C" w:rsidR="001F3E2D" w:rsidRDefault="001F3E2D" w:rsidP="00120124">
      <w:pPr>
        <w:pStyle w:val="ListParagraph"/>
        <w:keepNext/>
        <w:ind w:left="357"/>
        <w:contextualSpacing w:val="0"/>
      </w:pPr>
    </w:p>
    <w:p w14:paraId="041A81C0" w14:textId="01627189" w:rsidR="001F3E2D" w:rsidRDefault="001F3E2D" w:rsidP="00120124">
      <w:pPr>
        <w:pStyle w:val="ListParagraph"/>
        <w:keepNext/>
        <w:ind w:left="357"/>
        <w:contextualSpacing w:val="0"/>
      </w:pPr>
    </w:p>
    <w:p w14:paraId="29BE7C86" w14:textId="77777777" w:rsidR="001F3E2D" w:rsidRDefault="001F3E2D" w:rsidP="00120124">
      <w:pPr>
        <w:pStyle w:val="ListParagraph"/>
        <w:keepNext/>
        <w:ind w:left="357"/>
        <w:contextualSpacing w:val="0"/>
      </w:pPr>
    </w:p>
    <w:p w14:paraId="41AAD270" w14:textId="6FCB754A" w:rsidR="001F3E2D" w:rsidRDefault="001F3E2D" w:rsidP="00120124">
      <w:pPr>
        <w:pStyle w:val="ListParagraph"/>
        <w:keepNext/>
        <w:ind w:left="357"/>
        <w:contextualSpacing w:val="0"/>
      </w:pPr>
    </w:p>
    <w:p w14:paraId="6B5F7C49" w14:textId="307E9EA7" w:rsidR="001F3E2D" w:rsidRDefault="001F3E2D" w:rsidP="00120124">
      <w:pPr>
        <w:pStyle w:val="ListParagraph"/>
        <w:keepNext/>
        <w:ind w:left="357"/>
        <w:contextualSpacing w:val="0"/>
      </w:pPr>
    </w:p>
    <w:p w14:paraId="0499434A" w14:textId="77777777" w:rsidR="001F3E2D" w:rsidRDefault="001F3E2D" w:rsidP="00120124">
      <w:pPr>
        <w:pStyle w:val="ListParagraph"/>
        <w:keepNext/>
        <w:ind w:left="357"/>
        <w:contextualSpacing w:val="0"/>
      </w:pPr>
    </w:p>
    <w:p w14:paraId="34A9ADC2" w14:textId="77777777" w:rsidR="001F3E2D" w:rsidRDefault="001F3E2D" w:rsidP="00120124">
      <w:pPr>
        <w:pStyle w:val="ListParagraph"/>
        <w:keepNext/>
        <w:ind w:left="357"/>
        <w:contextualSpacing w:val="0"/>
      </w:pPr>
    </w:p>
    <w:p w14:paraId="64531A54" w14:textId="77777777" w:rsidR="001F3E2D" w:rsidRDefault="001F3E2D" w:rsidP="00120124">
      <w:pPr>
        <w:pStyle w:val="ListParagraph"/>
        <w:keepNext/>
        <w:ind w:left="357"/>
        <w:contextualSpacing w:val="0"/>
      </w:pPr>
    </w:p>
    <w:p w14:paraId="40A5C081" w14:textId="77777777" w:rsidR="001F3E2D" w:rsidRDefault="001F3E2D" w:rsidP="00120124">
      <w:pPr>
        <w:pStyle w:val="ListParagraph"/>
        <w:keepNext/>
        <w:ind w:left="357"/>
        <w:contextualSpacing w:val="0"/>
      </w:pPr>
    </w:p>
    <w:p w14:paraId="2C92774C" w14:textId="3895AB25" w:rsidR="00AA3E3E" w:rsidRDefault="00DF6D77" w:rsidP="00AA3E3E">
      <w:pPr>
        <w:pStyle w:val="ListParagraph"/>
        <w:numPr>
          <w:ilvl w:val="0"/>
          <w:numId w:val="1"/>
        </w:numPr>
        <w:ind w:left="357" w:hanging="357"/>
        <w:contextualSpacing w:val="0"/>
      </w:pPr>
      <w:r>
        <w:t>There appear to be some similarities</w:t>
      </w:r>
      <w:r w:rsidR="000303C5">
        <w:t xml:space="preserve"> each month</w:t>
      </w:r>
      <w:r>
        <w:t xml:space="preserve"> </w:t>
      </w:r>
      <w:r w:rsidR="00B62171">
        <w:t xml:space="preserve">between years – most noticeably a large peak in the </w:t>
      </w:r>
      <w:r w:rsidR="00166577">
        <w:t>prescription spend</w:t>
      </w:r>
      <w:r w:rsidR="00B62171">
        <w:t xml:space="preserve"> in December each year (which is further highlighted by the average across all years shown as a dashed red line).</w:t>
      </w:r>
      <w:r w:rsidR="00BB3772">
        <w:t xml:space="preserve"> </w:t>
      </w:r>
      <w:r w:rsidR="00CC1A8A">
        <w:t xml:space="preserve">This is most likely a result of </w:t>
      </w:r>
      <w:r w:rsidR="00717523">
        <w:t xml:space="preserve">patients picking up </w:t>
      </w:r>
      <w:r w:rsidR="00C463F9">
        <w:t xml:space="preserve">extra supplies before the Christmas public holidays. </w:t>
      </w:r>
    </w:p>
    <w:p w14:paraId="1F8AEF0E" w14:textId="37F3171F" w:rsidR="00120124" w:rsidRDefault="00120124" w:rsidP="00AA3E3E">
      <w:pPr>
        <w:pStyle w:val="ListParagraph"/>
        <w:numPr>
          <w:ilvl w:val="0"/>
          <w:numId w:val="1"/>
        </w:numPr>
        <w:ind w:left="357" w:hanging="357"/>
        <w:contextualSpacing w:val="0"/>
      </w:pPr>
      <w:r>
        <w:t>We can see a clear impact of COVID-19</w:t>
      </w:r>
      <w:r w:rsidR="000303C5">
        <w:t xml:space="preserve"> right at the beginning of the pandemic with</w:t>
      </w:r>
      <w:r>
        <w:t xml:space="preserve"> </w:t>
      </w:r>
      <w:r w:rsidR="000303C5">
        <w:t xml:space="preserve">a </w:t>
      </w:r>
      <w:r>
        <w:t>sudden increase in prescription</w:t>
      </w:r>
      <w:r w:rsidR="006A454A">
        <w:t xml:space="preserve"> spend</w:t>
      </w:r>
      <w:r>
        <w:t xml:space="preserve"> in March 2019/20 and April 2020/21. This is likely to be a result of </w:t>
      </w:r>
      <w:r w:rsidR="00A40798">
        <w:t>many</w:t>
      </w:r>
      <w:r>
        <w:t xml:space="preserve"> patients collecting prescriptions due to the uncertainty around when they may be able to collect them again</w:t>
      </w:r>
      <w:r w:rsidR="00183A87">
        <w:t xml:space="preserve"> (as well as a larger </w:t>
      </w:r>
      <w:r w:rsidR="00037699">
        <w:t>December peak possibly for similar reasons)</w:t>
      </w:r>
      <w:r>
        <w:t xml:space="preserve">. </w:t>
      </w:r>
      <w:r w:rsidR="00037699">
        <w:t>However, overall, the data has remained relatively consistent with previous years.</w:t>
      </w:r>
      <w:r>
        <w:t xml:space="preserve"> </w:t>
      </w:r>
    </w:p>
    <w:p w14:paraId="61E007BC" w14:textId="05DD3F02" w:rsidR="00BB3772" w:rsidRDefault="0008744E" w:rsidP="000B21F8">
      <w:pPr>
        <w:pStyle w:val="ListParagraph"/>
        <w:numPr>
          <w:ilvl w:val="0"/>
          <w:numId w:val="1"/>
        </w:numPr>
        <w:ind w:left="357" w:hanging="357"/>
        <w:contextualSpacing w:val="0"/>
      </w:pPr>
      <w:r>
        <w:fldChar w:fldCharType="begin"/>
      </w:r>
      <w:r>
        <w:instrText xml:space="preserve"> REF _Ref94172790 \h </w:instrText>
      </w:r>
      <w:r>
        <w:fldChar w:fldCharType="separate"/>
      </w:r>
      <w:r>
        <w:t xml:space="preserve">Figure </w:t>
      </w:r>
      <w:r>
        <w:rPr>
          <w:noProof/>
        </w:rPr>
        <w:t>2</w:t>
      </w:r>
      <w:r>
        <w:fldChar w:fldCharType="end"/>
      </w:r>
      <w:r>
        <w:t xml:space="preserve"> </w:t>
      </w:r>
      <w:r w:rsidR="00BB3772">
        <w:t xml:space="preserve">shows the timeseries of the </w:t>
      </w:r>
      <w:r w:rsidR="0071580A">
        <w:t>prescription spend</w:t>
      </w:r>
      <w:r w:rsidR="001A7C05">
        <w:t xml:space="preserve"> (blue)</w:t>
      </w:r>
      <w:r w:rsidR="00BB3772">
        <w:t xml:space="preserve"> </w:t>
      </w:r>
      <w:r w:rsidR="001A7C05">
        <w:t>and the number of dispensing days (orange) running from 201</w:t>
      </w:r>
      <w:r w:rsidR="002F4C77">
        <w:t>3/14</w:t>
      </w:r>
      <w:r w:rsidR="001A7C05">
        <w:t xml:space="preserve"> until 2020/21</w:t>
      </w:r>
      <w:r w:rsidR="002F4C77">
        <w:t xml:space="preserve">. </w:t>
      </w:r>
      <w:r w:rsidR="001C2D27">
        <w:t>T</w:t>
      </w:r>
      <w:r w:rsidR="002F4C77">
        <w:t xml:space="preserve">hese are shown on different scales as the raw values are not directly comparable. However, we can consider </w:t>
      </w:r>
      <w:r w:rsidR="006E6778">
        <w:t xml:space="preserve">the patterns between the two datasets whereby we see that peaks in the number of dispensing days often coincide with peaks in </w:t>
      </w:r>
      <w:r w:rsidR="0071580A">
        <w:t>the prescription spend</w:t>
      </w:r>
      <w:r w:rsidR="006E6778">
        <w:t xml:space="preserve">. </w:t>
      </w:r>
      <w:r w:rsidR="00023BBF">
        <w:br w:type="page"/>
      </w:r>
    </w:p>
    <w:p w14:paraId="7BCE3560" w14:textId="7546B944" w:rsidR="000853FE" w:rsidRDefault="00B224F7" w:rsidP="000853FE">
      <w:pPr>
        <w:pStyle w:val="ListParagraph"/>
        <w:ind w:left="357"/>
        <w:contextualSpacing w:val="0"/>
      </w:pPr>
      <w:r>
        <w:rPr>
          <w:noProof/>
        </w:rPr>
        <w:lastRenderedPageBreak/>
        <w:drawing>
          <wp:anchor distT="0" distB="0" distL="114300" distR="114300" simplePos="0" relativeHeight="251658246" behindDoc="0" locked="0" layoutInCell="1" allowOverlap="1" wp14:anchorId="353E54BF" wp14:editId="36D3F7C7">
            <wp:simplePos x="0" y="0"/>
            <wp:positionH relativeFrom="margin">
              <wp:posOffset>-323557</wp:posOffset>
            </wp:positionH>
            <wp:positionV relativeFrom="paragraph">
              <wp:posOffset>-1</wp:posOffset>
            </wp:positionV>
            <wp:extent cx="6675120" cy="2792437"/>
            <wp:effectExtent l="0" t="0" r="11430" b="8255"/>
            <wp:wrapNone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7A183124-618D-4CBA-A061-5154FE538F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AAA46" w14:textId="6379DE8E" w:rsidR="000853FE" w:rsidRDefault="000853FE" w:rsidP="000853FE">
      <w:pPr>
        <w:pStyle w:val="ListParagraph"/>
        <w:ind w:left="357"/>
        <w:contextualSpacing w:val="0"/>
      </w:pPr>
    </w:p>
    <w:p w14:paraId="4571FA52" w14:textId="79F1D8E5" w:rsidR="000853FE" w:rsidRDefault="000853FE" w:rsidP="000853FE">
      <w:pPr>
        <w:pStyle w:val="ListParagraph"/>
        <w:ind w:left="357"/>
        <w:contextualSpacing w:val="0"/>
      </w:pPr>
    </w:p>
    <w:p w14:paraId="5EF86523" w14:textId="0B0A28BC" w:rsidR="000853FE" w:rsidRDefault="000853FE" w:rsidP="000853FE">
      <w:pPr>
        <w:pStyle w:val="ListParagraph"/>
        <w:ind w:left="357"/>
        <w:contextualSpacing w:val="0"/>
      </w:pPr>
    </w:p>
    <w:p w14:paraId="4EFE3F9D" w14:textId="0769A520" w:rsidR="000853FE" w:rsidRDefault="000853FE" w:rsidP="000853FE"/>
    <w:p w14:paraId="63AF60D1" w14:textId="0549BF50" w:rsidR="000853FE" w:rsidRDefault="000853FE" w:rsidP="000853FE"/>
    <w:p w14:paraId="793B6BB8" w14:textId="05F87C55" w:rsidR="000853FE" w:rsidRDefault="000853FE" w:rsidP="000853FE"/>
    <w:p w14:paraId="6C0F59A6" w14:textId="546BDE3E" w:rsidR="000853FE" w:rsidRDefault="000853FE" w:rsidP="000853FE"/>
    <w:p w14:paraId="43845C92" w14:textId="6A95E51C" w:rsidR="000853FE" w:rsidRDefault="000853FE" w:rsidP="000853FE"/>
    <w:p w14:paraId="38CE92EB" w14:textId="76516444" w:rsidR="000853FE" w:rsidRDefault="000853FE" w:rsidP="000853FE"/>
    <w:p w14:paraId="63C7ABBA" w14:textId="6891B557" w:rsidR="0008744E" w:rsidRDefault="0008744E" w:rsidP="0008744E">
      <w:pPr>
        <w:pStyle w:val="Caption"/>
      </w:pPr>
      <w:bookmarkStart w:id="0" w:name="_Ref94172790"/>
      <w:r>
        <w:t xml:space="preserve">Figure </w:t>
      </w:r>
      <w:fldSimple w:instr=" SEQ Figure \* ARABIC ">
        <w:r w:rsidR="00B03CE3">
          <w:rPr>
            <w:noProof/>
          </w:rPr>
          <w:t>2</w:t>
        </w:r>
      </w:fldSimple>
      <w:bookmarkEnd w:id="0"/>
      <w:r>
        <w:t xml:space="preserve">: A timeseries showing the </w:t>
      </w:r>
      <w:r w:rsidR="005262A7">
        <w:t>prescription spend</w:t>
      </w:r>
      <w:r>
        <w:t xml:space="preserve"> and the number of dispensing days each month</w:t>
      </w:r>
    </w:p>
    <w:p w14:paraId="26AC10FC" w14:textId="540FDC77" w:rsidR="0008744E" w:rsidRDefault="001A7C05" w:rsidP="00AA3E3E">
      <w:pPr>
        <w:pStyle w:val="ListParagraph"/>
        <w:numPr>
          <w:ilvl w:val="0"/>
          <w:numId w:val="1"/>
        </w:numPr>
        <w:ind w:left="357" w:hanging="357"/>
        <w:contextualSpacing w:val="0"/>
      </w:pPr>
      <w:r>
        <w:t xml:space="preserve">The previous figures highlight that there appears to be a decent overlap between the </w:t>
      </w:r>
      <w:r w:rsidR="007D596F">
        <w:t>prescription spend</w:t>
      </w:r>
      <w:r>
        <w:t xml:space="preserve"> and the number of dispensing days </w:t>
      </w:r>
      <w:r w:rsidR="005B7D4C">
        <w:t>as well as</w:t>
      </w:r>
      <w:r>
        <w:t xml:space="preserve"> the month</w:t>
      </w:r>
      <w:r w:rsidR="0016663F">
        <w:t xml:space="preserve"> of the year</w:t>
      </w:r>
      <w:r>
        <w:t xml:space="preserve"> meaning some simpler forecasting may be possible based on these parameters. </w:t>
      </w:r>
    </w:p>
    <w:p w14:paraId="229C807E" w14:textId="4BF68B70" w:rsidR="005B4666" w:rsidRDefault="005B4666" w:rsidP="005B4666">
      <w:pPr>
        <w:pStyle w:val="Heading2"/>
      </w:pPr>
      <w:r>
        <w:t xml:space="preserve">Simple Modelling </w:t>
      </w:r>
    </w:p>
    <w:p w14:paraId="32672592" w14:textId="4A2358AE" w:rsidR="005B4666" w:rsidRDefault="005548F6" w:rsidP="000A1F01">
      <w:pPr>
        <w:pStyle w:val="ListParagraph"/>
        <w:numPr>
          <w:ilvl w:val="0"/>
          <w:numId w:val="1"/>
        </w:numPr>
        <w:ind w:left="357" w:hanging="357"/>
        <w:contextualSpacing w:val="0"/>
      </w:pPr>
      <w:r>
        <w:t xml:space="preserve">A much </w:t>
      </w:r>
      <w:proofErr w:type="gramStart"/>
      <w:r>
        <w:t>more simple</w:t>
      </w:r>
      <w:proofErr w:type="gramEnd"/>
      <w:r>
        <w:t xml:space="preserve"> model would involve averaging data from previous years based on a combination of the month and the number of </w:t>
      </w:r>
      <w:r w:rsidR="00BF4DB8">
        <w:t xml:space="preserve">dispensing days. </w:t>
      </w:r>
      <w:proofErr w:type="gramStart"/>
      <w:r w:rsidR="000A1F01">
        <w:t>In order to</w:t>
      </w:r>
      <w:proofErr w:type="gramEnd"/>
      <w:r w:rsidR="000A1F01">
        <w:t xml:space="preserve"> do this, we will consider data from </w:t>
      </w:r>
      <w:r w:rsidR="000426AC">
        <w:t>201</w:t>
      </w:r>
      <w:r w:rsidR="006A35EF">
        <w:t>3</w:t>
      </w:r>
      <w:r w:rsidR="0039323C">
        <w:t>/</w:t>
      </w:r>
      <w:r w:rsidR="000426AC">
        <w:t>1</w:t>
      </w:r>
      <w:r w:rsidR="006A35EF">
        <w:t>4</w:t>
      </w:r>
      <w:r w:rsidR="000426AC">
        <w:t xml:space="preserve"> until 2017/18</w:t>
      </w:r>
      <w:r w:rsidR="0039323C">
        <w:t xml:space="preserve"> in order to estimate data from 2018/19. </w:t>
      </w:r>
      <w:r w:rsidR="00F63261">
        <w:t xml:space="preserve">This is done to avoid using any data from </w:t>
      </w:r>
      <w:r w:rsidR="00575E72">
        <w:t>the pandemic</w:t>
      </w:r>
      <w:r w:rsidR="006A35EF">
        <w:t>.</w:t>
      </w:r>
    </w:p>
    <w:p w14:paraId="4C046EFD" w14:textId="3E3D1A93" w:rsidR="000E306F" w:rsidRDefault="007F6533" w:rsidP="000A1F01">
      <w:pPr>
        <w:pStyle w:val="ListParagraph"/>
        <w:numPr>
          <w:ilvl w:val="0"/>
          <w:numId w:val="1"/>
        </w:numPr>
        <w:ind w:left="357" w:hanging="357"/>
        <w:contextualSpacing w:val="0"/>
      </w:pPr>
      <w:r>
        <w:t xml:space="preserve">The average prescription </w:t>
      </w:r>
      <w:proofErr w:type="gramStart"/>
      <w:r w:rsidR="00007268">
        <w:t>spend</w:t>
      </w:r>
      <w:proofErr w:type="gramEnd"/>
      <w:r w:rsidR="00007268">
        <w:t xml:space="preserve"> based on the number of dispensing days is shown in </w:t>
      </w:r>
      <w:r w:rsidR="00007268">
        <w:fldChar w:fldCharType="begin"/>
      </w:r>
      <w:r w:rsidR="00007268">
        <w:instrText xml:space="preserve"> REF _Ref94174746 \h </w:instrText>
      </w:r>
      <w:r w:rsidR="00007268">
        <w:fldChar w:fldCharType="separate"/>
      </w:r>
      <w:r w:rsidR="00007268">
        <w:t xml:space="preserve">Figure </w:t>
      </w:r>
      <w:r w:rsidR="00007268">
        <w:rPr>
          <w:noProof/>
        </w:rPr>
        <w:t>3</w:t>
      </w:r>
      <w:r w:rsidR="00007268">
        <w:fldChar w:fldCharType="end"/>
      </w:r>
      <w:r w:rsidR="00007268">
        <w:t xml:space="preserve">. As expected, we see the </w:t>
      </w:r>
      <w:r w:rsidR="00033BB8">
        <w:t>prescription spend increases with the number of dispensing days.</w:t>
      </w:r>
    </w:p>
    <w:p w14:paraId="676C7264" w14:textId="576C7BA8" w:rsidR="00B50834" w:rsidRDefault="00B50834" w:rsidP="00A33EC0">
      <w:pPr>
        <w:pStyle w:val="ListParagraph"/>
        <w:keepNext/>
        <w:ind w:left="357"/>
        <w:contextualSpacing w:val="0"/>
        <w:jc w:val="center"/>
      </w:pPr>
    </w:p>
    <w:p w14:paraId="195235B7" w14:textId="77D0B1E6" w:rsidR="00B50834" w:rsidRDefault="000E306F" w:rsidP="00A33EC0">
      <w:pPr>
        <w:pStyle w:val="ListParagraph"/>
        <w:keepNext/>
        <w:ind w:left="357"/>
        <w:contextualSpacing w:val="0"/>
        <w:jc w:val="center"/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15EE7896" wp14:editId="6372B994">
            <wp:simplePos x="0" y="0"/>
            <wp:positionH relativeFrom="column">
              <wp:posOffset>526317</wp:posOffset>
            </wp:positionH>
            <wp:positionV relativeFrom="paragraph">
              <wp:posOffset>51191</wp:posOffset>
            </wp:positionV>
            <wp:extent cx="4572000" cy="2745740"/>
            <wp:effectExtent l="0" t="0" r="0" b="16510"/>
            <wp:wrapNone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E7A73482-F5B2-4110-A03D-2468024878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1014F13F" w14:textId="2E6E4AD0" w:rsidR="00B50834" w:rsidRDefault="00B50834" w:rsidP="00A33EC0">
      <w:pPr>
        <w:pStyle w:val="ListParagraph"/>
        <w:keepNext/>
        <w:ind w:left="357"/>
        <w:contextualSpacing w:val="0"/>
        <w:jc w:val="center"/>
      </w:pPr>
    </w:p>
    <w:p w14:paraId="7C0E17F1" w14:textId="0DAEE276" w:rsidR="00B50834" w:rsidRDefault="00B50834" w:rsidP="00A33EC0">
      <w:pPr>
        <w:pStyle w:val="ListParagraph"/>
        <w:keepNext/>
        <w:ind w:left="357"/>
        <w:contextualSpacing w:val="0"/>
        <w:jc w:val="center"/>
      </w:pPr>
    </w:p>
    <w:p w14:paraId="2973A268" w14:textId="68B99F6D" w:rsidR="00B50834" w:rsidRDefault="00B50834" w:rsidP="00A33EC0">
      <w:pPr>
        <w:pStyle w:val="ListParagraph"/>
        <w:keepNext/>
        <w:ind w:left="357"/>
        <w:contextualSpacing w:val="0"/>
        <w:jc w:val="center"/>
      </w:pPr>
    </w:p>
    <w:p w14:paraId="37C8FF5B" w14:textId="77777777" w:rsidR="000E306F" w:rsidRDefault="000E306F" w:rsidP="00A33EC0">
      <w:pPr>
        <w:pStyle w:val="ListParagraph"/>
        <w:keepNext/>
        <w:ind w:left="357"/>
        <w:contextualSpacing w:val="0"/>
        <w:jc w:val="center"/>
      </w:pPr>
    </w:p>
    <w:p w14:paraId="564CD3A9" w14:textId="77777777" w:rsidR="000E306F" w:rsidRDefault="000E306F" w:rsidP="00A33EC0">
      <w:pPr>
        <w:pStyle w:val="ListParagraph"/>
        <w:keepNext/>
        <w:ind w:left="357"/>
        <w:contextualSpacing w:val="0"/>
        <w:jc w:val="center"/>
      </w:pPr>
    </w:p>
    <w:p w14:paraId="37BC4FEB" w14:textId="77777777" w:rsidR="000E306F" w:rsidRDefault="000E306F" w:rsidP="00A33EC0">
      <w:pPr>
        <w:pStyle w:val="ListParagraph"/>
        <w:keepNext/>
        <w:ind w:left="357"/>
        <w:contextualSpacing w:val="0"/>
        <w:jc w:val="center"/>
      </w:pPr>
    </w:p>
    <w:p w14:paraId="44972702" w14:textId="02408EB8" w:rsidR="00B50834" w:rsidRDefault="00B50834" w:rsidP="00A33EC0">
      <w:pPr>
        <w:pStyle w:val="ListParagraph"/>
        <w:keepNext/>
        <w:ind w:left="357"/>
        <w:contextualSpacing w:val="0"/>
        <w:jc w:val="center"/>
      </w:pPr>
    </w:p>
    <w:p w14:paraId="01AFD548" w14:textId="7FBF706E" w:rsidR="00B50834" w:rsidRDefault="00B50834" w:rsidP="00A33EC0">
      <w:pPr>
        <w:pStyle w:val="ListParagraph"/>
        <w:keepNext/>
        <w:ind w:left="357"/>
        <w:contextualSpacing w:val="0"/>
        <w:jc w:val="center"/>
      </w:pPr>
    </w:p>
    <w:p w14:paraId="6E4922DF" w14:textId="77777777" w:rsidR="00B50834" w:rsidRDefault="00B50834" w:rsidP="00A33EC0">
      <w:pPr>
        <w:pStyle w:val="ListParagraph"/>
        <w:keepNext/>
        <w:ind w:left="357"/>
        <w:contextualSpacing w:val="0"/>
        <w:jc w:val="center"/>
      </w:pPr>
    </w:p>
    <w:p w14:paraId="766CF4C8" w14:textId="2481C2B7" w:rsidR="00575E72" w:rsidRDefault="00A33EC0" w:rsidP="00B85AB1">
      <w:pPr>
        <w:pStyle w:val="Caption"/>
      </w:pPr>
      <w:bookmarkStart w:id="1" w:name="_Ref94174746"/>
      <w:r>
        <w:t xml:space="preserve">Figure </w:t>
      </w:r>
      <w:fldSimple w:instr=" SEQ Figure \* ARABIC ">
        <w:r w:rsidR="00B03CE3">
          <w:rPr>
            <w:noProof/>
          </w:rPr>
          <w:t>3</w:t>
        </w:r>
      </w:fldSimple>
      <w:bookmarkEnd w:id="1"/>
      <w:r>
        <w:t xml:space="preserve">: Average </w:t>
      </w:r>
      <w:r w:rsidR="00C101C9">
        <w:t>prescription spend</w:t>
      </w:r>
      <w:r>
        <w:t xml:space="preserve"> from </w:t>
      </w:r>
      <w:r w:rsidR="009322E5">
        <w:t>2013/14</w:t>
      </w:r>
      <w:r>
        <w:t xml:space="preserve"> to 2017/18 based on the number of dispensing days</w:t>
      </w:r>
      <w:r w:rsidR="002873D2">
        <w:t>.</w:t>
      </w:r>
    </w:p>
    <w:p w14:paraId="000BF8F4" w14:textId="387A5BDB" w:rsidR="00575E72" w:rsidRDefault="00381C9D" w:rsidP="00AA3E3E">
      <w:pPr>
        <w:pStyle w:val="ListParagraph"/>
        <w:numPr>
          <w:ilvl w:val="0"/>
          <w:numId w:val="1"/>
        </w:numPr>
        <w:ind w:left="357" w:hanging="357"/>
        <w:contextualSpacing w:val="0"/>
      </w:pPr>
      <w:r>
        <w:lastRenderedPageBreak/>
        <w:t xml:space="preserve">We have considered 4 different </w:t>
      </w:r>
      <w:r w:rsidR="005E7BBA">
        <w:t xml:space="preserve">simple </w:t>
      </w:r>
      <w:r>
        <w:t>ways to forecast the spend in 2018/19</w:t>
      </w:r>
      <w:r w:rsidR="005E7BBA">
        <w:t xml:space="preserve"> using data from </w:t>
      </w:r>
      <w:r w:rsidR="009209FF">
        <w:t>2013/14</w:t>
      </w:r>
      <w:r w:rsidR="005E7BBA">
        <w:t xml:space="preserve"> to 2017/18</w:t>
      </w:r>
      <w:r>
        <w:t>:</w:t>
      </w:r>
    </w:p>
    <w:p w14:paraId="553A71BF" w14:textId="14CDF86B" w:rsidR="00381C9D" w:rsidRDefault="00BC7661" w:rsidP="00381C9D">
      <w:pPr>
        <w:pStyle w:val="ListParagraph"/>
        <w:numPr>
          <w:ilvl w:val="1"/>
          <w:numId w:val="1"/>
        </w:numPr>
        <w:contextualSpacing w:val="0"/>
      </w:pPr>
      <w:r>
        <w:t xml:space="preserve">Month – </w:t>
      </w:r>
      <w:r w:rsidR="009C76F2">
        <w:t>p</w:t>
      </w:r>
      <w:r>
        <w:t xml:space="preserve">redict the </w:t>
      </w:r>
      <w:r w:rsidR="006A52F4">
        <w:t>prescription spend</w:t>
      </w:r>
      <w:r>
        <w:t xml:space="preserve"> each month based on the average </w:t>
      </w:r>
      <w:r w:rsidR="006A52F4">
        <w:t>spend</w:t>
      </w:r>
      <w:r>
        <w:t xml:space="preserve"> of that month </w:t>
      </w:r>
    </w:p>
    <w:p w14:paraId="6F124022" w14:textId="6465E88B" w:rsidR="00D11F67" w:rsidRDefault="00D11F67" w:rsidP="00381C9D">
      <w:pPr>
        <w:pStyle w:val="ListParagraph"/>
        <w:numPr>
          <w:ilvl w:val="1"/>
          <w:numId w:val="1"/>
        </w:numPr>
        <w:contextualSpacing w:val="0"/>
      </w:pPr>
      <w:r>
        <w:t xml:space="preserve">Dispensing Days – </w:t>
      </w:r>
      <w:r w:rsidR="009C76F2">
        <w:t>p</w:t>
      </w:r>
      <w:r>
        <w:t xml:space="preserve">redict the </w:t>
      </w:r>
      <w:r w:rsidR="006A52F4">
        <w:t>prescription spend</w:t>
      </w:r>
      <w:r>
        <w:t xml:space="preserve"> for each month based on the average </w:t>
      </w:r>
      <w:r w:rsidR="00965262">
        <w:t>from all months with the same number of dispensing days</w:t>
      </w:r>
    </w:p>
    <w:p w14:paraId="075C59CC" w14:textId="2330CFF0" w:rsidR="0097114A" w:rsidRDefault="009C76F2" w:rsidP="00381C9D">
      <w:pPr>
        <w:pStyle w:val="ListParagraph"/>
        <w:numPr>
          <w:ilvl w:val="1"/>
          <w:numId w:val="1"/>
        </w:numPr>
        <w:contextualSpacing w:val="0"/>
      </w:pPr>
      <w:r>
        <w:t xml:space="preserve">Average month and dispensing days – predict the </w:t>
      </w:r>
      <w:r w:rsidR="007A1CC0">
        <w:t>prescription spend</w:t>
      </w:r>
      <w:r>
        <w:t xml:space="preserve"> by averaging the previous 2 values</w:t>
      </w:r>
    </w:p>
    <w:p w14:paraId="76C97026" w14:textId="2E542B23" w:rsidR="007D396C" w:rsidRDefault="008076C2" w:rsidP="00381C9D">
      <w:pPr>
        <w:pStyle w:val="ListParagraph"/>
        <w:numPr>
          <w:ilvl w:val="1"/>
          <w:numId w:val="1"/>
        </w:numPr>
        <w:contextualSpacing w:val="0"/>
      </w:pPr>
      <w:r>
        <w:t xml:space="preserve">Average per dispensing day – predict the </w:t>
      </w:r>
      <w:r w:rsidR="007A1CC0">
        <w:t>prescription spend</w:t>
      </w:r>
      <w:r w:rsidR="004F508D">
        <w:t xml:space="preserve"> each month</w:t>
      </w:r>
      <w:r>
        <w:t xml:space="preserve"> by multiplying the </w:t>
      </w:r>
      <w:r w:rsidR="001031E5">
        <w:t xml:space="preserve">average </w:t>
      </w:r>
      <w:r w:rsidR="007A1CC0">
        <w:t>prescription spend</w:t>
      </w:r>
      <w:r w:rsidR="001031E5">
        <w:t xml:space="preserve"> </w:t>
      </w:r>
      <w:r w:rsidR="004F508D">
        <w:t>per</w:t>
      </w:r>
      <w:r w:rsidR="001031E5">
        <w:t xml:space="preserve"> dispensing day of the specified month by the </w:t>
      </w:r>
      <w:r w:rsidR="005E7BBA">
        <w:t>number of dispensing days</w:t>
      </w:r>
    </w:p>
    <w:p w14:paraId="341C2945" w14:textId="432845F1" w:rsidR="00A3353D" w:rsidRDefault="00695D4A" w:rsidP="004B6547">
      <w:pPr>
        <w:pStyle w:val="ListParagraph"/>
        <w:numPr>
          <w:ilvl w:val="0"/>
          <w:numId w:val="1"/>
        </w:numPr>
        <w:contextualSpacing w:val="0"/>
      </w:pPr>
      <w:r>
        <w:t xml:space="preserve">For each model we have also found the </w:t>
      </w:r>
      <w:r w:rsidR="00380486">
        <w:t xml:space="preserve">sum of the squared difference between the true value and the predicted value </w:t>
      </w:r>
      <w:r w:rsidR="0042394F">
        <w:t xml:space="preserve">each month </w:t>
      </w:r>
      <w:r w:rsidR="00380486">
        <w:t xml:space="preserve">and taken the square root </w:t>
      </w:r>
      <w:r w:rsidR="0042394F">
        <w:t xml:space="preserve">of the sum </w:t>
      </w:r>
      <w:r w:rsidR="00380486">
        <w:t>as proxy for estimating the total difference between the true values and the predicted values</w:t>
      </w:r>
      <w:r w:rsidR="00A6281E">
        <w:t xml:space="preserve">. </w:t>
      </w:r>
      <w:r w:rsidR="00250987">
        <w:t xml:space="preserve">A comparison between the </w:t>
      </w:r>
      <w:r w:rsidR="006E36B1">
        <w:t xml:space="preserve">different methods of forecasting is seen in </w:t>
      </w:r>
      <w:r w:rsidR="00810F9B">
        <w:fldChar w:fldCharType="begin"/>
      </w:r>
      <w:r w:rsidR="00810F9B">
        <w:instrText xml:space="preserve"> REF _Ref96587723 \h </w:instrText>
      </w:r>
      <w:r w:rsidR="00810F9B">
        <w:fldChar w:fldCharType="separate"/>
      </w:r>
      <w:r w:rsidR="00810F9B">
        <w:t xml:space="preserve">Table </w:t>
      </w:r>
      <w:r w:rsidR="00810F9B">
        <w:rPr>
          <w:noProof/>
        </w:rPr>
        <w:t>1</w:t>
      </w:r>
      <w:r w:rsidR="00810F9B">
        <w:fldChar w:fldCharType="end"/>
      </w:r>
      <w:r w:rsidR="00810F9B">
        <w:t xml:space="preserve"> </w:t>
      </w:r>
      <w:r w:rsidR="006E36B1">
        <w:t xml:space="preserve">and </w:t>
      </w:r>
      <w:r w:rsidR="00810F9B">
        <w:fldChar w:fldCharType="begin"/>
      </w:r>
      <w:r w:rsidR="00810F9B">
        <w:instrText xml:space="preserve"> REF _Ref96587733 \h </w:instrText>
      </w:r>
      <w:r w:rsidR="00810F9B">
        <w:fldChar w:fldCharType="separate"/>
      </w:r>
      <w:r w:rsidR="00810F9B">
        <w:t xml:space="preserve">Figure </w:t>
      </w:r>
      <w:r w:rsidR="00810F9B">
        <w:rPr>
          <w:noProof/>
        </w:rPr>
        <w:t>4</w:t>
      </w:r>
      <w:r w:rsidR="00810F9B">
        <w:fldChar w:fldCharType="end"/>
      </w:r>
      <w:r w:rsidR="006E36B1">
        <w:t xml:space="preserve">. </w:t>
      </w:r>
    </w:p>
    <w:p w14:paraId="7B0FF98D" w14:textId="0161F573" w:rsidR="00E87B70" w:rsidRDefault="00B14FDC" w:rsidP="004B6547">
      <w:pPr>
        <w:pStyle w:val="ListParagraph"/>
        <w:numPr>
          <w:ilvl w:val="0"/>
          <w:numId w:val="1"/>
        </w:numPr>
        <w:contextualSpacing w:val="0"/>
      </w:pPr>
      <w:r>
        <w:t>Relying only on dispensing day</w:t>
      </w:r>
      <w:r w:rsidR="00013DC5">
        <w:t>s</w:t>
      </w:r>
      <w:r w:rsidR="00A26A8E">
        <w:t xml:space="preserve"> alone</w:t>
      </w:r>
      <w:r>
        <w:t xml:space="preserve"> (shown in yellow)</w:t>
      </w:r>
      <w:r w:rsidR="004B1768">
        <w:t xml:space="preserve"> does not account for any </w:t>
      </w:r>
      <w:r w:rsidR="00B4696F">
        <w:t>seasonality</w:t>
      </w:r>
      <w:r w:rsidR="004B1768">
        <w:t xml:space="preserve"> changes (for example, the </w:t>
      </w:r>
      <w:r w:rsidR="003E09EB">
        <w:t>forecast</w:t>
      </w:r>
      <w:r w:rsidR="004B1768">
        <w:t xml:space="preserve"> for December </w:t>
      </w:r>
      <w:r w:rsidR="003E09EB">
        <w:t xml:space="preserve">is much too low as it does not consider the </w:t>
      </w:r>
      <w:r w:rsidR="00B4696F">
        <w:t>large</w:t>
      </w:r>
      <w:r w:rsidR="003E09EB">
        <w:t xml:space="preserve"> peak observed as patients collect extra prescriptions ahead of the Christmas </w:t>
      </w:r>
      <w:r w:rsidR="00FD21A8">
        <w:t xml:space="preserve">public holidays which results in a large spend despite the reduced number of dispensing days). </w:t>
      </w:r>
      <w:r w:rsidR="004B1768">
        <w:t xml:space="preserve"> </w:t>
      </w:r>
    </w:p>
    <w:p w14:paraId="0F43166C" w14:textId="38146EF0" w:rsidR="00D97DC3" w:rsidRDefault="00D97DC3" w:rsidP="004B6547">
      <w:pPr>
        <w:pStyle w:val="ListParagraph"/>
        <w:numPr>
          <w:ilvl w:val="0"/>
          <w:numId w:val="1"/>
        </w:numPr>
        <w:contextualSpacing w:val="0"/>
      </w:pPr>
      <w:r>
        <w:t xml:space="preserve">It is important to capture both the </w:t>
      </w:r>
      <w:r w:rsidR="00DE390F">
        <w:t>supply aspect (</w:t>
      </w:r>
      <w:r w:rsidR="00F962E1">
        <w:t>dispensing</w:t>
      </w:r>
      <w:r w:rsidR="00DE390F">
        <w:t xml:space="preserve"> days) and the demand aspect (</w:t>
      </w:r>
      <w:r w:rsidR="00F962E1">
        <w:t xml:space="preserve">calendar days) </w:t>
      </w:r>
      <w:proofErr w:type="gramStart"/>
      <w:r w:rsidR="00F962E1">
        <w:t>in order to</w:t>
      </w:r>
      <w:proofErr w:type="gramEnd"/>
      <w:r w:rsidR="00F962E1">
        <w:t xml:space="preserve"> best forecast the overall spend on prescriptions. </w:t>
      </w:r>
    </w:p>
    <w:p w14:paraId="32C94A36" w14:textId="4276FB51" w:rsidR="00250987" w:rsidRDefault="00A3353D" w:rsidP="0032640C">
      <w:r>
        <w:br w:type="page"/>
      </w:r>
    </w:p>
    <w:p w14:paraId="4AA8A11E" w14:textId="5E95479B" w:rsidR="00A3353D" w:rsidRDefault="00A3353D" w:rsidP="00A3353D">
      <w:pPr>
        <w:pStyle w:val="Caption"/>
        <w:keepNext/>
      </w:pPr>
      <w:bookmarkStart w:id="2" w:name="_Ref96587723"/>
      <w:r>
        <w:lastRenderedPageBreak/>
        <w:t xml:space="preserve">Table </w:t>
      </w:r>
      <w:fldSimple w:instr=" SEQ Table \* ARABIC ">
        <w:r w:rsidR="00CE5DB1">
          <w:rPr>
            <w:noProof/>
          </w:rPr>
          <w:t>1</w:t>
        </w:r>
      </w:fldSimple>
      <w:bookmarkEnd w:id="2"/>
      <w:r>
        <w:t xml:space="preserve">: Different methods of </w:t>
      </w:r>
      <w:r w:rsidR="000E4640">
        <w:t>forecasting the monthly spend in</w:t>
      </w:r>
      <w:r>
        <w:t xml:space="preserve"> 2018/19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87"/>
        <w:gridCol w:w="1628"/>
        <w:gridCol w:w="1629"/>
        <w:gridCol w:w="1630"/>
        <w:gridCol w:w="1630"/>
        <w:gridCol w:w="1630"/>
      </w:tblGrid>
      <w:tr w:rsidR="00284B20" w14:paraId="0BB113C8" w14:textId="77777777" w:rsidTr="00CE29C4">
        <w:trPr>
          <w:trHeight w:val="265"/>
        </w:trPr>
        <w:tc>
          <w:tcPr>
            <w:tcW w:w="1487" w:type="dxa"/>
            <w:vMerge w:val="restart"/>
          </w:tcPr>
          <w:p w14:paraId="36B5FE63" w14:textId="69FCEBE3" w:rsidR="00284B20" w:rsidRDefault="00284B20" w:rsidP="00284B20">
            <w:pPr>
              <w:jc w:val="center"/>
            </w:pPr>
          </w:p>
        </w:tc>
        <w:tc>
          <w:tcPr>
            <w:tcW w:w="8147" w:type="dxa"/>
            <w:gridSpan w:val="5"/>
          </w:tcPr>
          <w:p w14:paraId="19D70E71" w14:textId="68E26BCC" w:rsidR="00284B20" w:rsidRDefault="000E4640" w:rsidP="00284B20">
            <w:pPr>
              <w:jc w:val="center"/>
            </w:pPr>
            <w:r>
              <w:t>Forecast of Monthly Spend (£)</w:t>
            </w:r>
          </w:p>
        </w:tc>
      </w:tr>
      <w:tr w:rsidR="00CE29C4" w14:paraId="40E7499B" w14:textId="77777777" w:rsidTr="00CE29C4">
        <w:trPr>
          <w:trHeight w:val="1559"/>
        </w:trPr>
        <w:tc>
          <w:tcPr>
            <w:tcW w:w="1487" w:type="dxa"/>
            <w:vMerge/>
          </w:tcPr>
          <w:p w14:paraId="51B4F184" w14:textId="370910E7" w:rsidR="00284B20" w:rsidRDefault="00284B20" w:rsidP="00284B20">
            <w:pPr>
              <w:jc w:val="center"/>
            </w:pPr>
          </w:p>
        </w:tc>
        <w:tc>
          <w:tcPr>
            <w:tcW w:w="1628" w:type="dxa"/>
          </w:tcPr>
          <w:p w14:paraId="25A22E92" w14:textId="574BD971" w:rsidR="00284B20" w:rsidRDefault="00284B20" w:rsidP="00284B20">
            <w:pPr>
              <w:jc w:val="center"/>
            </w:pPr>
            <w:r>
              <w:t>Actual Data</w:t>
            </w:r>
          </w:p>
        </w:tc>
        <w:tc>
          <w:tcPr>
            <w:tcW w:w="1629" w:type="dxa"/>
          </w:tcPr>
          <w:p w14:paraId="59E153CE" w14:textId="4F0FA5C2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Forecast (Month)</w:t>
            </w:r>
          </w:p>
        </w:tc>
        <w:tc>
          <w:tcPr>
            <w:tcW w:w="1630" w:type="dxa"/>
          </w:tcPr>
          <w:p w14:paraId="3458EB97" w14:textId="2656F153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Forecast (Dispensing Days)</w:t>
            </w:r>
          </w:p>
        </w:tc>
        <w:tc>
          <w:tcPr>
            <w:tcW w:w="1630" w:type="dxa"/>
          </w:tcPr>
          <w:p w14:paraId="5252CCF5" w14:textId="10348A4B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Forecast (average of month and dispensing day)</w:t>
            </w:r>
          </w:p>
        </w:tc>
        <w:tc>
          <w:tcPr>
            <w:tcW w:w="1630" w:type="dxa"/>
          </w:tcPr>
          <w:p w14:paraId="4D8DA952" w14:textId="246206F1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Forecast (Multiply average per dispensing day by number of dispensing days)</w:t>
            </w:r>
          </w:p>
        </w:tc>
      </w:tr>
      <w:tr w:rsidR="00CE29C4" w14:paraId="753ECF29" w14:textId="77777777" w:rsidTr="00CE29C4">
        <w:trPr>
          <w:trHeight w:val="251"/>
        </w:trPr>
        <w:tc>
          <w:tcPr>
            <w:tcW w:w="1487" w:type="dxa"/>
          </w:tcPr>
          <w:p w14:paraId="03FFA24B" w14:textId="64862D5B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April</w:t>
            </w:r>
          </w:p>
        </w:tc>
        <w:tc>
          <w:tcPr>
            <w:tcW w:w="1628" w:type="dxa"/>
          </w:tcPr>
          <w:p w14:paraId="0101C8B4" w14:textId="5A75821C" w:rsidR="00284B20" w:rsidRDefault="00284B20" w:rsidP="00284B20">
            <w:pPr>
              <w:jc w:val="center"/>
            </w:pPr>
            <w:r w:rsidRPr="00796E6E">
              <w:t>643,729,503</w:t>
            </w:r>
          </w:p>
        </w:tc>
        <w:tc>
          <w:tcPr>
            <w:tcW w:w="1629" w:type="dxa"/>
          </w:tcPr>
          <w:p w14:paraId="3C7D505F" w14:textId="3EBC41D2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A5A5A5"/>
              </w:rPr>
              <w:t>629,291,786</w:t>
            </w:r>
          </w:p>
        </w:tc>
        <w:tc>
          <w:tcPr>
            <w:tcW w:w="1630" w:type="dxa"/>
          </w:tcPr>
          <w:p w14:paraId="2E812215" w14:textId="4AA7FC39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FFC000"/>
              </w:rPr>
              <w:t>632,149,869</w:t>
            </w:r>
          </w:p>
        </w:tc>
        <w:tc>
          <w:tcPr>
            <w:tcW w:w="1630" w:type="dxa"/>
          </w:tcPr>
          <w:p w14:paraId="2B054F34" w14:textId="436E3687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ED7D31"/>
              </w:rPr>
              <w:t>630,720,828</w:t>
            </w:r>
          </w:p>
        </w:tc>
        <w:tc>
          <w:tcPr>
            <w:tcW w:w="1630" w:type="dxa"/>
          </w:tcPr>
          <w:p w14:paraId="05BC53FD" w14:textId="76275593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70AD47"/>
              </w:rPr>
              <w:t>618,699,298</w:t>
            </w:r>
          </w:p>
        </w:tc>
      </w:tr>
      <w:tr w:rsidR="00CE29C4" w14:paraId="13A035BE" w14:textId="77777777" w:rsidTr="00CE29C4">
        <w:trPr>
          <w:trHeight w:val="265"/>
        </w:trPr>
        <w:tc>
          <w:tcPr>
            <w:tcW w:w="1487" w:type="dxa"/>
          </w:tcPr>
          <w:p w14:paraId="059E601E" w14:textId="77408B3E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May</w:t>
            </w:r>
          </w:p>
        </w:tc>
        <w:tc>
          <w:tcPr>
            <w:tcW w:w="1628" w:type="dxa"/>
          </w:tcPr>
          <w:p w14:paraId="27DA1B11" w14:textId="6408CE5D" w:rsidR="00284B20" w:rsidRDefault="00284B20" w:rsidP="00284B20">
            <w:pPr>
              <w:jc w:val="center"/>
            </w:pPr>
            <w:r w:rsidRPr="00796E6E">
              <w:t>676,106,275</w:t>
            </w:r>
          </w:p>
        </w:tc>
        <w:tc>
          <w:tcPr>
            <w:tcW w:w="1629" w:type="dxa"/>
          </w:tcPr>
          <w:p w14:paraId="754D2F8B" w14:textId="2D421171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A5A5A5"/>
              </w:rPr>
              <w:t>644,114,291</w:t>
            </w:r>
          </w:p>
        </w:tc>
        <w:tc>
          <w:tcPr>
            <w:tcW w:w="1630" w:type="dxa"/>
          </w:tcPr>
          <w:p w14:paraId="2D25D591" w14:textId="5CD577C0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FFC000"/>
              </w:rPr>
              <w:t>636,885,057</w:t>
            </w:r>
          </w:p>
        </w:tc>
        <w:tc>
          <w:tcPr>
            <w:tcW w:w="1630" w:type="dxa"/>
          </w:tcPr>
          <w:p w14:paraId="1F7EEF13" w14:textId="70E38FE4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ED7D31"/>
              </w:rPr>
              <w:t>640,499,674</w:t>
            </w:r>
          </w:p>
        </w:tc>
        <w:tc>
          <w:tcPr>
            <w:tcW w:w="1630" w:type="dxa"/>
          </w:tcPr>
          <w:p w14:paraId="63A665BF" w14:textId="4B9AFB13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70AD47"/>
              </w:rPr>
              <w:t>655,480,406</w:t>
            </w:r>
          </w:p>
        </w:tc>
      </w:tr>
      <w:tr w:rsidR="00CE29C4" w14:paraId="6396176D" w14:textId="77777777" w:rsidTr="00CE29C4">
        <w:trPr>
          <w:trHeight w:val="265"/>
        </w:trPr>
        <w:tc>
          <w:tcPr>
            <w:tcW w:w="1487" w:type="dxa"/>
          </w:tcPr>
          <w:p w14:paraId="043A81BC" w14:textId="3CA9ABD7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June</w:t>
            </w:r>
          </w:p>
        </w:tc>
        <w:tc>
          <w:tcPr>
            <w:tcW w:w="1628" w:type="dxa"/>
          </w:tcPr>
          <w:p w14:paraId="538FC1C1" w14:textId="52D695B8" w:rsidR="00284B20" w:rsidRDefault="00284B20" w:rsidP="00284B20">
            <w:pPr>
              <w:jc w:val="center"/>
            </w:pPr>
            <w:r w:rsidRPr="00796E6E">
              <w:t>667,185,784</w:t>
            </w:r>
          </w:p>
        </w:tc>
        <w:tc>
          <w:tcPr>
            <w:tcW w:w="1629" w:type="dxa"/>
          </w:tcPr>
          <w:p w14:paraId="4D08F100" w14:textId="1AADA080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A5A5A5"/>
              </w:rPr>
              <w:t>650,808,141</w:t>
            </w:r>
          </w:p>
        </w:tc>
        <w:tc>
          <w:tcPr>
            <w:tcW w:w="1630" w:type="dxa"/>
          </w:tcPr>
          <w:p w14:paraId="6B127419" w14:textId="31E4CDE6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FFC000"/>
              </w:rPr>
              <w:t>672,856,378</w:t>
            </w:r>
          </w:p>
        </w:tc>
        <w:tc>
          <w:tcPr>
            <w:tcW w:w="1630" w:type="dxa"/>
          </w:tcPr>
          <w:p w14:paraId="3DFCE0E3" w14:textId="0C25384E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ED7D31"/>
              </w:rPr>
              <w:t>661,832,259</w:t>
            </w:r>
          </w:p>
        </w:tc>
        <w:tc>
          <w:tcPr>
            <w:tcW w:w="1630" w:type="dxa"/>
          </w:tcPr>
          <w:p w14:paraId="294C3D68" w14:textId="60BD6488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70AD47"/>
              </w:rPr>
              <w:t>661,009,916</w:t>
            </w:r>
          </w:p>
        </w:tc>
      </w:tr>
      <w:tr w:rsidR="00CE29C4" w14:paraId="4434EEB3" w14:textId="77777777" w:rsidTr="00CE29C4">
        <w:trPr>
          <w:trHeight w:val="251"/>
        </w:trPr>
        <w:tc>
          <w:tcPr>
            <w:tcW w:w="1487" w:type="dxa"/>
          </w:tcPr>
          <w:p w14:paraId="100DA0C5" w14:textId="24224160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July</w:t>
            </w:r>
          </w:p>
        </w:tc>
        <w:tc>
          <w:tcPr>
            <w:tcW w:w="1628" w:type="dxa"/>
          </w:tcPr>
          <w:p w14:paraId="75DD55D1" w14:textId="488094E9" w:rsidR="00284B20" w:rsidRDefault="00284B20" w:rsidP="00284B20">
            <w:pPr>
              <w:jc w:val="center"/>
            </w:pPr>
            <w:r w:rsidRPr="00796E6E">
              <w:t>660,278,394</w:t>
            </w:r>
          </w:p>
        </w:tc>
        <w:tc>
          <w:tcPr>
            <w:tcW w:w="1629" w:type="dxa"/>
          </w:tcPr>
          <w:p w14:paraId="4732323B" w14:textId="5B61D0D8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A5A5A5"/>
              </w:rPr>
              <w:t>670,239,566</w:t>
            </w:r>
          </w:p>
        </w:tc>
        <w:tc>
          <w:tcPr>
            <w:tcW w:w="1630" w:type="dxa"/>
          </w:tcPr>
          <w:p w14:paraId="6BBDCC49" w14:textId="583224DC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FFC000"/>
              </w:rPr>
              <w:t>672,856,378</w:t>
            </w:r>
          </w:p>
        </w:tc>
        <w:tc>
          <w:tcPr>
            <w:tcW w:w="1630" w:type="dxa"/>
          </w:tcPr>
          <w:p w14:paraId="6B52F7F7" w14:textId="6A3CBF30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ED7D31"/>
              </w:rPr>
              <w:t>671,547,972</w:t>
            </w:r>
          </w:p>
        </w:tc>
        <w:tc>
          <w:tcPr>
            <w:tcW w:w="1630" w:type="dxa"/>
          </w:tcPr>
          <w:p w14:paraId="68FFAADA" w14:textId="315FACD1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70AD47"/>
              </w:rPr>
              <w:t>654,584,857</w:t>
            </w:r>
          </w:p>
        </w:tc>
      </w:tr>
      <w:tr w:rsidR="00CE29C4" w14:paraId="00C816B3" w14:textId="77777777" w:rsidTr="00CE29C4">
        <w:trPr>
          <w:trHeight w:val="265"/>
        </w:trPr>
        <w:tc>
          <w:tcPr>
            <w:tcW w:w="1487" w:type="dxa"/>
          </w:tcPr>
          <w:p w14:paraId="3DB621D1" w14:textId="2544A543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August</w:t>
            </w:r>
          </w:p>
        </w:tc>
        <w:tc>
          <w:tcPr>
            <w:tcW w:w="1628" w:type="dxa"/>
          </w:tcPr>
          <w:p w14:paraId="0F3C3222" w14:textId="3FFD1B0B" w:rsidR="00284B20" w:rsidRDefault="00284B20" w:rsidP="00284B20">
            <w:pPr>
              <w:jc w:val="center"/>
            </w:pPr>
            <w:r w:rsidRPr="00796E6E">
              <w:t>680,588,999</w:t>
            </w:r>
          </w:p>
        </w:tc>
        <w:tc>
          <w:tcPr>
            <w:tcW w:w="1629" w:type="dxa"/>
          </w:tcPr>
          <w:p w14:paraId="135C08B6" w14:textId="553F2190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A5A5A5"/>
              </w:rPr>
              <w:t>650,853,386</w:t>
            </w:r>
          </w:p>
        </w:tc>
        <w:tc>
          <w:tcPr>
            <w:tcW w:w="1630" w:type="dxa"/>
          </w:tcPr>
          <w:p w14:paraId="4CC6F719" w14:textId="3A7218E0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FFC000"/>
              </w:rPr>
              <w:t>687,856,378</w:t>
            </w:r>
          </w:p>
        </w:tc>
        <w:tc>
          <w:tcPr>
            <w:tcW w:w="1630" w:type="dxa"/>
          </w:tcPr>
          <w:p w14:paraId="080250C7" w14:textId="67ECB1F5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ED7D31"/>
              </w:rPr>
              <w:t>669,354,882</w:t>
            </w:r>
          </w:p>
        </w:tc>
        <w:tc>
          <w:tcPr>
            <w:tcW w:w="1630" w:type="dxa"/>
          </w:tcPr>
          <w:p w14:paraId="5BE19BD6" w14:textId="42AD041E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70AD47"/>
              </w:rPr>
              <w:t>661,250,550</w:t>
            </w:r>
          </w:p>
        </w:tc>
      </w:tr>
      <w:tr w:rsidR="00CE29C4" w14:paraId="53F9E955" w14:textId="77777777" w:rsidTr="00CE29C4">
        <w:trPr>
          <w:trHeight w:val="251"/>
        </w:trPr>
        <w:tc>
          <w:tcPr>
            <w:tcW w:w="1487" w:type="dxa"/>
          </w:tcPr>
          <w:p w14:paraId="171B7106" w14:textId="5E5B97C9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September</w:t>
            </w:r>
          </w:p>
        </w:tc>
        <w:tc>
          <w:tcPr>
            <w:tcW w:w="1628" w:type="dxa"/>
          </w:tcPr>
          <w:p w14:paraId="12CBBC2A" w14:textId="1501C3F5" w:rsidR="00284B20" w:rsidRDefault="00284B20" w:rsidP="00284B20">
            <w:pPr>
              <w:jc w:val="center"/>
            </w:pPr>
            <w:r w:rsidRPr="00796E6E">
              <w:t>655,658,645</w:t>
            </w:r>
          </w:p>
        </w:tc>
        <w:tc>
          <w:tcPr>
            <w:tcW w:w="1629" w:type="dxa"/>
          </w:tcPr>
          <w:p w14:paraId="2CFE5317" w14:textId="1A22349F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A5A5A5"/>
              </w:rPr>
              <w:t>677,532,417</w:t>
            </w:r>
          </w:p>
        </w:tc>
        <w:tc>
          <w:tcPr>
            <w:tcW w:w="1630" w:type="dxa"/>
          </w:tcPr>
          <w:p w14:paraId="33C6618D" w14:textId="7475D6E6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FFC000"/>
              </w:rPr>
              <w:t>651,885,057</w:t>
            </w:r>
          </w:p>
        </w:tc>
        <w:tc>
          <w:tcPr>
            <w:tcW w:w="1630" w:type="dxa"/>
          </w:tcPr>
          <w:p w14:paraId="5C99254A" w14:textId="1EE5F8A0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ED7D31"/>
              </w:rPr>
              <w:t>664,708,737</w:t>
            </w:r>
          </w:p>
        </w:tc>
        <w:tc>
          <w:tcPr>
            <w:tcW w:w="1630" w:type="dxa"/>
          </w:tcPr>
          <w:p w14:paraId="7A387FE1" w14:textId="7D6D43DD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70AD47"/>
              </w:rPr>
              <w:t>655,336,939</w:t>
            </w:r>
          </w:p>
        </w:tc>
      </w:tr>
      <w:tr w:rsidR="00CE29C4" w14:paraId="4865510C" w14:textId="77777777" w:rsidTr="00CE29C4">
        <w:trPr>
          <w:trHeight w:val="265"/>
        </w:trPr>
        <w:tc>
          <w:tcPr>
            <w:tcW w:w="1487" w:type="dxa"/>
          </w:tcPr>
          <w:p w14:paraId="357950A0" w14:textId="3AC75086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October</w:t>
            </w:r>
          </w:p>
        </w:tc>
        <w:tc>
          <w:tcPr>
            <w:tcW w:w="1628" w:type="dxa"/>
          </w:tcPr>
          <w:p w14:paraId="0A16CF70" w14:textId="7236B4F4" w:rsidR="00284B20" w:rsidRDefault="00284B20" w:rsidP="00284B20">
            <w:pPr>
              <w:jc w:val="center"/>
            </w:pPr>
            <w:r w:rsidRPr="00796E6E">
              <w:t>720,034,583</w:t>
            </w:r>
          </w:p>
        </w:tc>
        <w:tc>
          <w:tcPr>
            <w:tcW w:w="1629" w:type="dxa"/>
          </w:tcPr>
          <w:p w14:paraId="2820AFD7" w14:textId="2FED9C41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A5A5A5"/>
              </w:rPr>
              <w:t>712,028,407</w:t>
            </w:r>
          </w:p>
        </w:tc>
        <w:tc>
          <w:tcPr>
            <w:tcW w:w="1630" w:type="dxa"/>
          </w:tcPr>
          <w:p w14:paraId="09068EC5" w14:textId="3BDAC8F2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FFC000"/>
              </w:rPr>
              <w:t>695,412,426</w:t>
            </w:r>
          </w:p>
        </w:tc>
        <w:tc>
          <w:tcPr>
            <w:tcW w:w="1630" w:type="dxa"/>
          </w:tcPr>
          <w:p w14:paraId="5B9FCFDD" w14:textId="02D82DA0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ED7D31"/>
              </w:rPr>
              <w:t>703,720,416</w:t>
            </w:r>
          </w:p>
        </w:tc>
        <w:tc>
          <w:tcPr>
            <w:tcW w:w="1630" w:type="dxa"/>
          </w:tcPr>
          <w:p w14:paraId="1CF6493F" w14:textId="5138B232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70AD47"/>
              </w:rPr>
              <w:t>723,598,460</w:t>
            </w:r>
          </w:p>
        </w:tc>
      </w:tr>
      <w:tr w:rsidR="00CE29C4" w14:paraId="09A9CFB7" w14:textId="77777777" w:rsidTr="00CE29C4">
        <w:trPr>
          <w:trHeight w:val="251"/>
        </w:trPr>
        <w:tc>
          <w:tcPr>
            <w:tcW w:w="1487" w:type="dxa"/>
          </w:tcPr>
          <w:p w14:paraId="7AC865C1" w14:textId="523EB0EC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November</w:t>
            </w:r>
          </w:p>
        </w:tc>
        <w:tc>
          <w:tcPr>
            <w:tcW w:w="1628" w:type="dxa"/>
          </w:tcPr>
          <w:p w14:paraId="74F49C0A" w14:textId="67C49722" w:rsidR="00284B20" w:rsidRDefault="00284B20" w:rsidP="00284B20">
            <w:pPr>
              <w:jc w:val="center"/>
            </w:pPr>
            <w:r w:rsidRPr="00796E6E">
              <w:t>694,110,101</w:t>
            </w:r>
          </w:p>
        </w:tc>
        <w:tc>
          <w:tcPr>
            <w:tcW w:w="1629" w:type="dxa"/>
          </w:tcPr>
          <w:p w14:paraId="67132072" w14:textId="640F37CB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A5A5A5"/>
              </w:rPr>
              <w:t>664,921,408</w:t>
            </w:r>
          </w:p>
        </w:tc>
        <w:tc>
          <w:tcPr>
            <w:tcW w:w="1630" w:type="dxa"/>
          </w:tcPr>
          <w:p w14:paraId="63D09625" w14:textId="3DBFE878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FFC000"/>
              </w:rPr>
              <w:t>677,856,378</w:t>
            </w:r>
          </w:p>
        </w:tc>
        <w:tc>
          <w:tcPr>
            <w:tcW w:w="1630" w:type="dxa"/>
          </w:tcPr>
          <w:p w14:paraId="541CF663" w14:textId="4CD8267E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ED7D31"/>
              </w:rPr>
              <w:t>671,388,893</w:t>
            </w:r>
          </w:p>
        </w:tc>
        <w:tc>
          <w:tcPr>
            <w:tcW w:w="1630" w:type="dxa"/>
          </w:tcPr>
          <w:p w14:paraId="762511D9" w14:textId="70E60A0C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70AD47"/>
              </w:rPr>
              <w:t>675,760,228</w:t>
            </w:r>
          </w:p>
        </w:tc>
      </w:tr>
      <w:tr w:rsidR="00CE29C4" w14:paraId="37650B47" w14:textId="77777777" w:rsidTr="00CE29C4">
        <w:trPr>
          <w:trHeight w:val="265"/>
        </w:trPr>
        <w:tc>
          <w:tcPr>
            <w:tcW w:w="1487" w:type="dxa"/>
          </w:tcPr>
          <w:p w14:paraId="371544A9" w14:textId="52B918E1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December</w:t>
            </w:r>
          </w:p>
        </w:tc>
        <w:tc>
          <w:tcPr>
            <w:tcW w:w="1628" w:type="dxa"/>
          </w:tcPr>
          <w:p w14:paraId="45F7E342" w14:textId="0FD63291" w:rsidR="00284B20" w:rsidRDefault="00284B20" w:rsidP="00284B20">
            <w:pPr>
              <w:jc w:val="center"/>
            </w:pPr>
            <w:r w:rsidRPr="00796E6E">
              <w:t>670,658,487</w:t>
            </w:r>
          </w:p>
        </w:tc>
        <w:tc>
          <w:tcPr>
            <w:tcW w:w="1629" w:type="dxa"/>
          </w:tcPr>
          <w:p w14:paraId="51D628FA" w14:textId="7233CB05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A5A5A5"/>
              </w:rPr>
              <w:t>692,561,902</w:t>
            </w:r>
          </w:p>
        </w:tc>
        <w:tc>
          <w:tcPr>
            <w:tcW w:w="1630" w:type="dxa"/>
          </w:tcPr>
          <w:p w14:paraId="1FEEDC09" w14:textId="53DF6E1D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FFC000"/>
              </w:rPr>
              <w:t>637,149,869</w:t>
            </w:r>
          </w:p>
        </w:tc>
        <w:tc>
          <w:tcPr>
            <w:tcW w:w="1630" w:type="dxa"/>
          </w:tcPr>
          <w:p w14:paraId="297BF740" w14:textId="615DBA88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ED7D31"/>
              </w:rPr>
              <w:t>664,855,886</w:t>
            </w:r>
          </w:p>
        </w:tc>
        <w:tc>
          <w:tcPr>
            <w:tcW w:w="1630" w:type="dxa"/>
          </w:tcPr>
          <w:p w14:paraId="13C90BA6" w14:textId="540F6ACD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70AD47"/>
              </w:rPr>
              <w:t>680,749,664</w:t>
            </w:r>
          </w:p>
        </w:tc>
      </w:tr>
      <w:tr w:rsidR="00CE29C4" w14:paraId="123CD733" w14:textId="77777777" w:rsidTr="00CE29C4">
        <w:trPr>
          <w:trHeight w:val="251"/>
        </w:trPr>
        <w:tc>
          <w:tcPr>
            <w:tcW w:w="1487" w:type="dxa"/>
          </w:tcPr>
          <w:p w14:paraId="3FCEA99C" w14:textId="67407D31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January</w:t>
            </w:r>
          </w:p>
        </w:tc>
        <w:tc>
          <w:tcPr>
            <w:tcW w:w="1628" w:type="dxa"/>
          </w:tcPr>
          <w:p w14:paraId="764DAD4B" w14:textId="6BC69245" w:rsidR="00284B20" w:rsidRDefault="00284B20" w:rsidP="00284B20">
            <w:pPr>
              <w:jc w:val="center"/>
            </w:pPr>
            <w:r w:rsidRPr="00796E6E">
              <w:t>688,881,110</w:t>
            </w:r>
          </w:p>
        </w:tc>
        <w:tc>
          <w:tcPr>
            <w:tcW w:w="1629" w:type="dxa"/>
          </w:tcPr>
          <w:p w14:paraId="1CFE1E78" w14:textId="1056A401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A5A5A5"/>
              </w:rPr>
              <w:t>658,558,822</w:t>
            </w:r>
          </w:p>
        </w:tc>
        <w:tc>
          <w:tcPr>
            <w:tcW w:w="1630" w:type="dxa"/>
          </w:tcPr>
          <w:p w14:paraId="5BE39DC3" w14:textId="01FCD6AE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FFC000"/>
              </w:rPr>
              <w:t>677,856,378</w:t>
            </w:r>
          </w:p>
        </w:tc>
        <w:tc>
          <w:tcPr>
            <w:tcW w:w="1630" w:type="dxa"/>
          </w:tcPr>
          <w:p w14:paraId="46281636" w14:textId="1F312DF3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ED7D31"/>
              </w:rPr>
              <w:t>668,207,600</w:t>
            </w:r>
          </w:p>
        </w:tc>
        <w:tc>
          <w:tcPr>
            <w:tcW w:w="1630" w:type="dxa"/>
          </w:tcPr>
          <w:p w14:paraId="0AE8DD54" w14:textId="24BD2071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70AD47"/>
              </w:rPr>
              <w:t>669,654,779</w:t>
            </w:r>
          </w:p>
        </w:tc>
      </w:tr>
      <w:tr w:rsidR="00CE29C4" w14:paraId="5179F4A8" w14:textId="77777777" w:rsidTr="00CE29C4">
        <w:trPr>
          <w:trHeight w:val="265"/>
        </w:trPr>
        <w:tc>
          <w:tcPr>
            <w:tcW w:w="1487" w:type="dxa"/>
          </w:tcPr>
          <w:p w14:paraId="33676D57" w14:textId="6743D6D8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February</w:t>
            </w:r>
          </w:p>
        </w:tc>
        <w:tc>
          <w:tcPr>
            <w:tcW w:w="1628" w:type="dxa"/>
          </w:tcPr>
          <w:p w14:paraId="21DA6F7C" w14:textId="38FA0E12" w:rsidR="00284B20" w:rsidRDefault="00284B20" w:rsidP="00284B20">
            <w:pPr>
              <w:jc w:val="center"/>
            </w:pPr>
            <w:r w:rsidRPr="00796E6E">
              <w:t>616,765,638</w:t>
            </w:r>
          </w:p>
        </w:tc>
        <w:tc>
          <w:tcPr>
            <w:tcW w:w="1629" w:type="dxa"/>
          </w:tcPr>
          <w:p w14:paraId="53F3A975" w14:textId="08D8390D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A5A5A5"/>
              </w:rPr>
              <w:t>610,258,842</w:t>
            </w:r>
          </w:p>
        </w:tc>
        <w:tc>
          <w:tcPr>
            <w:tcW w:w="1630" w:type="dxa"/>
          </w:tcPr>
          <w:p w14:paraId="45B8DD4C" w14:textId="395CE8C0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FFC000"/>
              </w:rPr>
              <w:t>637,149,869</w:t>
            </w:r>
          </w:p>
        </w:tc>
        <w:tc>
          <w:tcPr>
            <w:tcW w:w="1630" w:type="dxa"/>
          </w:tcPr>
          <w:p w14:paraId="600E86BF" w14:textId="5C61C834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ED7D31"/>
              </w:rPr>
              <w:t>623,704,355</w:t>
            </w:r>
          </w:p>
        </w:tc>
        <w:tc>
          <w:tcPr>
            <w:tcW w:w="1630" w:type="dxa"/>
          </w:tcPr>
          <w:p w14:paraId="28543AEF" w14:textId="75F256A2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70AD47"/>
              </w:rPr>
              <w:t>604,807,774</w:t>
            </w:r>
          </w:p>
        </w:tc>
      </w:tr>
      <w:tr w:rsidR="00CE29C4" w14:paraId="0FE61712" w14:textId="77777777" w:rsidTr="00CE29C4">
        <w:trPr>
          <w:trHeight w:val="251"/>
        </w:trPr>
        <w:tc>
          <w:tcPr>
            <w:tcW w:w="1487" w:type="dxa"/>
          </w:tcPr>
          <w:p w14:paraId="4E93E051" w14:textId="06EB65C9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March</w:t>
            </w:r>
          </w:p>
        </w:tc>
        <w:tc>
          <w:tcPr>
            <w:tcW w:w="1628" w:type="dxa"/>
          </w:tcPr>
          <w:p w14:paraId="1A11570C" w14:textId="2E7A00C0" w:rsidR="00284B20" w:rsidRDefault="00284B20" w:rsidP="00284B20">
            <w:pPr>
              <w:jc w:val="center"/>
            </w:pPr>
            <w:r w:rsidRPr="00796E6E">
              <w:t>672,818,416</w:t>
            </w:r>
          </w:p>
        </w:tc>
        <w:tc>
          <w:tcPr>
            <w:tcW w:w="1629" w:type="dxa"/>
          </w:tcPr>
          <w:p w14:paraId="2645361C" w14:textId="325C26EE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A5A5A5"/>
              </w:rPr>
              <w:t>670,663,237</w:t>
            </w:r>
          </w:p>
        </w:tc>
        <w:tc>
          <w:tcPr>
            <w:tcW w:w="1630" w:type="dxa"/>
          </w:tcPr>
          <w:p w14:paraId="4839A657" w14:textId="1BDAA418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FFC000"/>
              </w:rPr>
              <w:t>677,856,378</w:t>
            </w:r>
          </w:p>
        </w:tc>
        <w:tc>
          <w:tcPr>
            <w:tcW w:w="1630" w:type="dxa"/>
          </w:tcPr>
          <w:p w14:paraId="66AF2D19" w14:textId="050BC18B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ED7D31"/>
              </w:rPr>
              <w:t>674,259,807</w:t>
            </w:r>
          </w:p>
        </w:tc>
        <w:tc>
          <w:tcPr>
            <w:tcW w:w="1630" w:type="dxa"/>
          </w:tcPr>
          <w:p w14:paraId="6961FB96" w14:textId="106FD52C" w:rsidR="00284B20" w:rsidRDefault="00284B20" w:rsidP="00284B20">
            <w:pPr>
              <w:jc w:val="center"/>
            </w:pPr>
            <w:r>
              <w:rPr>
                <w:rFonts w:ascii="Calibri" w:hAnsi="Calibri" w:cs="Calibri"/>
                <w:color w:val="70AD47"/>
              </w:rPr>
              <w:t>670,807,936</w:t>
            </w:r>
          </w:p>
        </w:tc>
      </w:tr>
      <w:tr w:rsidR="00284B20" w14:paraId="7F5784BE" w14:textId="77777777" w:rsidTr="00CE29C4">
        <w:trPr>
          <w:trHeight w:val="265"/>
        </w:trPr>
        <w:tc>
          <w:tcPr>
            <w:tcW w:w="1487" w:type="dxa"/>
          </w:tcPr>
          <w:p w14:paraId="4FA5CAF5" w14:textId="77777777" w:rsidR="00284B20" w:rsidRPr="00250987" w:rsidRDefault="00284B20" w:rsidP="002509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28" w:type="dxa"/>
          </w:tcPr>
          <w:p w14:paraId="2667F578" w14:textId="77777777" w:rsidR="00284B20" w:rsidRDefault="00284B20" w:rsidP="002509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</w:tcPr>
          <w:p w14:paraId="7D40B59C" w14:textId="77777777" w:rsidR="00284B20" w:rsidRDefault="00284B20" w:rsidP="00250987">
            <w:pPr>
              <w:jc w:val="center"/>
              <w:rPr>
                <w:rFonts w:ascii="Calibri" w:hAnsi="Calibri" w:cs="Calibri"/>
                <w:b/>
                <w:bCs/>
                <w:color w:val="A5A5A5"/>
              </w:rPr>
            </w:pPr>
          </w:p>
        </w:tc>
        <w:tc>
          <w:tcPr>
            <w:tcW w:w="1630" w:type="dxa"/>
          </w:tcPr>
          <w:p w14:paraId="36842AA4" w14:textId="77777777" w:rsidR="00284B20" w:rsidRDefault="00284B20" w:rsidP="00250987">
            <w:pPr>
              <w:jc w:val="center"/>
              <w:rPr>
                <w:rFonts w:ascii="Calibri" w:hAnsi="Calibri" w:cs="Calibri"/>
                <w:b/>
                <w:bCs/>
                <w:color w:val="FFC000"/>
              </w:rPr>
            </w:pPr>
          </w:p>
        </w:tc>
        <w:tc>
          <w:tcPr>
            <w:tcW w:w="1630" w:type="dxa"/>
          </w:tcPr>
          <w:p w14:paraId="0764B0EB" w14:textId="77777777" w:rsidR="00284B20" w:rsidRDefault="00284B20" w:rsidP="00250987">
            <w:pPr>
              <w:jc w:val="center"/>
              <w:rPr>
                <w:rFonts w:ascii="Calibri" w:hAnsi="Calibri" w:cs="Calibri"/>
                <w:b/>
                <w:bCs/>
                <w:color w:val="ED7D31"/>
              </w:rPr>
            </w:pPr>
          </w:p>
        </w:tc>
        <w:tc>
          <w:tcPr>
            <w:tcW w:w="1630" w:type="dxa"/>
          </w:tcPr>
          <w:p w14:paraId="3CE3EAF5" w14:textId="77777777" w:rsidR="00284B20" w:rsidRDefault="00284B20" w:rsidP="00250987">
            <w:pPr>
              <w:jc w:val="center"/>
              <w:rPr>
                <w:rFonts w:ascii="Calibri" w:hAnsi="Calibri" w:cs="Calibri"/>
                <w:b/>
                <w:bCs/>
                <w:color w:val="70AD47"/>
              </w:rPr>
            </w:pPr>
          </w:p>
        </w:tc>
      </w:tr>
      <w:tr w:rsidR="00815E75" w14:paraId="0C9FB980" w14:textId="77777777" w:rsidTr="00815E75">
        <w:trPr>
          <w:trHeight w:val="251"/>
        </w:trPr>
        <w:tc>
          <w:tcPr>
            <w:tcW w:w="1487" w:type="dxa"/>
          </w:tcPr>
          <w:p w14:paraId="5F8A3CA3" w14:textId="77777777" w:rsidR="00815E75" w:rsidRDefault="00D2351B" w:rsidP="00815E75">
            <w:pPr>
              <w:jc w:val="center"/>
              <w:rPr>
                <w:rFonts w:ascii="Calibri" w:eastAsiaTheme="minorEastAsia" w:hAnsi="Calibri" w:cs="Calibri"/>
                <w:b/>
                <w:bCs/>
                <w:color w:val="00000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Calibri"/>
                      <w:b/>
                      <w:bCs/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Calibri"/>
                          <w:b/>
                          <w:bCs/>
                          <w:i/>
                          <w:color w:val="000000"/>
                        </w:rPr>
                      </m:ctrlPr>
                    </m:sSup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Calibri"/>
                              <w:b/>
                              <w:bCs/>
                              <w:i/>
                              <w:color w:val="000000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color w:val="000000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b/>
                                  <w:bCs/>
                                  <w:i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color w:val="000000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color w:val="000000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color w:val="00000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b/>
                                  <w:bCs/>
                                  <w:i/>
                                  <w:color w:val="00000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Calibri"/>
                                      <w:b/>
                                      <w:bCs/>
                                      <w:i/>
                                      <w:color w:val="00000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Calibri"/>
                                      <w:color w:val="000000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color w:val="000000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color w:val="000000"/>
                            </w:rPr>
                            <m:t>)</m:t>
                          </m:r>
                        </m:e>
                      </m:nary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2</m:t>
                      </m:r>
                    </m:sup>
                  </m:sSup>
                </m:e>
              </m:rad>
            </m:oMath>
            <w:r w:rsidR="00815E75">
              <w:rPr>
                <w:rFonts w:ascii="Calibri" w:eastAsiaTheme="minorEastAsia" w:hAnsi="Calibri" w:cs="Calibri"/>
                <w:b/>
                <w:bCs/>
                <w:color w:val="000000"/>
              </w:rPr>
              <w:t xml:space="preserve">   </w:t>
            </w:r>
          </w:p>
          <w:p w14:paraId="4EC573F1" w14:textId="79A1D911" w:rsidR="00815E75" w:rsidRPr="009709D7" w:rsidRDefault="00815E75" w:rsidP="00815E75">
            <w:pPr>
              <w:jc w:val="center"/>
              <w:rPr>
                <w:rFonts w:ascii="Calibri" w:hAnsi="Calibri" w:cs="Calibri"/>
                <w:color w:val="000000"/>
              </w:rPr>
            </w:pPr>
            <w:r w:rsidRPr="009709D7">
              <w:rPr>
                <w:rFonts w:ascii="Calibri" w:hAnsi="Calibri" w:cs="Calibri"/>
                <w:color w:val="000000"/>
              </w:rPr>
              <w:t>(</w:t>
            </w:r>
            <m:oMath>
              <m:r>
                <w:rPr>
                  <w:rFonts w:ascii="Cambria Math" w:hAnsi="Cambria Math" w:cs="Calibri"/>
                  <w:color w:val="000000"/>
                </w:rPr>
                <m:t>×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</w:rPr>
                    <m:t>10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</w:rPr>
                    <m:t>6</m:t>
                  </m:r>
                </m:sup>
              </m:sSup>
              <m:r>
                <w:rPr>
                  <w:rFonts w:ascii="Cambria Math" w:hAnsi="Cambria Math" w:cs="Calibri"/>
                  <w:color w:val="000000"/>
                </w:rPr>
                <m:t>)</m:t>
              </m:r>
            </m:oMath>
          </w:p>
        </w:tc>
        <w:tc>
          <w:tcPr>
            <w:tcW w:w="1628" w:type="dxa"/>
          </w:tcPr>
          <w:p w14:paraId="07FDCAC2" w14:textId="77777777" w:rsidR="00815E75" w:rsidRDefault="00815E75" w:rsidP="00815E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vAlign w:val="center"/>
          </w:tcPr>
          <w:p w14:paraId="2E581EAA" w14:textId="67BABDC1" w:rsidR="00815E75" w:rsidRDefault="00815E75" w:rsidP="00815E75">
            <w:pPr>
              <w:jc w:val="center"/>
              <w:rPr>
                <w:rFonts w:ascii="Calibri" w:hAnsi="Calibri" w:cs="Calibri"/>
                <w:color w:val="A5A5A5"/>
              </w:rPr>
            </w:pPr>
            <w:r>
              <w:rPr>
                <w:rFonts w:ascii="Calibri" w:hAnsi="Calibri" w:cs="Calibri"/>
                <w:b/>
                <w:bCs/>
                <w:color w:val="A5A5A5"/>
              </w:rPr>
              <w:t>73</w:t>
            </w:r>
          </w:p>
        </w:tc>
        <w:tc>
          <w:tcPr>
            <w:tcW w:w="1630" w:type="dxa"/>
            <w:vAlign w:val="center"/>
          </w:tcPr>
          <w:p w14:paraId="059D1D5A" w14:textId="00DA0043" w:rsidR="00815E75" w:rsidRDefault="00815E75" w:rsidP="00815E75">
            <w:pPr>
              <w:jc w:val="center"/>
              <w:rPr>
                <w:rFonts w:ascii="Calibri" w:hAnsi="Calibri" w:cs="Calibri"/>
                <w:color w:val="FFC000"/>
              </w:rPr>
            </w:pPr>
            <w:r>
              <w:rPr>
                <w:rFonts w:ascii="Calibri" w:hAnsi="Calibri" w:cs="Calibri"/>
                <w:b/>
                <w:bCs/>
                <w:color w:val="FFC000"/>
              </w:rPr>
              <w:t>67</w:t>
            </w:r>
          </w:p>
        </w:tc>
        <w:tc>
          <w:tcPr>
            <w:tcW w:w="1630" w:type="dxa"/>
            <w:vAlign w:val="center"/>
          </w:tcPr>
          <w:p w14:paraId="777BC502" w14:textId="6FB26313" w:rsidR="00815E75" w:rsidRDefault="00815E75" w:rsidP="00815E75">
            <w:pPr>
              <w:jc w:val="center"/>
              <w:rPr>
                <w:rFonts w:ascii="Calibri" w:hAnsi="Calibri" w:cs="Calibri"/>
                <w:color w:val="ED7D31"/>
              </w:rPr>
            </w:pPr>
            <w:r>
              <w:rPr>
                <w:rFonts w:ascii="Calibri" w:hAnsi="Calibri" w:cs="Calibri"/>
                <w:b/>
                <w:bCs/>
                <w:color w:val="ED7D31"/>
              </w:rPr>
              <w:t>56</w:t>
            </w:r>
          </w:p>
        </w:tc>
        <w:tc>
          <w:tcPr>
            <w:tcW w:w="1630" w:type="dxa"/>
            <w:vAlign w:val="center"/>
          </w:tcPr>
          <w:p w14:paraId="6241CA39" w14:textId="0C2CB933" w:rsidR="00815E75" w:rsidRDefault="00815E75" w:rsidP="00815E75">
            <w:pPr>
              <w:jc w:val="center"/>
              <w:rPr>
                <w:rFonts w:ascii="Calibri" w:hAnsi="Calibri" w:cs="Calibri"/>
                <w:color w:val="70AD47"/>
              </w:rPr>
            </w:pPr>
            <w:r>
              <w:rPr>
                <w:rFonts w:ascii="Calibri" w:hAnsi="Calibri" w:cs="Calibri"/>
                <w:b/>
                <w:bCs/>
                <w:color w:val="70AD47"/>
              </w:rPr>
              <w:t>50</w:t>
            </w:r>
          </w:p>
        </w:tc>
      </w:tr>
    </w:tbl>
    <w:p w14:paraId="62F2833D" w14:textId="77777777" w:rsidR="00A3353D" w:rsidRDefault="00A3353D" w:rsidP="00030F30"/>
    <w:p w14:paraId="306A7551" w14:textId="77777777" w:rsidR="00A3353D" w:rsidRDefault="00A3353D">
      <w:r>
        <w:br w:type="page"/>
      </w:r>
    </w:p>
    <w:p w14:paraId="6BE652A7" w14:textId="26241BA5" w:rsidR="00A3353D" w:rsidRDefault="00A3353D" w:rsidP="00A3353D">
      <w:pPr>
        <w:sectPr w:rsidR="00A3353D">
          <w:head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40EFEAF" w14:textId="58DF7698" w:rsidR="00810F9B" w:rsidRDefault="00DC24C8" w:rsidP="00810F9B">
      <w:pPr>
        <w:keepNext/>
      </w:pPr>
      <w:r>
        <w:rPr>
          <w:noProof/>
        </w:rPr>
        <w:lastRenderedPageBreak/>
        <w:drawing>
          <wp:inline distT="0" distB="0" distL="0" distR="0" wp14:anchorId="0FD57B34" wp14:editId="759E1CAF">
            <wp:extent cx="8863330" cy="4546600"/>
            <wp:effectExtent l="0" t="0" r="13970" b="635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E2453A80-CD65-4BF2-9650-62440E728C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02C9D67" w14:textId="00330028" w:rsidR="00A3353D" w:rsidRDefault="00810F9B" w:rsidP="00810F9B">
      <w:pPr>
        <w:pStyle w:val="Caption"/>
      </w:pPr>
      <w:bookmarkStart w:id="3" w:name="_Ref96587733"/>
      <w:r>
        <w:t xml:space="preserve">Figure </w:t>
      </w:r>
      <w:fldSimple w:instr=" SEQ Figure \* ARABIC ">
        <w:r w:rsidR="00B03CE3">
          <w:rPr>
            <w:noProof/>
          </w:rPr>
          <w:t>4</w:t>
        </w:r>
      </w:fldSimple>
      <w:bookmarkEnd w:id="3"/>
      <w:r>
        <w:t>: A comparison of the true data from 2018/19 (black) with all forecasting methods</w:t>
      </w:r>
    </w:p>
    <w:p w14:paraId="0CFDCFDE" w14:textId="6DBB9413" w:rsidR="00A3353D" w:rsidRDefault="00A3353D" w:rsidP="00A3353D">
      <w:pPr>
        <w:sectPr w:rsidR="00A3353D" w:rsidSect="00A3353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8A11F32" w14:textId="0E40E3B1" w:rsidR="005E3F2F" w:rsidRDefault="00071F67" w:rsidP="00A3353D">
      <w:pPr>
        <w:pStyle w:val="ListParagraph"/>
        <w:numPr>
          <w:ilvl w:val="0"/>
          <w:numId w:val="1"/>
        </w:numPr>
        <w:contextualSpacing w:val="0"/>
      </w:pPr>
      <w:r>
        <w:lastRenderedPageBreak/>
        <w:t xml:space="preserve">We can see that forecasting by averaging </w:t>
      </w:r>
      <w:r w:rsidR="00BA39B9">
        <w:t xml:space="preserve">the </w:t>
      </w:r>
      <w:r w:rsidR="00815E75">
        <w:t>prescription spend</w:t>
      </w:r>
      <w:r w:rsidR="00BA39B9">
        <w:t xml:space="preserve"> per dispensing day </w:t>
      </w:r>
      <w:r w:rsidR="007F6AD7">
        <w:t>each</w:t>
      </w:r>
      <w:r w:rsidR="00BA39B9">
        <w:t xml:space="preserve"> month and multiplying this by the number of dispensing days that month produces the best results out of the simpler methods</w:t>
      </w:r>
      <w:r w:rsidR="00ED31F0">
        <w:t xml:space="preserve">. </w:t>
      </w:r>
      <w:r w:rsidR="00D04717">
        <w:t>This methodology i</w:t>
      </w:r>
      <w:r w:rsidR="009D7999">
        <w:t>s</w:t>
      </w:r>
      <w:r w:rsidR="00D04717">
        <w:t xml:space="preserve"> further highlighted in </w:t>
      </w:r>
      <w:r w:rsidR="00DF05A0">
        <w:fldChar w:fldCharType="begin"/>
      </w:r>
      <w:r w:rsidR="00DF05A0">
        <w:instrText xml:space="preserve"> REF _Ref97549954 \h </w:instrText>
      </w:r>
      <w:r w:rsidR="00DF05A0">
        <w:fldChar w:fldCharType="separate"/>
      </w:r>
      <w:r w:rsidR="00DF05A0">
        <w:t xml:space="preserve">Table </w:t>
      </w:r>
      <w:r w:rsidR="00DF05A0">
        <w:rPr>
          <w:noProof/>
        </w:rPr>
        <w:t>2</w:t>
      </w:r>
      <w:r w:rsidR="00DF05A0">
        <w:fldChar w:fldCharType="end"/>
      </w:r>
      <w:r w:rsidR="00DF05A0">
        <w:t xml:space="preserve"> </w:t>
      </w:r>
      <w:r w:rsidR="00D04717">
        <w:t>where we forecast the prescription spend in 2021/22</w:t>
      </w:r>
      <w:r w:rsidR="00062F10">
        <w:t xml:space="preserve"> from the beginning of the year (</w:t>
      </w:r>
      <w:proofErr w:type="gramStart"/>
      <w:r w:rsidR="00062F10">
        <w:t>i.e.</w:t>
      </w:r>
      <w:proofErr w:type="gramEnd"/>
      <w:r w:rsidR="00062F10">
        <w:t xml:space="preserve"> </w:t>
      </w:r>
      <w:r w:rsidR="00E20649">
        <w:t>we average from 2016/17 to 2020/21 without using any data from 2021/22</w:t>
      </w:r>
      <w:r w:rsidR="00DF05A0">
        <w:t>)</w:t>
      </w:r>
      <w:r w:rsidR="00E20649">
        <w:t xml:space="preserve">. </w:t>
      </w:r>
      <w:r w:rsidR="009377CD">
        <w:t xml:space="preserve">It should be noted that the </w:t>
      </w:r>
      <w:r w:rsidR="00096C7F">
        <w:t xml:space="preserve">average prescription spend </w:t>
      </w:r>
      <w:r w:rsidR="00623C44">
        <w:t>corrects for any</w:t>
      </w:r>
      <w:r w:rsidR="00096C7F">
        <w:t xml:space="preserve"> policy impact</w:t>
      </w:r>
      <w:r w:rsidR="00623C44">
        <w:t>s</w:t>
      </w:r>
      <w:r w:rsidR="00096C7F">
        <w:rPr>
          <w:rStyle w:val="FootnoteReference"/>
        </w:rPr>
        <w:footnoteReference w:id="2"/>
      </w:r>
      <w:r w:rsidR="00096C7F">
        <w:t xml:space="preserve"> and hence this is added/removed again to give the final forecast.</w:t>
      </w:r>
    </w:p>
    <w:p w14:paraId="64EBDDD7" w14:textId="3905F80B" w:rsidR="00DF05A0" w:rsidRDefault="00DF05A0" w:rsidP="00DF05A0">
      <w:pPr>
        <w:pStyle w:val="Caption"/>
        <w:keepNext/>
      </w:pPr>
      <w:bookmarkStart w:id="4" w:name="_Ref97549954"/>
      <w:r>
        <w:t xml:space="preserve">Table </w:t>
      </w:r>
      <w:fldSimple w:instr=" SEQ Table \* ARABIC ">
        <w:r w:rsidR="00CE5DB1">
          <w:rPr>
            <w:noProof/>
          </w:rPr>
          <w:t>2</w:t>
        </w:r>
      </w:fldSimple>
      <w:bookmarkEnd w:id="4"/>
      <w:r>
        <w:t>: The methodology used in the simple model to forecast the spend in 2021/22</w:t>
      </w: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898"/>
        <w:gridCol w:w="339"/>
        <w:gridCol w:w="1266"/>
        <w:gridCol w:w="274"/>
        <w:gridCol w:w="1985"/>
        <w:gridCol w:w="392"/>
        <w:gridCol w:w="2067"/>
      </w:tblGrid>
      <w:tr w:rsidR="00B634A4" w14:paraId="2750D8A5" w14:textId="77777777" w:rsidTr="00727423">
        <w:trPr>
          <w:trHeight w:val="792"/>
        </w:trPr>
        <w:tc>
          <w:tcPr>
            <w:tcW w:w="1265" w:type="dxa"/>
            <w:tcBorders>
              <w:top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DB550" w14:textId="77777777" w:rsidR="00B634A4" w:rsidRPr="00A57F4E" w:rsidRDefault="00B634A4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Month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8D43" w14:textId="77777777" w:rsidR="00B634A4" w:rsidRPr="00A57F4E" w:rsidRDefault="00B634A4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Average prescription </w:t>
            </w:r>
            <w:proofErr w:type="gramStart"/>
            <w:r w:rsidRPr="00A57F4E">
              <w:rPr>
                <w:rFonts w:ascii="Arial" w:hAnsi="Arial" w:cs="Arial"/>
                <w:sz w:val="20"/>
                <w:szCs w:val="20"/>
              </w:rPr>
              <w:t>spend</w:t>
            </w:r>
            <w:proofErr w:type="gramEnd"/>
            <w:r w:rsidRPr="00A57F4E">
              <w:rPr>
                <w:rFonts w:ascii="Arial" w:hAnsi="Arial" w:cs="Arial"/>
                <w:sz w:val="20"/>
                <w:szCs w:val="20"/>
              </w:rPr>
              <w:t xml:space="preserve"> per dispensing day</w:t>
            </w:r>
          </w:p>
        </w:tc>
        <w:tc>
          <w:tcPr>
            <w:tcW w:w="33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51CF3" w14:textId="77777777" w:rsidR="00B634A4" w:rsidRPr="00A57F4E" w:rsidRDefault="00B634A4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9FC5" w14:textId="77777777" w:rsidR="00B634A4" w:rsidRPr="00A57F4E" w:rsidRDefault="00B634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Number of dispensing days</w:t>
            </w:r>
          </w:p>
        </w:tc>
        <w:tc>
          <w:tcPr>
            <w:tcW w:w="27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2E64" w14:textId="77777777" w:rsidR="00B634A4" w:rsidRPr="00A57F4E" w:rsidRDefault="00B634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ACC3" w14:textId="77777777" w:rsidR="00B634A4" w:rsidRPr="00A57F4E" w:rsidRDefault="00B634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Policy/local adjustment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2870A" w14:textId="77777777" w:rsidR="00B634A4" w:rsidRPr="00A57F4E" w:rsidRDefault="00B634A4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34814" w14:textId="77777777" w:rsidR="00B634A4" w:rsidRPr="00A57F4E" w:rsidRDefault="00B634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Forecast prescription spend (adjusted)</w:t>
            </w:r>
          </w:p>
        </w:tc>
      </w:tr>
      <w:tr w:rsidR="00B634A4" w14:paraId="39199623" w14:textId="77777777" w:rsidTr="00EC2017">
        <w:trPr>
          <w:trHeight w:val="264"/>
        </w:trPr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40051" w14:textId="77777777" w:rsidR="00B634A4" w:rsidRPr="00A57F4E" w:rsidRDefault="00B634A4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CFD1E" w14:textId="77777777" w:rsidR="00B634A4" w:rsidRPr="00A57F4E" w:rsidRDefault="00B634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2016/17 to 2020/21</w:t>
            </w:r>
          </w:p>
        </w:tc>
        <w:tc>
          <w:tcPr>
            <w:tcW w:w="3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72BA3" w14:textId="77777777" w:rsidR="00B634A4" w:rsidRPr="00A57F4E" w:rsidRDefault="00B634A4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1C77D" w14:textId="77777777" w:rsidR="00B634A4" w:rsidRPr="00A57F4E" w:rsidRDefault="00B634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2021/22</w:t>
            </w:r>
          </w:p>
        </w:tc>
        <w:tc>
          <w:tcPr>
            <w:tcW w:w="2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EAD86" w14:textId="77777777" w:rsidR="00B634A4" w:rsidRPr="00A57F4E" w:rsidRDefault="00B634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C07A" w14:textId="77777777" w:rsidR="00B634A4" w:rsidRPr="00A57F4E" w:rsidRDefault="00B634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2021/22</w:t>
            </w:r>
          </w:p>
        </w:tc>
        <w:tc>
          <w:tcPr>
            <w:tcW w:w="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BD726" w14:textId="77777777" w:rsidR="00B634A4" w:rsidRPr="00A57F4E" w:rsidRDefault="00B634A4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98394" w14:textId="77777777" w:rsidR="00B634A4" w:rsidRPr="00A57F4E" w:rsidRDefault="00B634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2021/22</w:t>
            </w:r>
          </w:p>
        </w:tc>
      </w:tr>
      <w:tr w:rsidR="00B634A4" w14:paraId="324C7BBD" w14:textId="77777777" w:rsidTr="00EC2017">
        <w:trPr>
          <w:trHeight w:val="276"/>
        </w:trPr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1A099" w14:textId="77777777" w:rsidR="00B634A4" w:rsidRPr="00A57F4E" w:rsidRDefault="00B634A4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AC5EE" w14:textId="77777777" w:rsidR="00B634A4" w:rsidRPr="00A57F4E" w:rsidRDefault="00B634A4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05B8" w14:textId="77777777" w:rsidR="00B634A4" w:rsidRPr="00A57F4E" w:rsidRDefault="00B634A4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0178B" w14:textId="77777777" w:rsidR="00B634A4" w:rsidRPr="00A57F4E" w:rsidRDefault="00B634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41613" w14:textId="77777777" w:rsidR="00B634A4" w:rsidRPr="00A57F4E" w:rsidRDefault="00B634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FAF65" w14:textId="77777777" w:rsidR="00B634A4" w:rsidRPr="00A57F4E" w:rsidRDefault="00B634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87D05" w14:textId="77777777" w:rsidR="00B634A4" w:rsidRPr="00A57F4E" w:rsidRDefault="00B634A4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12607" w14:textId="77777777" w:rsidR="00B634A4" w:rsidRPr="00A57F4E" w:rsidRDefault="00B634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BC58DD" w14:paraId="2D912B02" w14:textId="77777777" w:rsidTr="00A57F4E">
        <w:trPr>
          <w:trHeight w:val="159"/>
        </w:trPr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3C70B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7D27A" w14:textId="1F17BEB7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28,901,069</w:t>
            </w:r>
          </w:p>
        </w:tc>
        <w:tc>
          <w:tcPr>
            <w:tcW w:w="3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27839" w14:textId="3A54004A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AFDBE" w14:textId="77777777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55676" w14:textId="77777777" w:rsidR="00BC58DD" w:rsidRPr="00A57F4E" w:rsidRDefault="00BC58DD" w:rsidP="00BC58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2D10C" w14:textId="70FAC2D3" w:rsidR="00BC58DD" w:rsidRPr="00A57F4E" w:rsidRDefault="00BC58DD" w:rsidP="00BC58DD">
            <w:pPr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+       7,766,667 </w:t>
            </w:r>
          </w:p>
        </w:tc>
        <w:tc>
          <w:tcPr>
            <w:tcW w:w="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A8DA7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 = </w:t>
            </w:r>
          </w:p>
        </w:tc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926C4" w14:textId="0A858993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        701,392,328 </w:t>
            </w:r>
          </w:p>
        </w:tc>
      </w:tr>
      <w:tr w:rsidR="00BC58DD" w14:paraId="4EF5B13E" w14:textId="77777777" w:rsidTr="00EC2017">
        <w:trPr>
          <w:trHeight w:val="264"/>
        </w:trPr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BC498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1BF07" w14:textId="2439EC49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29,017,299</w:t>
            </w:r>
          </w:p>
        </w:tc>
        <w:tc>
          <w:tcPr>
            <w:tcW w:w="3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A5826" w14:textId="4E46D3B5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44CCD" w14:textId="77777777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30147" w14:textId="77777777" w:rsidR="00BC58DD" w:rsidRPr="00A57F4E" w:rsidRDefault="00BC58DD" w:rsidP="00BC58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4F276" w14:textId="2ECAF1AF" w:rsidR="00BC58DD" w:rsidRPr="00A57F4E" w:rsidRDefault="00BC58DD" w:rsidP="00BC58DD">
            <w:pPr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+       7,766,667 </w:t>
            </w:r>
          </w:p>
        </w:tc>
        <w:tc>
          <w:tcPr>
            <w:tcW w:w="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66165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 = </w:t>
            </w:r>
          </w:p>
        </w:tc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3594C" w14:textId="307F343A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        704,181,837 </w:t>
            </w:r>
          </w:p>
        </w:tc>
      </w:tr>
      <w:tr w:rsidR="00BC58DD" w14:paraId="590D6638" w14:textId="77777777" w:rsidTr="00EC2017">
        <w:trPr>
          <w:trHeight w:val="264"/>
        </w:trPr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D824C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C713B" w14:textId="3F55386D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27,901,760</w:t>
            </w:r>
          </w:p>
        </w:tc>
        <w:tc>
          <w:tcPr>
            <w:tcW w:w="3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0B32F" w14:textId="17885049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6E83E" w14:textId="77777777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86804" w14:textId="77777777" w:rsidR="00BC58DD" w:rsidRPr="00A57F4E" w:rsidRDefault="00BC58DD" w:rsidP="00BC58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B44F5" w14:textId="215722DE" w:rsidR="00BC58DD" w:rsidRPr="00A57F4E" w:rsidRDefault="00BC58DD" w:rsidP="00BC58DD">
            <w:pPr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+       7,766,667 </w:t>
            </w:r>
          </w:p>
        </w:tc>
        <w:tc>
          <w:tcPr>
            <w:tcW w:w="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14D3C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 = </w:t>
            </w:r>
          </w:p>
        </w:tc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CD5A8" w14:textId="6D3018E9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        733,212,426 </w:t>
            </w:r>
          </w:p>
        </w:tc>
      </w:tr>
      <w:tr w:rsidR="00BC58DD" w14:paraId="0DA8F277" w14:textId="77777777" w:rsidTr="00EC2017">
        <w:trPr>
          <w:trHeight w:val="264"/>
        </w:trPr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76A87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EA45F" w14:textId="37B3112F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27,333,786</w:t>
            </w:r>
          </w:p>
        </w:tc>
        <w:tc>
          <w:tcPr>
            <w:tcW w:w="3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49692" w14:textId="438D7E3D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13282" w14:textId="77777777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B8C68" w14:textId="77777777" w:rsidR="00BC58DD" w:rsidRPr="00A57F4E" w:rsidRDefault="00BC58DD" w:rsidP="00BC58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629E7" w14:textId="744ED7A0" w:rsidR="00BC58DD" w:rsidRPr="00A57F4E" w:rsidRDefault="00BC58DD" w:rsidP="00BC58DD">
            <w:pPr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-        8,533,333 </w:t>
            </w:r>
          </w:p>
        </w:tc>
        <w:tc>
          <w:tcPr>
            <w:tcW w:w="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25EA2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 = </w:t>
            </w:r>
          </w:p>
        </w:tc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52CE9" w14:textId="39BB73F6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        729,478,885 </w:t>
            </w:r>
          </w:p>
        </w:tc>
      </w:tr>
      <w:tr w:rsidR="00BC58DD" w14:paraId="1F362AB7" w14:textId="77777777" w:rsidTr="00EC2017">
        <w:trPr>
          <w:trHeight w:val="264"/>
        </w:trPr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A709C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EDF0B" w14:textId="04BA406C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27,609,775</w:t>
            </w:r>
          </w:p>
        </w:tc>
        <w:tc>
          <w:tcPr>
            <w:tcW w:w="3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FA90C" w14:textId="36C25259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51B88" w14:textId="77777777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E1901" w14:textId="77777777" w:rsidR="00BC58DD" w:rsidRPr="00A57F4E" w:rsidRDefault="00BC58DD" w:rsidP="00BC58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22B15" w14:textId="66583707" w:rsidR="00BC58DD" w:rsidRPr="00A57F4E" w:rsidRDefault="00BC58DD" w:rsidP="00BC58DD">
            <w:pPr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-        8,533,333 </w:t>
            </w:r>
          </w:p>
        </w:tc>
        <w:tc>
          <w:tcPr>
            <w:tcW w:w="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B97E0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 = </w:t>
            </w:r>
          </w:p>
        </w:tc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E3EA5" w14:textId="60883E43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        681,711,043 </w:t>
            </w:r>
          </w:p>
        </w:tc>
      </w:tr>
      <w:tr w:rsidR="00BC58DD" w14:paraId="44D71493" w14:textId="77777777" w:rsidTr="00EC2017">
        <w:trPr>
          <w:trHeight w:val="264"/>
        </w:trPr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1822C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BCE11" w14:textId="377A5D19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28,406,993</w:t>
            </w:r>
          </w:p>
        </w:tc>
        <w:tc>
          <w:tcPr>
            <w:tcW w:w="3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D3439" w14:textId="770A5BBA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94494" w14:textId="77777777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89B63" w14:textId="77777777" w:rsidR="00BC58DD" w:rsidRPr="00A57F4E" w:rsidRDefault="00BC58DD" w:rsidP="00BC58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DF297" w14:textId="6143F5E9" w:rsidR="00BC58DD" w:rsidRPr="00A57F4E" w:rsidRDefault="00BC58DD" w:rsidP="00BC58DD">
            <w:pPr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-        8,533,333 </w:t>
            </w:r>
          </w:p>
        </w:tc>
        <w:tc>
          <w:tcPr>
            <w:tcW w:w="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06B96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 = </w:t>
            </w:r>
          </w:p>
        </w:tc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C4670" w14:textId="7F14692D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        730,048,492 </w:t>
            </w:r>
          </w:p>
        </w:tc>
      </w:tr>
      <w:tr w:rsidR="00BC58DD" w14:paraId="375BB044" w14:textId="77777777" w:rsidTr="00EC2017">
        <w:trPr>
          <w:trHeight w:val="264"/>
        </w:trPr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D15BC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787F7" w14:textId="2E63F957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28,659,849</w:t>
            </w:r>
          </w:p>
        </w:tc>
        <w:tc>
          <w:tcPr>
            <w:tcW w:w="3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7F12F" w14:textId="094BCC41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C8BD7" w14:textId="77777777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D82EF" w14:textId="77777777" w:rsidR="00BC58DD" w:rsidRPr="00A57F4E" w:rsidRDefault="00BC58DD" w:rsidP="00BC58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4DDC5" w14:textId="073DDAD8" w:rsidR="00BC58DD" w:rsidRPr="00A57F4E" w:rsidRDefault="00BC58DD" w:rsidP="00BC58DD">
            <w:pPr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-      17,466,667 </w:t>
            </w:r>
          </w:p>
        </w:tc>
        <w:tc>
          <w:tcPr>
            <w:tcW w:w="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CAB55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 = </w:t>
            </w:r>
          </w:p>
        </w:tc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58A68" w14:textId="0DC898A9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        727,689,398 </w:t>
            </w:r>
          </w:p>
        </w:tc>
      </w:tr>
      <w:tr w:rsidR="00BC58DD" w14:paraId="3E8C65A0" w14:textId="77777777" w:rsidTr="00EC2017">
        <w:trPr>
          <w:trHeight w:val="264"/>
        </w:trPr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5FD8A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C72FE" w14:textId="4C03F0AC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28,550,630</w:t>
            </w:r>
          </w:p>
        </w:tc>
        <w:tc>
          <w:tcPr>
            <w:tcW w:w="3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46EA3" w14:textId="3AB278D5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5406D" w14:textId="77777777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56DF0" w14:textId="77777777" w:rsidR="00BC58DD" w:rsidRPr="00A57F4E" w:rsidRDefault="00BC58DD" w:rsidP="00BC58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76FF1" w14:textId="6B0132DC" w:rsidR="00BC58DD" w:rsidRPr="00A57F4E" w:rsidRDefault="00BC58DD" w:rsidP="00BC58DD">
            <w:pPr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-      17,466,667 </w:t>
            </w:r>
          </w:p>
        </w:tc>
        <w:tc>
          <w:tcPr>
            <w:tcW w:w="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E75FF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 = </w:t>
            </w:r>
          </w:p>
        </w:tc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1A4CE" w14:textId="726B4238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        724,849,701 </w:t>
            </w:r>
          </w:p>
        </w:tc>
      </w:tr>
      <w:tr w:rsidR="00BC58DD" w14:paraId="7D3E7775" w14:textId="77777777" w:rsidTr="00EC2017">
        <w:trPr>
          <w:trHeight w:val="264"/>
        </w:trPr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38F75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3374D" w14:textId="5E986A40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30,459,408</w:t>
            </w:r>
          </w:p>
        </w:tc>
        <w:tc>
          <w:tcPr>
            <w:tcW w:w="3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D3680" w14:textId="00CA9975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0A8CF" w14:textId="77777777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90503" w14:textId="77777777" w:rsidR="00BC58DD" w:rsidRPr="00A57F4E" w:rsidRDefault="00BC58DD" w:rsidP="00BC58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20894" w14:textId="52CCF0D6" w:rsidR="00BC58DD" w:rsidRPr="00A57F4E" w:rsidRDefault="00BC58DD" w:rsidP="00BC58DD">
            <w:pPr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-      17,466,667 </w:t>
            </w:r>
          </w:p>
        </w:tc>
        <w:tc>
          <w:tcPr>
            <w:tcW w:w="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FC9FD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 = </w:t>
            </w:r>
          </w:p>
        </w:tc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4DFE6" w14:textId="62D550D9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        713,559,130 </w:t>
            </w:r>
          </w:p>
        </w:tc>
      </w:tr>
      <w:tr w:rsidR="00BC58DD" w14:paraId="20454D19" w14:textId="77777777" w:rsidTr="00EC2017">
        <w:trPr>
          <w:trHeight w:val="264"/>
        </w:trPr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9BBE9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AD5F4" w14:textId="29970345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28,246,846</w:t>
            </w:r>
          </w:p>
        </w:tc>
        <w:tc>
          <w:tcPr>
            <w:tcW w:w="3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EB23B" w14:textId="4D192649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84AF0" w14:textId="77777777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FBA4B" w14:textId="77777777" w:rsidR="00BC58DD" w:rsidRPr="00A57F4E" w:rsidRDefault="00BC58DD" w:rsidP="00BC58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AB8AC" w14:textId="1B402912" w:rsidR="00BC58DD" w:rsidRPr="00A57F4E" w:rsidRDefault="00BC58DD" w:rsidP="00BC58DD">
            <w:pPr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-      33,900,000 </w:t>
            </w:r>
          </w:p>
        </w:tc>
        <w:tc>
          <w:tcPr>
            <w:tcW w:w="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B67D7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 = </w:t>
            </w:r>
          </w:p>
        </w:tc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B7647" w14:textId="7F8886F8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        644,024,307 </w:t>
            </w:r>
          </w:p>
        </w:tc>
      </w:tr>
      <w:tr w:rsidR="00BC58DD" w14:paraId="2D494E8D" w14:textId="77777777" w:rsidTr="00EC2017">
        <w:trPr>
          <w:trHeight w:val="264"/>
        </w:trPr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B809D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1DA48" w14:textId="42E3BF37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27,387,037</w:t>
            </w:r>
          </w:p>
        </w:tc>
        <w:tc>
          <w:tcPr>
            <w:tcW w:w="3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FCE6D" w14:textId="6DD59B1C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F165F" w14:textId="77777777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A0E22" w14:textId="77777777" w:rsidR="00BC58DD" w:rsidRPr="00A57F4E" w:rsidRDefault="00BC58DD" w:rsidP="00BC58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CFD1B" w14:textId="07745D87" w:rsidR="00BC58DD" w:rsidRPr="00A57F4E" w:rsidRDefault="00BC58DD" w:rsidP="00BC58DD">
            <w:pPr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-      33,900,000 </w:t>
            </w:r>
          </w:p>
        </w:tc>
        <w:tc>
          <w:tcPr>
            <w:tcW w:w="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6A49D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 = </w:t>
            </w:r>
          </w:p>
        </w:tc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5F087" w14:textId="5273B266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        623,388,890 </w:t>
            </w:r>
          </w:p>
        </w:tc>
      </w:tr>
      <w:tr w:rsidR="00BC58DD" w14:paraId="522E5F67" w14:textId="77777777" w:rsidTr="00EC2017">
        <w:trPr>
          <w:trHeight w:val="264"/>
        </w:trPr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73316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FD837" w14:textId="3DCB93AF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28,319,183</w:t>
            </w:r>
          </w:p>
        </w:tc>
        <w:tc>
          <w:tcPr>
            <w:tcW w:w="3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68E51" w14:textId="10E6A8E7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EBF8D" w14:textId="77777777" w:rsidR="00BC58DD" w:rsidRPr="00A57F4E" w:rsidRDefault="00BC58DD" w:rsidP="00BC58DD">
            <w:pPr>
              <w:jc w:val="center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73D18" w14:textId="77777777" w:rsidR="00BC58DD" w:rsidRPr="00A57F4E" w:rsidRDefault="00BC58DD" w:rsidP="00BC58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F9664" w14:textId="1634AA2F" w:rsidR="00BC58DD" w:rsidRPr="00A57F4E" w:rsidRDefault="00BC58DD" w:rsidP="00BC58DD">
            <w:pPr>
              <w:rPr>
                <w:rFonts w:ascii="Calibri" w:hAnsi="Calibri" w:cs="Calibri"/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-      33,900,000 </w:t>
            </w:r>
          </w:p>
        </w:tc>
        <w:tc>
          <w:tcPr>
            <w:tcW w:w="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9378C" w14:textId="77777777" w:rsidR="00BC58DD" w:rsidRPr="00A57F4E" w:rsidRDefault="00BC58DD" w:rsidP="00BC58DD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 = </w:t>
            </w:r>
          </w:p>
        </w:tc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4B8B1" w14:textId="15A8EAE5" w:rsidR="00BC58DD" w:rsidRPr="00A57F4E" w:rsidRDefault="00BC58DD" w:rsidP="00BC58DD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 xml:space="preserve">        730,717,933 </w:t>
            </w:r>
          </w:p>
        </w:tc>
      </w:tr>
      <w:tr w:rsidR="00B634A4" w14:paraId="2E77A75F" w14:textId="77777777" w:rsidTr="00EC2017">
        <w:trPr>
          <w:trHeight w:val="264"/>
        </w:trPr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ECAFB" w14:textId="77777777" w:rsidR="00B634A4" w:rsidRPr="00A57F4E" w:rsidRDefault="00B634A4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DF3D9" w14:textId="77777777" w:rsidR="00B634A4" w:rsidRPr="00A57F4E" w:rsidRDefault="00B634A4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09E8E" w14:textId="77777777" w:rsidR="00B634A4" w:rsidRPr="00A57F4E" w:rsidRDefault="00B634A4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F7571" w14:textId="77777777" w:rsidR="00B634A4" w:rsidRPr="00A57F4E" w:rsidRDefault="00B634A4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9514E" w14:textId="77777777" w:rsidR="00B634A4" w:rsidRPr="00A57F4E" w:rsidRDefault="00B634A4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114B3" w14:textId="77777777" w:rsidR="00B634A4" w:rsidRPr="00A57F4E" w:rsidRDefault="00B634A4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3D810" w14:textId="77777777" w:rsidR="00B634A4" w:rsidRPr="00A57F4E" w:rsidRDefault="00B634A4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4D120" w14:textId="77777777" w:rsidR="00B634A4" w:rsidRPr="00A57F4E" w:rsidRDefault="00B634A4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34A4" w14:paraId="1563394B" w14:textId="77777777" w:rsidTr="00A57F4E">
        <w:trPr>
          <w:trHeight w:val="68"/>
        </w:trPr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CACD2" w14:textId="77777777" w:rsidR="00B634A4" w:rsidRPr="00A57F4E" w:rsidRDefault="00B634A4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ECECD" w14:textId="77777777" w:rsidR="00B634A4" w:rsidRPr="00A57F4E" w:rsidRDefault="00B634A4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07880" w14:textId="77777777" w:rsidR="00B634A4" w:rsidRPr="00A57F4E" w:rsidRDefault="00B634A4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B7ACE" w14:textId="77777777" w:rsidR="00B634A4" w:rsidRPr="00A57F4E" w:rsidRDefault="00B634A4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2DC11" w14:textId="77777777" w:rsidR="00B634A4" w:rsidRPr="00A57F4E" w:rsidRDefault="00B634A4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170F5" w14:textId="77777777" w:rsidR="00B634A4" w:rsidRPr="00A57F4E" w:rsidRDefault="00B634A4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75FB7" w14:textId="77777777" w:rsidR="00B634A4" w:rsidRPr="00A57F4E" w:rsidRDefault="00B634A4">
            <w:pPr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FBAEE" w14:textId="0AB65B5C" w:rsidR="00B634A4" w:rsidRPr="00A57F4E" w:rsidRDefault="009C09C6">
            <w:pPr>
              <w:jc w:val="right"/>
              <w:rPr>
                <w:sz w:val="20"/>
                <w:szCs w:val="20"/>
              </w:rPr>
            </w:pPr>
            <w:r w:rsidRPr="00A57F4E">
              <w:rPr>
                <w:rFonts w:ascii="Arial" w:hAnsi="Arial" w:cs="Arial"/>
                <w:b/>
                <w:bCs/>
                <w:sz w:val="20"/>
                <w:szCs w:val="20"/>
              </w:rPr>
              <w:t>8,444,254,369</w:t>
            </w:r>
          </w:p>
        </w:tc>
      </w:tr>
    </w:tbl>
    <w:p w14:paraId="3B230589" w14:textId="77777777" w:rsidR="002F0DED" w:rsidRDefault="002F0DED" w:rsidP="002F0DED">
      <w:pPr>
        <w:pStyle w:val="ListParagraph"/>
        <w:ind w:left="360"/>
        <w:contextualSpacing w:val="0"/>
      </w:pPr>
    </w:p>
    <w:p w14:paraId="1398382C" w14:textId="5CE43DC8" w:rsidR="00A3353D" w:rsidRDefault="00ED31F0" w:rsidP="00A3353D">
      <w:pPr>
        <w:pStyle w:val="ListParagraph"/>
        <w:numPr>
          <w:ilvl w:val="0"/>
          <w:numId w:val="1"/>
        </w:numPr>
        <w:contextualSpacing w:val="0"/>
      </w:pPr>
      <w:r>
        <w:t xml:space="preserve">We will consider this simple model going forward and compare with the results produced by the linear regression model. </w:t>
      </w:r>
    </w:p>
    <w:p w14:paraId="3DAD9184" w14:textId="4BA241D2" w:rsidR="004B3A36" w:rsidRDefault="00143711" w:rsidP="00A3353D">
      <w:pPr>
        <w:pStyle w:val="ListParagraph"/>
        <w:numPr>
          <w:ilvl w:val="0"/>
          <w:numId w:val="1"/>
        </w:numPr>
        <w:contextualSpacing w:val="0"/>
      </w:pPr>
      <w:r>
        <w:lastRenderedPageBreak/>
        <w:fldChar w:fldCharType="begin"/>
      </w:r>
      <w:r>
        <w:instrText xml:space="preserve"> REF _Ref96588010 \h </w:instrText>
      </w:r>
      <w:r>
        <w:fldChar w:fldCharType="separate"/>
      </w:r>
      <w:r>
        <w:t xml:space="preserve">Figure </w:t>
      </w:r>
      <w:r>
        <w:rPr>
          <w:noProof/>
        </w:rPr>
        <w:t>5</w:t>
      </w:r>
      <w:r>
        <w:fldChar w:fldCharType="end"/>
      </w:r>
      <w:r>
        <w:t xml:space="preserve"> </w:t>
      </w:r>
      <w:r w:rsidR="0081012F">
        <w:t xml:space="preserve">shows </w:t>
      </w:r>
      <w:r>
        <w:t>a comparison of the simple model with the old linear regression model at predicting the prescription spend in 2018/19, 2019/20 and 2020/21 using data from the previous 5 years</w:t>
      </w:r>
      <w:r w:rsidR="00B2329D">
        <w:t xml:space="preserve">. </w:t>
      </w:r>
    </w:p>
    <w:p w14:paraId="1214AB3F" w14:textId="49647B11" w:rsidR="00F72D82" w:rsidRDefault="00F72D82" w:rsidP="00A3353D">
      <w:pPr>
        <w:pStyle w:val="ListParagraph"/>
        <w:numPr>
          <w:ilvl w:val="0"/>
          <w:numId w:val="1"/>
        </w:numPr>
        <w:contextualSpacing w:val="0"/>
      </w:pPr>
      <w:r>
        <w:t>Both models do a reasonable job of estimating the spend in all 3 years</w:t>
      </w:r>
      <w:r w:rsidR="000667DC">
        <w:t xml:space="preserve"> (though large discrepancies are seen for March </w:t>
      </w:r>
      <w:r w:rsidR="00BE2C4D">
        <w:t>2019/20 and April</w:t>
      </w:r>
      <w:r w:rsidR="00572E99">
        <w:t xml:space="preserve"> and December</w:t>
      </w:r>
      <w:r w:rsidR="00BE2C4D">
        <w:t xml:space="preserve"> 2020/21 </w:t>
      </w:r>
      <w:r w:rsidR="00572E99">
        <w:t xml:space="preserve">which were the months with the largest differences </w:t>
      </w:r>
      <w:r w:rsidR="0041504E">
        <w:t>during the pandemic compared with previous years).</w:t>
      </w:r>
      <w:r w:rsidR="00BE2C4D">
        <w:t xml:space="preserve"> The linear regression model appears to have overestimated the spend </w:t>
      </w:r>
      <w:r w:rsidR="00B6041D">
        <w:t xml:space="preserve">by quite a large amount in 2018/19. As </w:t>
      </w:r>
      <w:r w:rsidR="0041504E">
        <w:t>mentioned,</w:t>
      </w:r>
      <w:r w:rsidR="00B6041D">
        <w:t xml:space="preserve"> this is likely to be caused by issues with the time variable whereby there has not been a linear relationship between time and spend.</w:t>
      </w:r>
      <w:r w:rsidR="0044678D">
        <w:t xml:space="preserve"> However, the pattern of the spend </w:t>
      </w:r>
      <w:proofErr w:type="gramStart"/>
      <w:r w:rsidR="0044678D">
        <w:t>still remains</w:t>
      </w:r>
      <w:proofErr w:type="gramEnd"/>
      <w:r w:rsidR="0044678D">
        <w:t xml:space="preserve"> a reasonable estimate. </w:t>
      </w:r>
    </w:p>
    <w:p w14:paraId="2ED20CB3" w14:textId="27E50722" w:rsidR="0020661C" w:rsidRDefault="0020661C" w:rsidP="00A3353D">
      <w:pPr>
        <w:pStyle w:val="ListParagraph"/>
        <w:numPr>
          <w:ilvl w:val="0"/>
          <w:numId w:val="1"/>
        </w:numPr>
        <w:contextualSpacing w:val="0"/>
      </w:pPr>
      <w:proofErr w:type="gramStart"/>
      <w:r>
        <w:t>In order to</w:t>
      </w:r>
      <w:proofErr w:type="gramEnd"/>
      <w:r>
        <w:t xml:space="preserve"> consider the precision of the model</w:t>
      </w:r>
      <w:r w:rsidR="00631055">
        <w:t xml:space="preserve">, </w:t>
      </w:r>
      <w:r w:rsidR="00680279">
        <w:t xml:space="preserve">for each </w:t>
      </w:r>
      <w:r w:rsidR="007E3B0E">
        <w:t xml:space="preserve">forecast year, we have compared the monthly spend with the minimum/maximum spend of that month over the previous 5 years’ worth of data. </w:t>
      </w:r>
      <w:r w:rsidR="00C60EE0">
        <w:t xml:space="preserve">The results are shown in </w:t>
      </w:r>
      <w:r w:rsidR="00C60EE0">
        <w:fldChar w:fldCharType="begin"/>
      </w:r>
      <w:r w:rsidR="00C60EE0">
        <w:instrText xml:space="preserve"> REF _Ref97714210 \h </w:instrText>
      </w:r>
      <w:r w:rsidR="00C60EE0">
        <w:fldChar w:fldCharType="separate"/>
      </w:r>
      <w:r w:rsidR="00C60EE0">
        <w:t xml:space="preserve">Table </w:t>
      </w:r>
      <w:r w:rsidR="00C60EE0">
        <w:rPr>
          <w:noProof/>
        </w:rPr>
        <w:t>3</w:t>
      </w:r>
      <w:r w:rsidR="00C60EE0">
        <w:fldChar w:fldCharType="end"/>
      </w:r>
      <w:r w:rsidR="00C60EE0">
        <w:t xml:space="preserve"> where we see a range of -3.7% below the minimum </w:t>
      </w:r>
      <w:r w:rsidR="002B597A">
        <w:t xml:space="preserve">to </w:t>
      </w:r>
      <w:r w:rsidR="005A47F6">
        <w:t>2.5</w:t>
      </w:r>
      <w:r w:rsidR="002B597A">
        <w:t xml:space="preserve">% above the maximum for the simple model, and </w:t>
      </w:r>
      <w:r w:rsidR="005A47F6">
        <w:t>4.0</w:t>
      </w:r>
      <w:r w:rsidR="002B597A">
        <w:t xml:space="preserve">% above the maximum and no months below the minimum for the linear regression model. </w:t>
      </w:r>
    </w:p>
    <w:p w14:paraId="20EB79B8" w14:textId="77777777" w:rsidR="004B3A36" w:rsidRDefault="004B3A36">
      <w:r>
        <w:br w:type="page"/>
      </w:r>
    </w:p>
    <w:p w14:paraId="709EAB5F" w14:textId="285E419B" w:rsidR="00263E57" w:rsidRDefault="00D24AF5" w:rsidP="004B3A36"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39FF7CC4" wp14:editId="7D930169">
            <wp:simplePos x="0" y="0"/>
            <wp:positionH relativeFrom="column">
              <wp:posOffset>3113405</wp:posOffset>
            </wp:positionH>
            <wp:positionV relativeFrom="paragraph">
              <wp:posOffset>72953</wp:posOffset>
            </wp:positionV>
            <wp:extent cx="3239770" cy="3960000"/>
            <wp:effectExtent l="0" t="0" r="17780" b="2540"/>
            <wp:wrapNone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1F99A90E-5CBB-4E33-AAC3-4E1CA3D759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69D8AC05" wp14:editId="70F40655">
            <wp:simplePos x="0" y="0"/>
            <wp:positionH relativeFrom="column">
              <wp:posOffset>-216535</wp:posOffset>
            </wp:positionH>
            <wp:positionV relativeFrom="paragraph">
              <wp:posOffset>72390</wp:posOffset>
            </wp:positionV>
            <wp:extent cx="3239770" cy="3960000"/>
            <wp:effectExtent l="0" t="0" r="17780" b="2540"/>
            <wp:wrapNone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D4A9B6B3-C000-414B-A5B8-9E331B03E9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0D8D4" w14:textId="251ED627" w:rsidR="00C50D57" w:rsidRDefault="00C50D57" w:rsidP="004B3A36"/>
    <w:p w14:paraId="6BAF5128" w14:textId="28373117" w:rsidR="00C50D57" w:rsidRDefault="00C50D57" w:rsidP="004B3A36"/>
    <w:p w14:paraId="2A56FE27" w14:textId="1D92A477" w:rsidR="00C50D57" w:rsidRDefault="00C50D57" w:rsidP="004B3A36"/>
    <w:p w14:paraId="2F316C41" w14:textId="67BD48CE" w:rsidR="00C50D57" w:rsidRDefault="00C50D57" w:rsidP="004B3A36"/>
    <w:p w14:paraId="6C18B15F" w14:textId="07095B0A" w:rsidR="00C50D57" w:rsidRDefault="00C50D57" w:rsidP="004B3A36"/>
    <w:p w14:paraId="231CDBD2" w14:textId="763DD6EB" w:rsidR="00C50D57" w:rsidRDefault="00C50D57" w:rsidP="004B3A36"/>
    <w:p w14:paraId="4EA0CF59" w14:textId="071E8669" w:rsidR="00C50D57" w:rsidRDefault="00C50D57" w:rsidP="004B3A36"/>
    <w:p w14:paraId="3B76500C" w14:textId="40281424" w:rsidR="00C50D57" w:rsidRDefault="00C50D57" w:rsidP="004B3A36"/>
    <w:p w14:paraId="53AF4354" w14:textId="03B4970D" w:rsidR="00C50D57" w:rsidRDefault="00C50D57" w:rsidP="004B3A36"/>
    <w:p w14:paraId="533DFADF" w14:textId="452D6C74" w:rsidR="00C50D57" w:rsidRDefault="00C50D57" w:rsidP="004B3A36"/>
    <w:p w14:paraId="3B9C0CCF" w14:textId="3944D7CE" w:rsidR="00F216F7" w:rsidRDefault="00F216F7" w:rsidP="00F216F7"/>
    <w:p w14:paraId="27B4B6F6" w14:textId="436D629F" w:rsidR="00E515A6" w:rsidRDefault="00E515A6" w:rsidP="00F216F7"/>
    <w:p w14:paraId="509333E6" w14:textId="6A54DB79" w:rsidR="00C50D57" w:rsidRDefault="00C50D57" w:rsidP="00F216F7"/>
    <w:p w14:paraId="4E0A6B93" w14:textId="0DCDF9BE" w:rsidR="00C50D57" w:rsidRDefault="00D24AF5" w:rsidP="00F216F7">
      <w:r>
        <w:rPr>
          <w:noProof/>
        </w:rPr>
        <w:drawing>
          <wp:anchor distT="0" distB="0" distL="114300" distR="114300" simplePos="0" relativeHeight="251658244" behindDoc="0" locked="0" layoutInCell="1" allowOverlap="1" wp14:anchorId="7D3284DA" wp14:editId="1DDE28CC">
            <wp:simplePos x="0" y="0"/>
            <wp:positionH relativeFrom="margin">
              <wp:posOffset>-218646</wp:posOffset>
            </wp:positionH>
            <wp:positionV relativeFrom="paragraph">
              <wp:posOffset>101600</wp:posOffset>
            </wp:positionV>
            <wp:extent cx="3239770" cy="3960000"/>
            <wp:effectExtent l="0" t="0" r="17780" b="2540"/>
            <wp:wrapNone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1766D213-CBA2-43A5-8985-DFB3E7B40E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5CA8C" w14:textId="64578D20" w:rsidR="00C50D57" w:rsidRDefault="00C50D57" w:rsidP="00F216F7"/>
    <w:p w14:paraId="0565B1D9" w14:textId="6ABF27BC" w:rsidR="00C50D57" w:rsidRDefault="00C50D57" w:rsidP="00F216F7"/>
    <w:p w14:paraId="0F2D26F4" w14:textId="68D1937D" w:rsidR="00C50D57" w:rsidRDefault="00C50D57" w:rsidP="00F216F7"/>
    <w:p w14:paraId="6719A8DA" w14:textId="5F2EBC33" w:rsidR="00C50D57" w:rsidRDefault="00C50D57" w:rsidP="00F216F7"/>
    <w:p w14:paraId="7A11F1F6" w14:textId="239316F2" w:rsidR="00C50D57" w:rsidRDefault="004C4DDB" w:rsidP="00F216F7">
      <w:r>
        <w:rPr>
          <w:noProof/>
        </w:rPr>
        <w:drawing>
          <wp:anchor distT="0" distB="0" distL="114300" distR="114300" simplePos="0" relativeHeight="251658240" behindDoc="0" locked="0" layoutInCell="1" allowOverlap="1" wp14:anchorId="7FF6870C" wp14:editId="2C883E9D">
            <wp:simplePos x="0" y="0"/>
            <wp:positionH relativeFrom="column">
              <wp:posOffset>3959762</wp:posOffset>
            </wp:positionH>
            <wp:positionV relativeFrom="paragraph">
              <wp:posOffset>51874</wp:posOffset>
            </wp:positionV>
            <wp:extent cx="1835785" cy="647065"/>
            <wp:effectExtent l="0" t="0" r="0" b="63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6490F6" w14:textId="3FE17FBA" w:rsidR="00C50D57" w:rsidRDefault="00C50D57" w:rsidP="00F216F7"/>
    <w:p w14:paraId="2AD87655" w14:textId="22FB0DE2" w:rsidR="00C50D57" w:rsidRDefault="00C50D57" w:rsidP="00F216F7"/>
    <w:p w14:paraId="3C9F6A75" w14:textId="6EC8AC9E" w:rsidR="00C50D57" w:rsidRDefault="00C50D57" w:rsidP="00F216F7"/>
    <w:p w14:paraId="55CE9027" w14:textId="6037A3FA" w:rsidR="00C50D57" w:rsidRDefault="00C50D57" w:rsidP="00F216F7"/>
    <w:p w14:paraId="06D137C1" w14:textId="3B81FF8C" w:rsidR="00C50D57" w:rsidRDefault="00C50D57" w:rsidP="00F216F7"/>
    <w:p w14:paraId="02564687" w14:textId="24B613B8" w:rsidR="00C50D57" w:rsidRDefault="00C50D57" w:rsidP="00F216F7"/>
    <w:p w14:paraId="1B37E799" w14:textId="4ABC8996" w:rsidR="00C50D57" w:rsidRDefault="00C50D57" w:rsidP="00F216F7"/>
    <w:p w14:paraId="3DF71164" w14:textId="1F231378" w:rsidR="00C50D57" w:rsidRDefault="00C50D57" w:rsidP="00F216F7"/>
    <w:p w14:paraId="50CE5933" w14:textId="1740ECC5" w:rsidR="00C50D57" w:rsidRDefault="00C50D57" w:rsidP="00F216F7"/>
    <w:p w14:paraId="30C802FB" w14:textId="5B838B7E" w:rsidR="00C50D57" w:rsidRDefault="005F3609" w:rsidP="00F216F7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C09612" wp14:editId="2773C01B">
                <wp:simplePos x="0" y="0"/>
                <wp:positionH relativeFrom="margin">
                  <wp:align>left</wp:align>
                </wp:positionH>
                <wp:positionV relativeFrom="paragraph">
                  <wp:posOffset>15019</wp:posOffset>
                </wp:positionV>
                <wp:extent cx="6076950" cy="63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493C64" w14:textId="471F7A86" w:rsidR="000E46E0" w:rsidRPr="00FC2544" w:rsidRDefault="000E46E0" w:rsidP="000E46E0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B03CE3">
                                <w:rPr>
                                  <w:noProof/>
                                </w:rPr>
                                <w:t>5</w:t>
                              </w:r>
                            </w:fldSimple>
                            <w:r>
                              <w:t>: A comparison of the simple model with the old linear regression model at predicting the</w:t>
                            </w:r>
                            <w:r w:rsidR="00D24AF5">
                              <w:t xml:space="preserve"> prescription spend in 2018/19, 2019/20 and 2020/21 using data from the previous 5 years.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09612" id="Text Box 9" o:spid="_x0000_s1027" type="#_x0000_t202" style="position:absolute;margin-left:0;margin-top:1.2pt;width:478.5pt;height:.05pt;z-index: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" stroked="f">
                <v:textbox style="mso-fit-shape-to-text:t" inset="0,0,0,0">
                  <w:txbxContent>
                    <w:p w14:paraId="44493C64" w14:textId="471F7A86" w:rsidR="000E46E0" w:rsidRPr="00FC2544" w:rsidRDefault="000E46E0" w:rsidP="000E46E0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B03CE3">
                          <w:rPr>
                            <w:noProof/>
                          </w:rPr>
                          <w:t>5</w:t>
                        </w:r>
                      </w:fldSimple>
                      <w:r>
                        <w:t>: A comparison of the simple model with the old linear regression model at predicting the</w:t>
                      </w:r>
                      <w:r w:rsidR="00D24AF5">
                        <w:t xml:space="preserve"> prescription spend in 2018/19, 2019/20 and 2020/21 using data from the previous 5 years.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75437" w14:textId="619458B3" w:rsidR="00D7028D" w:rsidRDefault="00D7028D" w:rsidP="00C24EAD"/>
    <w:p w14:paraId="1395980F" w14:textId="36DEAD53" w:rsidR="00C24EAD" w:rsidRDefault="00C24EAD" w:rsidP="00C24EAD">
      <w:pPr>
        <w:pStyle w:val="Caption"/>
        <w:keepNext/>
      </w:pPr>
      <w:bookmarkStart w:id="5" w:name="_Ref97714210"/>
      <w:r>
        <w:lastRenderedPageBreak/>
        <w:t xml:space="preserve">Table </w:t>
      </w:r>
      <w:r w:rsidR="00D2351B">
        <w:fldChar w:fldCharType="begin"/>
      </w:r>
      <w:r w:rsidR="00D2351B">
        <w:instrText xml:space="preserve"> SEQ Table \* ARABIC </w:instrText>
      </w:r>
      <w:r w:rsidR="00D2351B">
        <w:fldChar w:fldCharType="separate"/>
      </w:r>
      <w:r w:rsidR="00CE5DB1">
        <w:rPr>
          <w:noProof/>
        </w:rPr>
        <w:t>3</w:t>
      </w:r>
      <w:r w:rsidR="00D2351B">
        <w:rPr>
          <w:noProof/>
        </w:rPr>
        <w:fldChar w:fldCharType="end"/>
      </w:r>
      <w:bookmarkEnd w:id="5"/>
      <w:r>
        <w:t xml:space="preserve">: The greatest percentage difference between the forecast </w:t>
      </w:r>
      <w:proofErr w:type="gramStart"/>
      <w:r>
        <w:t>spend</w:t>
      </w:r>
      <w:proofErr w:type="gramEnd"/>
      <w:r>
        <w:t xml:space="preserve"> in each financial year and the minimum/maximum spend </w:t>
      </w:r>
      <w:r w:rsidR="006D7DF3">
        <w:t>for any given</w:t>
      </w:r>
      <w:r>
        <w:t xml:space="preserve"> month over the previous 5 years</w:t>
      </w:r>
      <w:r w:rsidR="005B5BFC">
        <w:t xml:space="preserve"> for the simple model (top) and linear regression model (bottom)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45"/>
        <w:gridCol w:w="2094"/>
        <w:gridCol w:w="2094"/>
        <w:gridCol w:w="2094"/>
      </w:tblGrid>
      <w:tr w:rsidR="007D5B37" w14:paraId="4F15F6C3" w14:textId="77777777" w:rsidTr="00066F74">
        <w:tc>
          <w:tcPr>
            <w:tcW w:w="8656" w:type="dxa"/>
            <w:gridSpan w:val="5"/>
            <w:shd w:val="clear" w:color="auto" w:fill="D0CECE" w:themeFill="background2" w:themeFillShade="E6"/>
          </w:tcPr>
          <w:p w14:paraId="30412ADC" w14:textId="74F27326" w:rsidR="007D5B37" w:rsidRPr="007D5B37" w:rsidRDefault="007D5B37" w:rsidP="007D5B37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7D5B37">
              <w:rPr>
                <w:b/>
                <w:bCs/>
              </w:rPr>
              <w:t>Simple Model</w:t>
            </w:r>
          </w:p>
        </w:tc>
      </w:tr>
      <w:tr w:rsidR="00C13842" w14:paraId="5DF1F08C" w14:textId="77777777" w:rsidTr="00892EF4">
        <w:tc>
          <w:tcPr>
            <w:tcW w:w="2374" w:type="dxa"/>
            <w:gridSpan w:val="2"/>
          </w:tcPr>
          <w:p w14:paraId="102BA39D" w14:textId="77777777" w:rsidR="00C13842" w:rsidRDefault="00C13842" w:rsidP="00D7028D">
            <w:pPr>
              <w:pStyle w:val="ListParagraph"/>
              <w:ind w:left="0"/>
              <w:contextualSpacing w:val="0"/>
            </w:pPr>
          </w:p>
        </w:tc>
        <w:tc>
          <w:tcPr>
            <w:tcW w:w="2094" w:type="dxa"/>
          </w:tcPr>
          <w:p w14:paraId="753082D1" w14:textId="69B1C4E2" w:rsidR="00C13842" w:rsidRDefault="00C13842" w:rsidP="00892EF4">
            <w:pPr>
              <w:pStyle w:val="ListParagraph"/>
              <w:ind w:left="0"/>
              <w:contextualSpacing w:val="0"/>
              <w:jc w:val="center"/>
            </w:pPr>
            <w:r>
              <w:t>2018/19</w:t>
            </w:r>
          </w:p>
        </w:tc>
        <w:tc>
          <w:tcPr>
            <w:tcW w:w="2094" w:type="dxa"/>
          </w:tcPr>
          <w:p w14:paraId="32DB70FC" w14:textId="01669E68" w:rsidR="00C13842" w:rsidRDefault="00C13842" w:rsidP="00892EF4">
            <w:pPr>
              <w:pStyle w:val="ListParagraph"/>
              <w:ind w:left="0"/>
              <w:contextualSpacing w:val="0"/>
              <w:jc w:val="center"/>
            </w:pPr>
            <w:r>
              <w:t>2019/20</w:t>
            </w:r>
          </w:p>
        </w:tc>
        <w:tc>
          <w:tcPr>
            <w:tcW w:w="2094" w:type="dxa"/>
          </w:tcPr>
          <w:p w14:paraId="61178263" w14:textId="36F9A4E6" w:rsidR="00C13842" w:rsidRDefault="00C13842" w:rsidP="00892EF4">
            <w:pPr>
              <w:pStyle w:val="ListParagraph"/>
              <w:ind w:left="0"/>
              <w:contextualSpacing w:val="0"/>
              <w:jc w:val="center"/>
            </w:pPr>
            <w:r>
              <w:t>2020/21</w:t>
            </w:r>
          </w:p>
        </w:tc>
      </w:tr>
      <w:tr w:rsidR="00DC530E" w14:paraId="6D31C93C" w14:textId="77777777" w:rsidTr="00892EF4">
        <w:tc>
          <w:tcPr>
            <w:tcW w:w="2374" w:type="dxa"/>
            <w:gridSpan w:val="2"/>
          </w:tcPr>
          <w:p w14:paraId="25A609DF" w14:textId="5C5211D8" w:rsidR="00DC530E" w:rsidRDefault="006E350E" w:rsidP="00DC530E">
            <w:pPr>
              <w:pStyle w:val="ListParagraph"/>
              <w:ind w:left="0"/>
              <w:contextualSpacing w:val="0"/>
            </w:pPr>
            <w:r>
              <w:t>Largest %</w:t>
            </w:r>
            <w:r w:rsidR="00DC530E">
              <w:t xml:space="preserve"> below minimum</w:t>
            </w:r>
            <w:r w:rsidR="006D7DF3">
              <w:t xml:space="preserve"> for any given month</w:t>
            </w:r>
          </w:p>
        </w:tc>
        <w:tc>
          <w:tcPr>
            <w:tcW w:w="2094" w:type="dxa"/>
            <w:vAlign w:val="center"/>
          </w:tcPr>
          <w:p w14:paraId="6DD56FC6" w14:textId="04CC2BEB" w:rsidR="00DC530E" w:rsidRDefault="00DC530E" w:rsidP="00571401">
            <w:pPr>
              <w:pStyle w:val="ListParagraph"/>
              <w:ind w:left="0"/>
              <w:contextualSpacing w:val="0"/>
              <w:jc w:val="center"/>
            </w:pPr>
            <w:r>
              <w:rPr>
                <w:rFonts w:ascii="Calibri" w:hAnsi="Calibri" w:cs="Calibri"/>
                <w:color w:val="000000"/>
              </w:rPr>
              <w:t>-3.7%</w:t>
            </w:r>
          </w:p>
        </w:tc>
        <w:tc>
          <w:tcPr>
            <w:tcW w:w="2094" w:type="dxa"/>
            <w:vAlign w:val="center"/>
          </w:tcPr>
          <w:p w14:paraId="34647C80" w14:textId="27BD8F18" w:rsidR="00DC530E" w:rsidRDefault="00DC530E" w:rsidP="00571401">
            <w:pPr>
              <w:pStyle w:val="ListParagraph"/>
              <w:ind w:left="0"/>
              <w:contextualSpacing w:val="0"/>
              <w:jc w:val="center"/>
            </w:pPr>
            <w:r>
              <w:rPr>
                <w:rFonts w:ascii="Calibri" w:hAnsi="Calibri" w:cs="Calibri"/>
                <w:color w:val="000000"/>
              </w:rPr>
              <w:t>None below minimum</w:t>
            </w:r>
          </w:p>
        </w:tc>
        <w:tc>
          <w:tcPr>
            <w:tcW w:w="2094" w:type="dxa"/>
            <w:vAlign w:val="center"/>
          </w:tcPr>
          <w:p w14:paraId="302DEEE0" w14:textId="2E275274" w:rsidR="00DC530E" w:rsidRDefault="00DC530E" w:rsidP="00571401">
            <w:pPr>
              <w:pStyle w:val="ListParagraph"/>
              <w:ind w:left="0"/>
              <w:contextualSpacing w:val="0"/>
              <w:jc w:val="center"/>
            </w:pPr>
            <w:r>
              <w:rPr>
                <w:rFonts w:ascii="Calibri" w:hAnsi="Calibri" w:cs="Calibri"/>
                <w:color w:val="000000"/>
              </w:rPr>
              <w:t>None below minimum</w:t>
            </w:r>
          </w:p>
        </w:tc>
      </w:tr>
      <w:tr w:rsidR="00DC530E" w14:paraId="5589EB4D" w14:textId="77777777" w:rsidTr="00892EF4">
        <w:tc>
          <w:tcPr>
            <w:tcW w:w="2374" w:type="dxa"/>
            <w:gridSpan w:val="2"/>
          </w:tcPr>
          <w:p w14:paraId="2A01F60A" w14:textId="4FFC27D8" w:rsidR="00DC530E" w:rsidRDefault="006E350E" w:rsidP="00DC530E">
            <w:pPr>
              <w:pStyle w:val="ListParagraph"/>
              <w:ind w:left="0"/>
              <w:contextualSpacing w:val="0"/>
            </w:pPr>
            <w:r>
              <w:t>Largest %</w:t>
            </w:r>
            <w:r w:rsidR="00DC530E">
              <w:t xml:space="preserve"> above maximum</w:t>
            </w:r>
            <w:r w:rsidR="006D7DF3">
              <w:t xml:space="preserve"> for any given month</w:t>
            </w:r>
          </w:p>
        </w:tc>
        <w:tc>
          <w:tcPr>
            <w:tcW w:w="2094" w:type="dxa"/>
            <w:vAlign w:val="center"/>
          </w:tcPr>
          <w:p w14:paraId="28489F32" w14:textId="3592F19A" w:rsidR="00DC530E" w:rsidRDefault="00DC530E" w:rsidP="00571401">
            <w:pPr>
              <w:pStyle w:val="ListParagraph"/>
              <w:ind w:left="0"/>
              <w:contextualSpacing w:val="0"/>
              <w:jc w:val="center"/>
            </w:pPr>
            <w:r>
              <w:rPr>
                <w:rFonts w:ascii="Calibri" w:hAnsi="Calibri" w:cs="Calibri"/>
                <w:color w:val="000000"/>
              </w:rPr>
              <w:t>None above maximum</w:t>
            </w:r>
          </w:p>
        </w:tc>
        <w:tc>
          <w:tcPr>
            <w:tcW w:w="2094" w:type="dxa"/>
            <w:vAlign w:val="center"/>
          </w:tcPr>
          <w:p w14:paraId="3EACBC28" w14:textId="450AF0CB" w:rsidR="00DC530E" w:rsidRDefault="00DC530E" w:rsidP="00571401">
            <w:pPr>
              <w:pStyle w:val="ListParagraph"/>
              <w:ind w:left="0"/>
              <w:contextualSpacing w:val="0"/>
              <w:jc w:val="center"/>
            </w:pPr>
            <w:r>
              <w:rPr>
                <w:rFonts w:ascii="Calibri" w:hAnsi="Calibri" w:cs="Calibri"/>
                <w:color w:val="000000"/>
              </w:rPr>
              <w:t>2.</w:t>
            </w:r>
            <w:r w:rsidR="007F6315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094" w:type="dxa"/>
            <w:vAlign w:val="center"/>
          </w:tcPr>
          <w:p w14:paraId="05101889" w14:textId="5E07E00B" w:rsidR="00DC530E" w:rsidRDefault="007F6315" w:rsidP="00571401">
            <w:pPr>
              <w:pStyle w:val="ListParagraph"/>
              <w:ind w:left="0"/>
              <w:contextualSpacing w:val="0"/>
              <w:jc w:val="center"/>
            </w:pPr>
            <w:r>
              <w:rPr>
                <w:rFonts w:ascii="Calibri" w:hAnsi="Calibri" w:cs="Calibri"/>
                <w:color w:val="000000"/>
              </w:rPr>
              <w:t>2.5</w:t>
            </w:r>
            <w:r w:rsidR="00DC530E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6E350E" w14:paraId="27991105" w14:textId="77777777" w:rsidTr="004F7F89">
        <w:tc>
          <w:tcPr>
            <w:tcW w:w="8656" w:type="dxa"/>
            <w:gridSpan w:val="5"/>
          </w:tcPr>
          <w:p w14:paraId="5B3BFE56" w14:textId="753FECFE" w:rsidR="006E350E" w:rsidRDefault="006E350E" w:rsidP="00D7028D">
            <w:pPr>
              <w:pStyle w:val="ListParagraph"/>
              <w:ind w:left="0"/>
              <w:contextualSpacing w:val="0"/>
            </w:pPr>
          </w:p>
        </w:tc>
      </w:tr>
      <w:tr w:rsidR="006E350E" w14:paraId="3A79C07A" w14:textId="77777777" w:rsidTr="00212954">
        <w:tc>
          <w:tcPr>
            <w:tcW w:w="4468" w:type="dxa"/>
            <w:gridSpan w:val="3"/>
            <w:vMerge w:val="restart"/>
          </w:tcPr>
          <w:p w14:paraId="39126907" w14:textId="77777777" w:rsidR="006E350E" w:rsidRDefault="006E350E" w:rsidP="00D7028D">
            <w:pPr>
              <w:pStyle w:val="ListParagraph"/>
              <w:ind w:left="0"/>
              <w:contextualSpacing w:val="0"/>
            </w:pPr>
          </w:p>
        </w:tc>
        <w:tc>
          <w:tcPr>
            <w:tcW w:w="2094" w:type="dxa"/>
          </w:tcPr>
          <w:p w14:paraId="7EABE0C2" w14:textId="2A582F14" w:rsidR="006E350E" w:rsidRPr="001F15C2" w:rsidRDefault="001F15C2" w:rsidP="00D7028D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1F15C2">
              <w:rPr>
                <w:b/>
                <w:bCs/>
              </w:rPr>
              <w:t>Largest % below minimum</w:t>
            </w:r>
          </w:p>
        </w:tc>
        <w:tc>
          <w:tcPr>
            <w:tcW w:w="2094" w:type="dxa"/>
            <w:vAlign w:val="center"/>
          </w:tcPr>
          <w:p w14:paraId="1253F8BA" w14:textId="32D8867B" w:rsidR="006E350E" w:rsidRPr="002D2FEA" w:rsidRDefault="006E350E" w:rsidP="00212954">
            <w:pPr>
              <w:pStyle w:val="ListParagraph"/>
              <w:ind w:left="0"/>
              <w:contextualSpacing w:val="0"/>
              <w:jc w:val="center"/>
              <w:rPr>
                <w:b/>
                <w:bCs/>
              </w:rPr>
            </w:pPr>
            <w:r w:rsidRPr="002D2FEA">
              <w:rPr>
                <w:b/>
                <w:bCs/>
              </w:rPr>
              <w:t>-3.7%</w:t>
            </w:r>
          </w:p>
        </w:tc>
      </w:tr>
      <w:tr w:rsidR="006E350E" w14:paraId="62362A6C" w14:textId="77777777" w:rsidTr="00212954">
        <w:tc>
          <w:tcPr>
            <w:tcW w:w="4468" w:type="dxa"/>
            <w:gridSpan w:val="3"/>
            <w:vMerge/>
          </w:tcPr>
          <w:p w14:paraId="605CBFB3" w14:textId="77777777" w:rsidR="006E350E" w:rsidRDefault="006E350E" w:rsidP="00D7028D">
            <w:pPr>
              <w:pStyle w:val="ListParagraph"/>
              <w:ind w:left="0"/>
              <w:contextualSpacing w:val="0"/>
            </w:pPr>
          </w:p>
        </w:tc>
        <w:tc>
          <w:tcPr>
            <w:tcW w:w="2094" w:type="dxa"/>
          </w:tcPr>
          <w:p w14:paraId="6133285E" w14:textId="2E88CD46" w:rsidR="006E350E" w:rsidRPr="001F15C2" w:rsidRDefault="001F15C2" w:rsidP="00D7028D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1F15C2">
              <w:rPr>
                <w:b/>
                <w:bCs/>
              </w:rPr>
              <w:t>Largest % above maximum</w:t>
            </w:r>
          </w:p>
        </w:tc>
        <w:tc>
          <w:tcPr>
            <w:tcW w:w="2094" w:type="dxa"/>
            <w:vAlign w:val="center"/>
          </w:tcPr>
          <w:p w14:paraId="02A07F09" w14:textId="26E97B7C" w:rsidR="006E350E" w:rsidRPr="002D2FEA" w:rsidRDefault="007F6315" w:rsidP="00212954">
            <w:pPr>
              <w:pStyle w:val="ListParagraph"/>
              <w:ind w:left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6E350E" w:rsidRPr="002D2FEA">
              <w:rPr>
                <w:b/>
                <w:bCs/>
              </w:rPr>
              <w:t>%</w:t>
            </w:r>
          </w:p>
        </w:tc>
      </w:tr>
      <w:tr w:rsidR="007D5B37" w14:paraId="37F8834B" w14:textId="77777777" w:rsidTr="00066F74">
        <w:tc>
          <w:tcPr>
            <w:tcW w:w="8656" w:type="dxa"/>
            <w:gridSpan w:val="5"/>
            <w:shd w:val="clear" w:color="auto" w:fill="D0CECE" w:themeFill="background2" w:themeFillShade="E6"/>
          </w:tcPr>
          <w:p w14:paraId="701A31E1" w14:textId="293A37F9" w:rsidR="007D5B37" w:rsidRPr="007D5B37" w:rsidRDefault="007D5B37" w:rsidP="00D7028D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7D5B37">
              <w:rPr>
                <w:b/>
                <w:bCs/>
              </w:rPr>
              <w:t>Linear Regression model</w:t>
            </w:r>
          </w:p>
        </w:tc>
      </w:tr>
      <w:tr w:rsidR="000A30B6" w14:paraId="3B9837E5" w14:textId="77777777" w:rsidTr="00892EF4">
        <w:tc>
          <w:tcPr>
            <w:tcW w:w="2329" w:type="dxa"/>
          </w:tcPr>
          <w:p w14:paraId="5B2005C1" w14:textId="77777777" w:rsidR="000A30B6" w:rsidRDefault="000A30B6" w:rsidP="000A30B6">
            <w:pPr>
              <w:pStyle w:val="ListParagraph"/>
              <w:ind w:left="0"/>
              <w:contextualSpacing w:val="0"/>
            </w:pPr>
          </w:p>
        </w:tc>
        <w:tc>
          <w:tcPr>
            <w:tcW w:w="2139" w:type="dxa"/>
            <w:gridSpan w:val="2"/>
          </w:tcPr>
          <w:p w14:paraId="6FCF9C89" w14:textId="3DEFEAC3" w:rsidR="000A30B6" w:rsidRDefault="000A30B6" w:rsidP="00892EF4">
            <w:pPr>
              <w:pStyle w:val="ListParagraph"/>
              <w:ind w:left="0"/>
              <w:contextualSpacing w:val="0"/>
              <w:jc w:val="center"/>
            </w:pPr>
            <w:r>
              <w:t>2018/19</w:t>
            </w:r>
          </w:p>
        </w:tc>
        <w:tc>
          <w:tcPr>
            <w:tcW w:w="2094" w:type="dxa"/>
          </w:tcPr>
          <w:p w14:paraId="0AB51B8C" w14:textId="380E0D30" w:rsidR="000A30B6" w:rsidRPr="001F15C2" w:rsidRDefault="000A30B6" w:rsidP="00892EF4">
            <w:pPr>
              <w:pStyle w:val="ListParagraph"/>
              <w:ind w:left="0"/>
              <w:contextualSpacing w:val="0"/>
              <w:jc w:val="center"/>
              <w:rPr>
                <w:b/>
                <w:bCs/>
              </w:rPr>
            </w:pPr>
            <w:r>
              <w:t>2019/20</w:t>
            </w:r>
          </w:p>
        </w:tc>
        <w:tc>
          <w:tcPr>
            <w:tcW w:w="2094" w:type="dxa"/>
          </w:tcPr>
          <w:p w14:paraId="60EE935D" w14:textId="0E1CB5D2" w:rsidR="000A30B6" w:rsidRPr="002D2FEA" w:rsidRDefault="000A30B6" w:rsidP="00892EF4">
            <w:pPr>
              <w:pStyle w:val="ListParagraph"/>
              <w:ind w:left="0"/>
              <w:contextualSpacing w:val="0"/>
              <w:jc w:val="center"/>
              <w:rPr>
                <w:b/>
                <w:bCs/>
              </w:rPr>
            </w:pPr>
            <w:r>
              <w:t>2020/21</w:t>
            </w:r>
          </w:p>
        </w:tc>
      </w:tr>
      <w:tr w:rsidR="00571401" w14:paraId="155E1013" w14:textId="77777777" w:rsidTr="00892EF4">
        <w:tc>
          <w:tcPr>
            <w:tcW w:w="2329" w:type="dxa"/>
          </w:tcPr>
          <w:p w14:paraId="2F7346CF" w14:textId="7E77E26C" w:rsidR="00571401" w:rsidRDefault="00571401" w:rsidP="00571401">
            <w:pPr>
              <w:pStyle w:val="ListParagraph"/>
              <w:ind w:left="0"/>
              <w:contextualSpacing w:val="0"/>
            </w:pPr>
            <w:r>
              <w:t>Largest % below minimum for any given month</w:t>
            </w:r>
          </w:p>
        </w:tc>
        <w:tc>
          <w:tcPr>
            <w:tcW w:w="2139" w:type="dxa"/>
            <w:gridSpan w:val="2"/>
            <w:vAlign w:val="center"/>
          </w:tcPr>
          <w:p w14:paraId="6A15FC1D" w14:textId="68A572D3" w:rsidR="00571401" w:rsidRDefault="00571401" w:rsidP="00571401">
            <w:pPr>
              <w:pStyle w:val="ListParagraph"/>
              <w:ind w:left="0"/>
              <w:contextualSpacing w:val="0"/>
              <w:jc w:val="center"/>
            </w:pPr>
            <w:r>
              <w:rPr>
                <w:rFonts w:ascii="Calibri" w:hAnsi="Calibri" w:cs="Calibri"/>
                <w:color w:val="000000"/>
              </w:rPr>
              <w:t>None below minimum</w:t>
            </w:r>
          </w:p>
        </w:tc>
        <w:tc>
          <w:tcPr>
            <w:tcW w:w="2094" w:type="dxa"/>
            <w:vAlign w:val="center"/>
          </w:tcPr>
          <w:p w14:paraId="6875D30D" w14:textId="341111DB" w:rsidR="00571401" w:rsidRPr="001F15C2" w:rsidRDefault="00571401" w:rsidP="00571401">
            <w:pPr>
              <w:pStyle w:val="ListParagraph"/>
              <w:ind w:left="0"/>
              <w:contextualSpacing w:val="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None below minimum</w:t>
            </w:r>
          </w:p>
        </w:tc>
        <w:tc>
          <w:tcPr>
            <w:tcW w:w="2094" w:type="dxa"/>
            <w:vAlign w:val="center"/>
          </w:tcPr>
          <w:p w14:paraId="0B2E96DB" w14:textId="0DE6BF73" w:rsidR="00571401" w:rsidRPr="002D2FEA" w:rsidRDefault="00571401" w:rsidP="00571401">
            <w:pPr>
              <w:pStyle w:val="ListParagraph"/>
              <w:ind w:left="0"/>
              <w:contextualSpacing w:val="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None below minimum</w:t>
            </w:r>
          </w:p>
        </w:tc>
      </w:tr>
      <w:tr w:rsidR="00571401" w14:paraId="17BDBCC4" w14:textId="77777777" w:rsidTr="00892EF4">
        <w:tc>
          <w:tcPr>
            <w:tcW w:w="2329" w:type="dxa"/>
          </w:tcPr>
          <w:p w14:paraId="39E6D0C7" w14:textId="684B5DCA" w:rsidR="00571401" w:rsidRDefault="00571401" w:rsidP="00571401">
            <w:pPr>
              <w:pStyle w:val="ListParagraph"/>
              <w:ind w:left="0"/>
              <w:contextualSpacing w:val="0"/>
            </w:pPr>
            <w:r>
              <w:t>Largest % above maximum for any given month</w:t>
            </w:r>
          </w:p>
        </w:tc>
        <w:tc>
          <w:tcPr>
            <w:tcW w:w="2139" w:type="dxa"/>
            <w:gridSpan w:val="2"/>
            <w:vAlign w:val="center"/>
          </w:tcPr>
          <w:p w14:paraId="243FCA41" w14:textId="19B5F7A4" w:rsidR="00571401" w:rsidRDefault="00571401" w:rsidP="00571401">
            <w:pPr>
              <w:pStyle w:val="ListParagraph"/>
              <w:ind w:left="0"/>
              <w:contextualSpacing w:val="0"/>
              <w:jc w:val="center"/>
            </w:pPr>
            <w:r>
              <w:rPr>
                <w:rFonts w:ascii="Calibri" w:hAnsi="Calibri" w:cs="Calibri"/>
                <w:color w:val="000000"/>
              </w:rPr>
              <w:t>4.0%</w:t>
            </w:r>
          </w:p>
        </w:tc>
        <w:tc>
          <w:tcPr>
            <w:tcW w:w="2094" w:type="dxa"/>
            <w:vAlign w:val="center"/>
          </w:tcPr>
          <w:p w14:paraId="3E3EDA0F" w14:textId="32C9EC3F" w:rsidR="00571401" w:rsidRPr="001F15C2" w:rsidRDefault="00571401" w:rsidP="00571401">
            <w:pPr>
              <w:pStyle w:val="ListParagraph"/>
              <w:ind w:left="0"/>
              <w:contextualSpacing w:val="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1.6%</w:t>
            </w:r>
          </w:p>
        </w:tc>
        <w:tc>
          <w:tcPr>
            <w:tcW w:w="2094" w:type="dxa"/>
            <w:vAlign w:val="center"/>
          </w:tcPr>
          <w:p w14:paraId="0C403F01" w14:textId="16E66B5C" w:rsidR="00571401" w:rsidRPr="002D2FEA" w:rsidRDefault="007F6315" w:rsidP="00571401">
            <w:pPr>
              <w:pStyle w:val="ListParagraph"/>
              <w:ind w:left="0"/>
              <w:contextualSpacing w:val="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  <w:r w:rsidR="00571401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571401" w14:paraId="69376295" w14:textId="77777777" w:rsidTr="00D13089">
        <w:tc>
          <w:tcPr>
            <w:tcW w:w="8656" w:type="dxa"/>
            <w:gridSpan w:val="5"/>
          </w:tcPr>
          <w:p w14:paraId="1B676917" w14:textId="77777777" w:rsidR="00571401" w:rsidRPr="002D2FEA" w:rsidRDefault="00571401" w:rsidP="00571401">
            <w:pPr>
              <w:pStyle w:val="ListParagraph"/>
              <w:ind w:left="0"/>
              <w:contextualSpacing w:val="0"/>
              <w:rPr>
                <w:b/>
                <w:bCs/>
              </w:rPr>
            </w:pPr>
          </w:p>
        </w:tc>
      </w:tr>
      <w:tr w:rsidR="00571401" w14:paraId="057A2CA8" w14:textId="77777777" w:rsidTr="00212954">
        <w:tc>
          <w:tcPr>
            <w:tcW w:w="4468" w:type="dxa"/>
            <w:gridSpan w:val="3"/>
            <w:vMerge w:val="restart"/>
          </w:tcPr>
          <w:p w14:paraId="37DEC991" w14:textId="29A83B2D" w:rsidR="00571401" w:rsidRDefault="00571401" w:rsidP="00571401">
            <w:pPr>
              <w:pStyle w:val="ListParagraph"/>
              <w:ind w:left="0"/>
              <w:contextualSpacing w:val="0"/>
            </w:pPr>
          </w:p>
        </w:tc>
        <w:tc>
          <w:tcPr>
            <w:tcW w:w="2094" w:type="dxa"/>
          </w:tcPr>
          <w:p w14:paraId="78E78189" w14:textId="115ED832" w:rsidR="00571401" w:rsidRPr="001F15C2" w:rsidRDefault="00571401" w:rsidP="00571401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1F15C2">
              <w:rPr>
                <w:b/>
                <w:bCs/>
              </w:rPr>
              <w:t>Largest % below minimum</w:t>
            </w:r>
          </w:p>
        </w:tc>
        <w:tc>
          <w:tcPr>
            <w:tcW w:w="2094" w:type="dxa"/>
            <w:vAlign w:val="center"/>
          </w:tcPr>
          <w:p w14:paraId="64615802" w14:textId="2BB6DD36" w:rsidR="00571401" w:rsidRPr="002D2FEA" w:rsidRDefault="00EB7E6F" w:rsidP="00212954">
            <w:pPr>
              <w:pStyle w:val="ListParagraph"/>
              <w:ind w:left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None below minimum</w:t>
            </w:r>
          </w:p>
        </w:tc>
      </w:tr>
      <w:tr w:rsidR="00571401" w14:paraId="67AF7074" w14:textId="77777777" w:rsidTr="00212954">
        <w:tc>
          <w:tcPr>
            <w:tcW w:w="4468" w:type="dxa"/>
            <w:gridSpan w:val="3"/>
            <w:vMerge/>
          </w:tcPr>
          <w:p w14:paraId="25BBF3B6" w14:textId="77777777" w:rsidR="00571401" w:rsidRDefault="00571401" w:rsidP="00571401">
            <w:pPr>
              <w:pStyle w:val="ListParagraph"/>
              <w:ind w:left="0"/>
              <w:contextualSpacing w:val="0"/>
            </w:pPr>
          </w:p>
        </w:tc>
        <w:tc>
          <w:tcPr>
            <w:tcW w:w="2094" w:type="dxa"/>
          </w:tcPr>
          <w:p w14:paraId="368166CF" w14:textId="43405846" w:rsidR="00571401" w:rsidRPr="001F15C2" w:rsidRDefault="00571401" w:rsidP="00571401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1F15C2">
              <w:rPr>
                <w:b/>
                <w:bCs/>
              </w:rPr>
              <w:t>Largest % above maximum</w:t>
            </w:r>
          </w:p>
        </w:tc>
        <w:tc>
          <w:tcPr>
            <w:tcW w:w="2094" w:type="dxa"/>
            <w:vAlign w:val="center"/>
          </w:tcPr>
          <w:p w14:paraId="1D51D6F0" w14:textId="11B09A7F" w:rsidR="00571401" w:rsidRPr="002D2FEA" w:rsidRDefault="00303583" w:rsidP="00212954">
            <w:pPr>
              <w:pStyle w:val="ListParagraph"/>
              <w:ind w:left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</w:t>
            </w:r>
            <w:r w:rsidR="008D07CF">
              <w:rPr>
                <w:b/>
                <w:bCs/>
              </w:rPr>
              <w:t>%</w:t>
            </w:r>
          </w:p>
        </w:tc>
      </w:tr>
    </w:tbl>
    <w:p w14:paraId="634AA552" w14:textId="77777777" w:rsidR="00D7028D" w:rsidRDefault="00D7028D" w:rsidP="00D7028D">
      <w:pPr>
        <w:pStyle w:val="ListParagraph"/>
        <w:ind w:left="360"/>
        <w:contextualSpacing w:val="0"/>
      </w:pPr>
    </w:p>
    <w:p w14:paraId="1286AAB5" w14:textId="75502846" w:rsidR="00586C71" w:rsidRDefault="00785140" w:rsidP="00A3353D">
      <w:pPr>
        <w:pStyle w:val="ListParagraph"/>
        <w:numPr>
          <w:ilvl w:val="0"/>
          <w:numId w:val="1"/>
        </w:numPr>
        <w:contextualSpacing w:val="0"/>
      </w:pPr>
      <w:proofErr w:type="gramStart"/>
      <w:r>
        <w:t>Generally speaking, the</w:t>
      </w:r>
      <w:proofErr w:type="gramEnd"/>
      <w:r>
        <w:t xml:space="preserve"> model is used to estimate the proportion of spend in each month. </w:t>
      </w:r>
      <w:r w:rsidR="00ED45B8">
        <w:fldChar w:fldCharType="begin"/>
      </w:r>
      <w:r w:rsidR="00ED45B8">
        <w:instrText xml:space="preserve"> REF _Ref97550054 \h </w:instrText>
      </w:r>
      <w:r w:rsidR="00ED45B8">
        <w:fldChar w:fldCharType="separate"/>
      </w:r>
      <w:r w:rsidR="005F3609">
        <w:t xml:space="preserve">Table </w:t>
      </w:r>
      <w:r w:rsidR="005F3609">
        <w:rPr>
          <w:noProof/>
        </w:rPr>
        <w:t>4</w:t>
      </w:r>
      <w:r w:rsidR="00ED45B8">
        <w:fldChar w:fldCharType="end"/>
      </w:r>
      <w:r w:rsidR="00586C71">
        <w:fldChar w:fldCharType="begin"/>
      </w:r>
      <w:r w:rsidR="00586C71">
        <w:instrText xml:space="preserve"> REF _Ref96592554 \h </w:instrText>
      </w:r>
      <w:r w:rsidR="00586C71">
        <w:fldChar w:fldCharType="end"/>
      </w:r>
      <w:r w:rsidR="00586C71">
        <w:t xml:space="preserve"> </w:t>
      </w:r>
      <w:r w:rsidR="009A1B1A">
        <w:t xml:space="preserve">and </w:t>
      </w:r>
      <w:r w:rsidR="00ED45B8">
        <w:fldChar w:fldCharType="begin"/>
      </w:r>
      <w:r w:rsidR="00ED45B8">
        <w:instrText xml:space="preserve"> REF _Ref96609982 \h </w:instrText>
      </w:r>
      <w:r w:rsidR="00ED45B8">
        <w:fldChar w:fldCharType="separate"/>
      </w:r>
      <w:r w:rsidR="005F3609">
        <w:t xml:space="preserve">Table </w:t>
      </w:r>
      <w:r w:rsidR="005F3609">
        <w:rPr>
          <w:noProof/>
        </w:rPr>
        <w:t>5</w:t>
      </w:r>
      <w:r w:rsidR="00ED45B8">
        <w:fldChar w:fldCharType="end"/>
      </w:r>
      <w:r w:rsidR="00ED45B8">
        <w:t xml:space="preserve"> </w:t>
      </w:r>
      <w:r w:rsidR="004A50D8">
        <w:t xml:space="preserve">show the proportion of spend </w:t>
      </w:r>
      <w:r w:rsidR="009A1B1A">
        <w:t>and cumulative proportion of spend each month respectively</w:t>
      </w:r>
      <w:r w:rsidR="004A50D8">
        <w:t xml:space="preserve"> for the true value</w:t>
      </w:r>
      <w:r w:rsidR="00586C71">
        <w:t>s</w:t>
      </w:r>
      <w:r w:rsidR="004A50D8">
        <w:t xml:space="preserve"> compared with the simple and linear regression model</w:t>
      </w:r>
      <w:r w:rsidR="00586C71">
        <w:t>s</w:t>
      </w:r>
      <w:r w:rsidR="009A1B1A">
        <w:t xml:space="preserve"> for 2018/19, 2019/20 and 2020/21</w:t>
      </w:r>
      <w:r w:rsidR="00DF5401">
        <w:t>.</w:t>
      </w:r>
    </w:p>
    <w:p w14:paraId="7AAAE950" w14:textId="1C51D59F" w:rsidR="00D95B04" w:rsidRDefault="00281C09" w:rsidP="00AD4A82">
      <w:pPr>
        <w:pStyle w:val="ListParagraph"/>
        <w:numPr>
          <w:ilvl w:val="0"/>
          <w:numId w:val="1"/>
        </w:numPr>
        <w:contextualSpacing w:val="0"/>
      </w:pPr>
      <w:proofErr w:type="gramStart"/>
      <w:r>
        <w:t>In order to</w:t>
      </w:r>
      <w:proofErr w:type="gramEnd"/>
      <w:r>
        <w:t xml:space="preserve"> determine how well the models are estimating the proportions of spend, w</w:t>
      </w:r>
      <w:r w:rsidR="00DF5401">
        <w:t xml:space="preserve">e have </w:t>
      </w:r>
      <w:r w:rsidR="00BB2DCC">
        <w:t>calculated</w:t>
      </w:r>
      <w:r w:rsidR="00DF5401">
        <w:t xml:space="preserve"> the </w:t>
      </w:r>
      <w:r w:rsidR="00865C0D">
        <w:t xml:space="preserve">sum of the absolute difference between </w:t>
      </w:r>
      <w:r w:rsidR="00DF5401">
        <w:t>each</w:t>
      </w:r>
      <w:r w:rsidR="00865C0D">
        <w:t xml:space="preserve"> model and </w:t>
      </w:r>
      <w:r w:rsidR="00DF5401">
        <w:t xml:space="preserve">the </w:t>
      </w:r>
      <w:r w:rsidR="00865C0D">
        <w:t xml:space="preserve">true </w:t>
      </w:r>
      <w:r w:rsidR="00DF5401">
        <w:t>value for each year (a lower value represents better agreement between the model and the true value).</w:t>
      </w:r>
      <w:r w:rsidR="00AD4A82">
        <w:t xml:space="preserve"> </w:t>
      </w:r>
    </w:p>
    <w:p w14:paraId="5EF84A65" w14:textId="2FB03F1F" w:rsidR="00C824E7" w:rsidRDefault="00AD4A82" w:rsidP="006C2E14">
      <w:pPr>
        <w:pStyle w:val="ListParagraph"/>
        <w:numPr>
          <w:ilvl w:val="0"/>
          <w:numId w:val="1"/>
        </w:numPr>
        <w:contextualSpacing w:val="0"/>
      </w:pPr>
      <w:r>
        <w:t xml:space="preserve">The sum of the absolute difference varies year-on year. The linear regression model </w:t>
      </w:r>
      <w:r w:rsidR="005078CC">
        <w:t>better estimates the proportions in 2018/19, the simple model better estimates the proportions in 2019/20, and there is very little difference in 2020/21.</w:t>
      </w:r>
    </w:p>
    <w:p w14:paraId="393BF984" w14:textId="4CDFFD51" w:rsidR="00C824E7" w:rsidRDefault="00C824E7" w:rsidP="00C824E7"/>
    <w:p w14:paraId="7E368168" w14:textId="0C0F7383" w:rsidR="00C824E7" w:rsidRDefault="00C824E7" w:rsidP="00C824E7"/>
    <w:p w14:paraId="47CF1E77" w14:textId="77777777" w:rsidR="00C824E7" w:rsidRDefault="00C824E7" w:rsidP="00C824E7"/>
    <w:p w14:paraId="505233A4" w14:textId="77777777" w:rsidR="00C824E7" w:rsidRDefault="00C824E7" w:rsidP="00D95B04">
      <w:pPr>
        <w:pStyle w:val="ListParagraph"/>
        <w:numPr>
          <w:ilvl w:val="0"/>
          <w:numId w:val="1"/>
        </w:numPr>
        <w:contextualSpacing w:val="0"/>
        <w:sectPr w:rsidR="00C824E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EB86EA1" w14:textId="19C3CBF7" w:rsidR="007361D9" w:rsidRDefault="007361D9" w:rsidP="007361D9">
      <w:pPr>
        <w:pStyle w:val="Caption"/>
        <w:keepNext/>
      </w:pPr>
      <w:bookmarkStart w:id="6" w:name="_Ref97550054"/>
      <w:r>
        <w:lastRenderedPageBreak/>
        <w:t xml:space="preserve">Table </w:t>
      </w:r>
      <w:fldSimple w:instr=" SEQ Table \* ARABIC ">
        <w:r w:rsidR="00CE5DB1">
          <w:rPr>
            <w:noProof/>
          </w:rPr>
          <w:t>4</w:t>
        </w:r>
      </w:fldSimple>
      <w:bookmarkEnd w:id="6"/>
      <w:r>
        <w:t>: A comparison of the percentage spend each month (as a proportion of total yearly spend) between the true values to the simple model and the linear regression model</w:t>
      </w:r>
    </w:p>
    <w:tbl>
      <w:tblPr>
        <w:tblStyle w:val="TableGrid"/>
        <w:tblpPr w:leftFromText="180" w:rightFromText="180" w:vertAnchor="text" w:horzAnchor="margin" w:tblpY="37"/>
        <w:tblW w:w="14005" w:type="dxa"/>
        <w:tblLayout w:type="fixed"/>
        <w:tblLook w:val="04A0" w:firstRow="1" w:lastRow="0" w:firstColumn="1" w:lastColumn="0" w:noHBand="0" w:noVBand="1"/>
      </w:tblPr>
      <w:tblGrid>
        <w:gridCol w:w="2552"/>
        <w:gridCol w:w="1272"/>
        <w:gridCol w:w="1273"/>
        <w:gridCol w:w="1272"/>
        <w:gridCol w:w="1273"/>
        <w:gridCol w:w="1272"/>
        <w:gridCol w:w="1273"/>
        <w:gridCol w:w="1272"/>
        <w:gridCol w:w="1273"/>
        <w:gridCol w:w="1273"/>
      </w:tblGrid>
      <w:tr w:rsidR="007361D9" w:rsidRPr="00B56B91" w14:paraId="2ACAE70C" w14:textId="77777777" w:rsidTr="007361D9">
        <w:trPr>
          <w:trHeight w:val="132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249A5510" w14:textId="77777777" w:rsidR="007361D9" w:rsidRPr="00B56B91" w:rsidRDefault="007361D9" w:rsidP="007361D9">
            <w:pPr>
              <w:pStyle w:val="ListParagraph"/>
              <w:ind w:left="360"/>
              <w:rPr>
                <w:b/>
                <w:bCs/>
              </w:rPr>
            </w:pPr>
            <w:bookmarkStart w:id="7" w:name="_Ref96592554"/>
            <w:r w:rsidRPr="00B56B91">
              <w:rPr>
                <w:b/>
                <w:bCs/>
              </w:rPr>
              <w:t> </w:t>
            </w:r>
          </w:p>
        </w:tc>
        <w:tc>
          <w:tcPr>
            <w:tcW w:w="381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4FBE1ACE" w14:textId="77777777" w:rsidR="007361D9" w:rsidRPr="00B56B91" w:rsidRDefault="007361D9" w:rsidP="00736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2018/19</w:t>
            </w:r>
          </w:p>
        </w:tc>
        <w:tc>
          <w:tcPr>
            <w:tcW w:w="381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17426D" w14:textId="77777777" w:rsidR="007361D9" w:rsidRPr="00B56B91" w:rsidRDefault="007361D9" w:rsidP="00736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2019/20</w:t>
            </w:r>
          </w:p>
        </w:tc>
        <w:tc>
          <w:tcPr>
            <w:tcW w:w="381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5C3786" w14:textId="77777777" w:rsidR="007361D9" w:rsidRPr="00B56B91" w:rsidRDefault="007361D9" w:rsidP="00736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2020/21</w:t>
            </w:r>
          </w:p>
        </w:tc>
      </w:tr>
      <w:tr w:rsidR="007361D9" w:rsidRPr="00B56B91" w14:paraId="699EE769" w14:textId="77777777" w:rsidTr="007361D9">
        <w:trPr>
          <w:trHeight w:val="477"/>
        </w:trPr>
        <w:tc>
          <w:tcPr>
            <w:tcW w:w="25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450E8942" w14:textId="77777777" w:rsidR="007361D9" w:rsidRPr="00B56B91" w:rsidRDefault="007361D9" w:rsidP="007361D9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single" w:sz="12" w:space="0" w:color="auto"/>
            </w:tcBorders>
            <w:noWrap/>
            <w:vAlign w:val="center"/>
            <w:hideMark/>
          </w:tcPr>
          <w:p w14:paraId="59B470E8" w14:textId="77777777" w:rsidR="007361D9" w:rsidRPr="00B56B91" w:rsidRDefault="007361D9" w:rsidP="007361D9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True Value</w:t>
            </w:r>
          </w:p>
        </w:tc>
        <w:tc>
          <w:tcPr>
            <w:tcW w:w="1273" w:type="dxa"/>
            <w:tcBorders>
              <w:top w:val="nil"/>
            </w:tcBorders>
            <w:vAlign w:val="center"/>
            <w:hideMark/>
          </w:tcPr>
          <w:p w14:paraId="7A5C5C81" w14:textId="77777777" w:rsidR="007361D9" w:rsidRPr="00B56B91" w:rsidRDefault="007361D9" w:rsidP="007361D9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Simple Model</w:t>
            </w:r>
          </w:p>
        </w:tc>
        <w:tc>
          <w:tcPr>
            <w:tcW w:w="1272" w:type="dxa"/>
            <w:tcBorders>
              <w:top w:val="nil"/>
              <w:right w:val="single" w:sz="12" w:space="0" w:color="auto"/>
            </w:tcBorders>
            <w:vAlign w:val="center"/>
            <w:hideMark/>
          </w:tcPr>
          <w:p w14:paraId="4455B41A" w14:textId="77777777" w:rsidR="007361D9" w:rsidRPr="00B56B91" w:rsidRDefault="007361D9" w:rsidP="007361D9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Linear Regression Model</w:t>
            </w:r>
          </w:p>
        </w:tc>
        <w:tc>
          <w:tcPr>
            <w:tcW w:w="1273" w:type="dxa"/>
            <w:tcBorders>
              <w:top w:val="nil"/>
              <w:left w:val="single" w:sz="12" w:space="0" w:color="auto"/>
            </w:tcBorders>
            <w:vAlign w:val="center"/>
          </w:tcPr>
          <w:p w14:paraId="26EB315F" w14:textId="77777777" w:rsidR="007361D9" w:rsidRPr="00B56B91" w:rsidRDefault="007361D9" w:rsidP="007361D9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True Value</w:t>
            </w:r>
          </w:p>
        </w:tc>
        <w:tc>
          <w:tcPr>
            <w:tcW w:w="1272" w:type="dxa"/>
            <w:tcBorders>
              <w:top w:val="nil"/>
            </w:tcBorders>
            <w:vAlign w:val="center"/>
          </w:tcPr>
          <w:p w14:paraId="27D1E0E1" w14:textId="77777777" w:rsidR="007361D9" w:rsidRPr="00B56B91" w:rsidRDefault="007361D9" w:rsidP="007361D9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Simple Model</w:t>
            </w:r>
          </w:p>
        </w:tc>
        <w:tc>
          <w:tcPr>
            <w:tcW w:w="1273" w:type="dxa"/>
            <w:tcBorders>
              <w:top w:val="nil"/>
              <w:right w:val="single" w:sz="12" w:space="0" w:color="auto"/>
            </w:tcBorders>
            <w:vAlign w:val="center"/>
          </w:tcPr>
          <w:p w14:paraId="39ACE9A3" w14:textId="77777777" w:rsidR="007361D9" w:rsidRPr="00B56B91" w:rsidRDefault="007361D9" w:rsidP="007361D9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Linear Regression Model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</w:tcBorders>
            <w:vAlign w:val="center"/>
          </w:tcPr>
          <w:p w14:paraId="398BDA26" w14:textId="77777777" w:rsidR="007361D9" w:rsidRPr="00B56B91" w:rsidRDefault="007361D9" w:rsidP="007361D9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True Value</w:t>
            </w: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453CA5AB" w14:textId="77777777" w:rsidR="007361D9" w:rsidRPr="00B56B91" w:rsidRDefault="007361D9" w:rsidP="007361D9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Simple Model</w:t>
            </w:r>
          </w:p>
        </w:tc>
        <w:tc>
          <w:tcPr>
            <w:tcW w:w="1273" w:type="dxa"/>
            <w:tcBorders>
              <w:top w:val="nil"/>
              <w:right w:val="single" w:sz="12" w:space="0" w:color="auto"/>
            </w:tcBorders>
            <w:vAlign w:val="center"/>
          </w:tcPr>
          <w:p w14:paraId="42AC5DFF" w14:textId="77777777" w:rsidR="007361D9" w:rsidRPr="00B56B91" w:rsidRDefault="007361D9" w:rsidP="007361D9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Linear Regression Model</w:t>
            </w:r>
          </w:p>
        </w:tc>
      </w:tr>
      <w:tr w:rsidR="007361D9" w:rsidRPr="00B56B91" w14:paraId="6BCC44FE" w14:textId="77777777" w:rsidTr="007361D9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102096F1" w14:textId="77777777" w:rsidR="007361D9" w:rsidRPr="00B56B91" w:rsidRDefault="007361D9" w:rsidP="007361D9">
            <w:r w:rsidRPr="00B56B91">
              <w:t>April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D4B4F53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8.00%</w:t>
            </w:r>
          </w:p>
        </w:tc>
        <w:tc>
          <w:tcPr>
            <w:tcW w:w="1273" w:type="dxa"/>
            <w:shd w:val="clear" w:color="auto" w:fill="DEEAF6" w:themeFill="accent5" w:themeFillTint="33"/>
            <w:noWrap/>
            <w:vAlign w:val="bottom"/>
            <w:hideMark/>
          </w:tcPr>
          <w:p w14:paraId="5D2F10B2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7.80%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1A06BEE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8.07%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32597F8D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7.71%</w:t>
            </w:r>
          </w:p>
        </w:tc>
        <w:tc>
          <w:tcPr>
            <w:tcW w:w="1272" w:type="dxa"/>
            <w:shd w:val="clear" w:color="auto" w:fill="DEEAF6" w:themeFill="accent5" w:themeFillTint="33"/>
            <w:vAlign w:val="bottom"/>
          </w:tcPr>
          <w:p w14:paraId="2E7F01E4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7.78%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59784E1C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7.98%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7759708B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8.34%</w:t>
            </w:r>
          </w:p>
        </w:tc>
        <w:tc>
          <w:tcPr>
            <w:tcW w:w="1273" w:type="dxa"/>
            <w:shd w:val="clear" w:color="auto" w:fill="DEEAF6" w:themeFill="accent5" w:themeFillTint="33"/>
            <w:vAlign w:val="bottom"/>
          </w:tcPr>
          <w:p w14:paraId="3D3F85AC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7.82%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48F7F705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7.91%</w:t>
            </w:r>
          </w:p>
        </w:tc>
      </w:tr>
      <w:tr w:rsidR="007361D9" w:rsidRPr="00B56B91" w14:paraId="07127A90" w14:textId="77777777" w:rsidTr="007361D9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67FBDBC" w14:textId="77777777" w:rsidR="007361D9" w:rsidRPr="00B56B91" w:rsidRDefault="007361D9" w:rsidP="007361D9">
            <w:r w:rsidRPr="00B56B91">
              <w:t>May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3D9E99B5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8.40%</w:t>
            </w:r>
          </w:p>
        </w:tc>
        <w:tc>
          <w:tcPr>
            <w:tcW w:w="1273" w:type="dxa"/>
            <w:noWrap/>
            <w:vAlign w:val="bottom"/>
            <w:hideMark/>
          </w:tcPr>
          <w:p w14:paraId="087B8861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8.26%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062B99A1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8.40%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vAlign w:val="bottom"/>
          </w:tcPr>
          <w:p w14:paraId="51B1654B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8.28%</w:t>
            </w:r>
          </w:p>
        </w:tc>
        <w:tc>
          <w:tcPr>
            <w:tcW w:w="1272" w:type="dxa"/>
            <w:vAlign w:val="bottom"/>
          </w:tcPr>
          <w:p w14:paraId="1D87C3BE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8.20%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7C6D0D29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8.37%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vAlign w:val="bottom"/>
          </w:tcPr>
          <w:p w14:paraId="7E9EE67C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7.82%</w:t>
            </w:r>
          </w:p>
        </w:tc>
        <w:tc>
          <w:tcPr>
            <w:tcW w:w="1273" w:type="dxa"/>
            <w:vAlign w:val="bottom"/>
          </w:tcPr>
          <w:p w14:paraId="30FD2858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7.93%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7B019733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8.08%</w:t>
            </w:r>
          </w:p>
        </w:tc>
      </w:tr>
      <w:tr w:rsidR="007361D9" w:rsidRPr="00B56B91" w14:paraId="44A4904F" w14:textId="77777777" w:rsidTr="007361D9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6AF4A3AD" w14:textId="77777777" w:rsidR="007361D9" w:rsidRPr="00B56B91" w:rsidRDefault="007361D9" w:rsidP="007361D9">
            <w:r w:rsidRPr="00B56B91">
              <w:t>June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6381AFC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8.29%</w:t>
            </w:r>
          </w:p>
        </w:tc>
        <w:tc>
          <w:tcPr>
            <w:tcW w:w="1273" w:type="dxa"/>
            <w:shd w:val="clear" w:color="auto" w:fill="DEEAF6" w:themeFill="accent5" w:themeFillTint="33"/>
            <w:noWrap/>
            <w:vAlign w:val="bottom"/>
            <w:hideMark/>
          </w:tcPr>
          <w:p w14:paraId="71700831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8.33%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1F7270D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8.24%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31A20340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7.79%</w:t>
            </w:r>
          </w:p>
        </w:tc>
        <w:tc>
          <w:tcPr>
            <w:tcW w:w="1272" w:type="dxa"/>
            <w:shd w:val="clear" w:color="auto" w:fill="DEEAF6" w:themeFill="accent5" w:themeFillTint="33"/>
            <w:vAlign w:val="bottom"/>
          </w:tcPr>
          <w:p w14:paraId="2F638CE3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7.96%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1920A3C1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8.09%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1436DAF0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8.23%</w:t>
            </w:r>
          </w:p>
        </w:tc>
        <w:tc>
          <w:tcPr>
            <w:tcW w:w="1273" w:type="dxa"/>
            <w:shd w:val="clear" w:color="auto" w:fill="DEEAF6" w:themeFill="accent5" w:themeFillTint="33"/>
            <w:vAlign w:val="bottom"/>
          </w:tcPr>
          <w:p w14:paraId="1779E907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8.49%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3AED8217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8.43%</w:t>
            </w:r>
          </w:p>
        </w:tc>
      </w:tr>
      <w:tr w:rsidR="007361D9" w:rsidRPr="00B56B91" w14:paraId="45C96718" w14:textId="77777777" w:rsidTr="007361D9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78410C60" w14:textId="77777777" w:rsidR="007361D9" w:rsidRPr="00B56B91" w:rsidRDefault="007361D9" w:rsidP="007361D9">
            <w:r w:rsidRPr="00B56B91">
              <w:t>July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7284AB5E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8.21%</w:t>
            </w:r>
          </w:p>
        </w:tc>
        <w:tc>
          <w:tcPr>
            <w:tcW w:w="1273" w:type="dxa"/>
            <w:noWrap/>
            <w:vAlign w:val="bottom"/>
            <w:hideMark/>
          </w:tcPr>
          <w:p w14:paraId="66AF35F3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8.25%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6AB58E68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8.34%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vAlign w:val="bottom"/>
          </w:tcPr>
          <w:p w14:paraId="52251188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8.08%</w:t>
            </w:r>
          </w:p>
        </w:tc>
        <w:tc>
          <w:tcPr>
            <w:tcW w:w="1272" w:type="dxa"/>
            <w:vAlign w:val="bottom"/>
          </w:tcPr>
          <w:p w14:paraId="731E81DE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8.50%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74691E54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8.49%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vAlign w:val="bottom"/>
          </w:tcPr>
          <w:p w14:paraId="7FBD5FF1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8.50%</w:t>
            </w:r>
          </w:p>
        </w:tc>
        <w:tc>
          <w:tcPr>
            <w:tcW w:w="1273" w:type="dxa"/>
            <w:vAlign w:val="bottom"/>
          </w:tcPr>
          <w:p w14:paraId="1F16A241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8.64%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425B5B46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8.55%</w:t>
            </w:r>
          </w:p>
        </w:tc>
      </w:tr>
      <w:tr w:rsidR="007361D9" w:rsidRPr="00B56B91" w14:paraId="0948A8D1" w14:textId="77777777" w:rsidTr="007361D9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5A84D550" w14:textId="77777777" w:rsidR="007361D9" w:rsidRPr="00B56B91" w:rsidRDefault="007361D9" w:rsidP="007361D9">
            <w:r w:rsidRPr="00B56B91">
              <w:t>August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4F856D9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8.46%</w:t>
            </w:r>
          </w:p>
        </w:tc>
        <w:tc>
          <w:tcPr>
            <w:tcW w:w="1273" w:type="dxa"/>
            <w:shd w:val="clear" w:color="auto" w:fill="DEEAF6" w:themeFill="accent5" w:themeFillTint="33"/>
            <w:noWrap/>
            <w:vAlign w:val="bottom"/>
            <w:hideMark/>
          </w:tcPr>
          <w:p w14:paraId="3628952E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8.34%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DEFD117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8.30%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04352EDC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8.55%</w:t>
            </w:r>
          </w:p>
        </w:tc>
        <w:tc>
          <w:tcPr>
            <w:tcW w:w="1272" w:type="dxa"/>
            <w:shd w:val="clear" w:color="auto" w:fill="DEEAF6" w:themeFill="accent5" w:themeFillTint="33"/>
            <w:vAlign w:val="bottom"/>
          </w:tcPr>
          <w:p w14:paraId="075356B0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8.29%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23314A39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8.33%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34F92D99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7.69%</w:t>
            </w:r>
          </w:p>
        </w:tc>
        <w:tc>
          <w:tcPr>
            <w:tcW w:w="1273" w:type="dxa"/>
            <w:shd w:val="clear" w:color="auto" w:fill="DEEAF6" w:themeFill="accent5" w:themeFillTint="33"/>
            <w:vAlign w:val="bottom"/>
          </w:tcPr>
          <w:p w14:paraId="56570598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8.07%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637E8F34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8.09%</w:t>
            </w:r>
          </w:p>
        </w:tc>
      </w:tr>
      <w:tr w:rsidR="007361D9" w:rsidRPr="00B56B91" w14:paraId="63301EDE" w14:textId="77777777" w:rsidTr="007361D9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381151F" w14:textId="77777777" w:rsidR="007361D9" w:rsidRPr="00B56B91" w:rsidRDefault="007361D9" w:rsidP="007361D9">
            <w:r w:rsidRPr="00B56B91">
              <w:t>September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4A140CC5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8.15%</w:t>
            </w:r>
          </w:p>
        </w:tc>
        <w:tc>
          <w:tcPr>
            <w:tcW w:w="1273" w:type="dxa"/>
            <w:noWrap/>
            <w:vAlign w:val="bottom"/>
            <w:hideMark/>
          </w:tcPr>
          <w:p w14:paraId="7E3AB87B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8.26%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2DC43B80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8.35%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vAlign w:val="bottom"/>
          </w:tcPr>
          <w:p w14:paraId="5C2B57DE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8.29%</w:t>
            </w:r>
          </w:p>
        </w:tc>
        <w:tc>
          <w:tcPr>
            <w:tcW w:w="1272" w:type="dxa"/>
            <w:vAlign w:val="bottom"/>
          </w:tcPr>
          <w:p w14:paraId="05D6CC99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8.17%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1C73C11B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8.33%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vAlign w:val="bottom"/>
          </w:tcPr>
          <w:p w14:paraId="1FC3F324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8.64%</w:t>
            </w:r>
          </w:p>
        </w:tc>
        <w:tc>
          <w:tcPr>
            <w:tcW w:w="1273" w:type="dxa"/>
            <w:vAlign w:val="bottom"/>
          </w:tcPr>
          <w:p w14:paraId="3B5366BF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8.58%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09998FD9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8.54%</w:t>
            </w:r>
          </w:p>
        </w:tc>
      </w:tr>
      <w:tr w:rsidR="007361D9" w:rsidRPr="00B56B91" w14:paraId="337B31FE" w14:textId="77777777" w:rsidTr="007361D9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481D1CD7" w14:textId="77777777" w:rsidR="007361D9" w:rsidRPr="00B56B91" w:rsidRDefault="007361D9" w:rsidP="007361D9">
            <w:r w:rsidRPr="00B56B91">
              <w:t>October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FE8370E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8.95%</w:t>
            </w:r>
          </w:p>
        </w:tc>
        <w:tc>
          <w:tcPr>
            <w:tcW w:w="1273" w:type="dxa"/>
            <w:shd w:val="clear" w:color="auto" w:fill="DEEAF6" w:themeFill="accent5" w:themeFillTint="33"/>
            <w:noWrap/>
            <w:vAlign w:val="bottom"/>
            <w:hideMark/>
          </w:tcPr>
          <w:p w14:paraId="2A94CA7C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9.12%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928CBF1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9.01%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1D24AEAD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8.96%</w:t>
            </w:r>
          </w:p>
        </w:tc>
        <w:tc>
          <w:tcPr>
            <w:tcW w:w="1272" w:type="dxa"/>
            <w:shd w:val="clear" w:color="auto" w:fill="DEEAF6" w:themeFill="accent5" w:themeFillTint="33"/>
            <w:vAlign w:val="bottom"/>
          </w:tcPr>
          <w:p w14:paraId="234DD953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8.98%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7C96FAA6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9.06%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471AA6AB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8.91%</w:t>
            </w:r>
          </w:p>
        </w:tc>
        <w:tc>
          <w:tcPr>
            <w:tcW w:w="1273" w:type="dxa"/>
            <w:shd w:val="clear" w:color="auto" w:fill="DEEAF6" w:themeFill="accent5" w:themeFillTint="33"/>
            <w:vAlign w:val="bottom"/>
          </w:tcPr>
          <w:p w14:paraId="6478CB68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8.89%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09203418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8.90%</w:t>
            </w:r>
          </w:p>
        </w:tc>
      </w:tr>
      <w:tr w:rsidR="007361D9" w:rsidRPr="00B56B91" w14:paraId="0077C05A" w14:textId="77777777" w:rsidTr="007361D9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839BCBC" w14:textId="77777777" w:rsidR="007361D9" w:rsidRPr="00B56B91" w:rsidRDefault="007361D9" w:rsidP="007361D9">
            <w:r w:rsidRPr="00B56B91">
              <w:t>November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7A0A3B81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8.63%</w:t>
            </w:r>
          </w:p>
        </w:tc>
        <w:tc>
          <w:tcPr>
            <w:tcW w:w="1273" w:type="dxa"/>
            <w:noWrap/>
            <w:vAlign w:val="bottom"/>
            <w:hideMark/>
          </w:tcPr>
          <w:p w14:paraId="7599C171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8.52%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269EF660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8.57%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vAlign w:val="bottom"/>
          </w:tcPr>
          <w:p w14:paraId="3B5E9120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8.36%</w:t>
            </w:r>
          </w:p>
        </w:tc>
        <w:tc>
          <w:tcPr>
            <w:tcW w:w="1272" w:type="dxa"/>
            <w:vAlign w:val="bottom"/>
          </w:tcPr>
          <w:p w14:paraId="35F240B5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8.60%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29A92F8E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8.55%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vAlign w:val="bottom"/>
          </w:tcPr>
          <w:p w14:paraId="5A921F38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8.33%</w:t>
            </w:r>
          </w:p>
        </w:tc>
        <w:tc>
          <w:tcPr>
            <w:tcW w:w="1273" w:type="dxa"/>
            <w:vAlign w:val="bottom"/>
          </w:tcPr>
          <w:p w14:paraId="32C48FDF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8.21%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39D02066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8.39%</w:t>
            </w:r>
          </w:p>
        </w:tc>
      </w:tr>
      <w:tr w:rsidR="007361D9" w:rsidRPr="00B56B91" w14:paraId="1D57A472" w14:textId="77777777" w:rsidTr="007361D9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0D1AE144" w14:textId="77777777" w:rsidR="007361D9" w:rsidRPr="00B56B91" w:rsidRDefault="007361D9" w:rsidP="007361D9">
            <w:r w:rsidRPr="00B56B91">
              <w:t>December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B409364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8.33%</w:t>
            </w:r>
          </w:p>
        </w:tc>
        <w:tc>
          <w:tcPr>
            <w:tcW w:w="1273" w:type="dxa"/>
            <w:shd w:val="clear" w:color="auto" w:fill="DEEAF6" w:themeFill="accent5" w:themeFillTint="33"/>
            <w:noWrap/>
            <w:vAlign w:val="bottom"/>
            <w:hideMark/>
          </w:tcPr>
          <w:p w14:paraId="576356AE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8.58%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9013039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8.23%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5DA3BA78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8.40%</w:t>
            </w:r>
          </w:p>
        </w:tc>
        <w:tc>
          <w:tcPr>
            <w:tcW w:w="1272" w:type="dxa"/>
            <w:shd w:val="clear" w:color="auto" w:fill="DEEAF6" w:themeFill="accent5" w:themeFillTint="33"/>
            <w:vAlign w:val="bottom"/>
          </w:tcPr>
          <w:p w14:paraId="6D357D89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8.56%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381DD8D9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8.21%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6C14BBD8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8.80%</w:t>
            </w:r>
          </w:p>
        </w:tc>
        <w:tc>
          <w:tcPr>
            <w:tcW w:w="1273" w:type="dxa"/>
            <w:shd w:val="clear" w:color="auto" w:fill="DEEAF6" w:themeFill="accent5" w:themeFillTint="33"/>
            <w:vAlign w:val="bottom"/>
          </w:tcPr>
          <w:p w14:paraId="72774474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8.47%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648A0110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8.22%</w:t>
            </w:r>
          </w:p>
        </w:tc>
      </w:tr>
      <w:tr w:rsidR="007361D9" w:rsidRPr="00B56B91" w14:paraId="741B758E" w14:textId="77777777" w:rsidTr="007361D9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64C76E4" w14:textId="77777777" w:rsidR="007361D9" w:rsidRPr="00B56B91" w:rsidRDefault="007361D9" w:rsidP="007361D9">
            <w:r w:rsidRPr="00B56B91">
              <w:t>January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7E79DB9F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8.56%</w:t>
            </w:r>
          </w:p>
        </w:tc>
        <w:tc>
          <w:tcPr>
            <w:tcW w:w="1273" w:type="dxa"/>
            <w:noWrap/>
            <w:vAlign w:val="bottom"/>
            <w:hideMark/>
          </w:tcPr>
          <w:p w14:paraId="23EB57F4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8.44%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1699E26B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8.35%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vAlign w:val="bottom"/>
          </w:tcPr>
          <w:p w14:paraId="288FCDE2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8.49%</w:t>
            </w:r>
          </w:p>
        </w:tc>
        <w:tc>
          <w:tcPr>
            <w:tcW w:w="1272" w:type="dxa"/>
            <w:vAlign w:val="bottom"/>
          </w:tcPr>
          <w:p w14:paraId="2FDA149E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8.47%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5C55D01B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8.32%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vAlign w:val="bottom"/>
          </w:tcPr>
          <w:p w14:paraId="631D8C6D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8.29%</w:t>
            </w:r>
          </w:p>
        </w:tc>
        <w:tc>
          <w:tcPr>
            <w:tcW w:w="1273" w:type="dxa"/>
            <w:vAlign w:val="bottom"/>
          </w:tcPr>
          <w:p w14:paraId="7FA10BA8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8.21%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604938F8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8.22%</w:t>
            </w:r>
          </w:p>
        </w:tc>
      </w:tr>
      <w:tr w:rsidR="007361D9" w:rsidRPr="00B56B91" w14:paraId="4FB10C66" w14:textId="77777777" w:rsidTr="007361D9">
        <w:trPr>
          <w:trHeight w:val="31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5C79C544" w14:textId="77777777" w:rsidR="007361D9" w:rsidRPr="00B56B91" w:rsidRDefault="007361D9" w:rsidP="007361D9">
            <w:r w:rsidRPr="00B56B91">
              <w:t>February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691A522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7.66%</w:t>
            </w:r>
          </w:p>
        </w:tc>
        <w:tc>
          <w:tcPr>
            <w:tcW w:w="1273" w:type="dxa"/>
            <w:shd w:val="clear" w:color="auto" w:fill="DEEAF6" w:themeFill="accent5" w:themeFillTint="33"/>
            <w:noWrap/>
            <w:vAlign w:val="bottom"/>
            <w:hideMark/>
          </w:tcPr>
          <w:p w14:paraId="5C78E49D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7.63%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4E73E04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7.69%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5642F745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7.77%</w:t>
            </w:r>
          </w:p>
        </w:tc>
        <w:tc>
          <w:tcPr>
            <w:tcW w:w="1272" w:type="dxa"/>
            <w:shd w:val="clear" w:color="auto" w:fill="DEEAF6" w:themeFill="accent5" w:themeFillTint="33"/>
            <w:vAlign w:val="bottom"/>
          </w:tcPr>
          <w:p w14:paraId="6214E768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8.00%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56FE7CB6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7.88%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7C033C96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7.76%</w:t>
            </w:r>
          </w:p>
        </w:tc>
        <w:tc>
          <w:tcPr>
            <w:tcW w:w="1273" w:type="dxa"/>
            <w:shd w:val="clear" w:color="auto" w:fill="DEEAF6" w:themeFill="accent5" w:themeFillTint="33"/>
            <w:vAlign w:val="bottom"/>
          </w:tcPr>
          <w:p w14:paraId="23384AF8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7.68%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41A0C4F7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7.77%</w:t>
            </w:r>
          </w:p>
        </w:tc>
      </w:tr>
      <w:tr w:rsidR="007361D9" w:rsidRPr="00B56B91" w14:paraId="4F9FBC58" w14:textId="77777777" w:rsidTr="007361D9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563588A2" w14:textId="77777777" w:rsidR="007361D9" w:rsidRPr="00B56B91" w:rsidRDefault="007361D9" w:rsidP="007361D9">
            <w:r w:rsidRPr="00B56B91">
              <w:t>March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5EC7980D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8.36%</w:t>
            </w:r>
          </w:p>
        </w:tc>
        <w:tc>
          <w:tcPr>
            <w:tcW w:w="1273" w:type="dxa"/>
            <w:noWrap/>
            <w:vAlign w:val="bottom"/>
            <w:hideMark/>
          </w:tcPr>
          <w:p w14:paraId="2A210576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8.46%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4FDB586F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8.46%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vAlign w:val="bottom"/>
          </w:tcPr>
          <w:p w14:paraId="2CDC68A0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9.34%</w:t>
            </w:r>
          </w:p>
        </w:tc>
        <w:tc>
          <w:tcPr>
            <w:tcW w:w="1272" w:type="dxa"/>
            <w:vAlign w:val="bottom"/>
          </w:tcPr>
          <w:p w14:paraId="1EA694D9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8.49%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77A910AF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8.38%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vAlign w:val="bottom"/>
          </w:tcPr>
          <w:p w14:paraId="2BF21132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8.69%</w:t>
            </w:r>
          </w:p>
        </w:tc>
        <w:tc>
          <w:tcPr>
            <w:tcW w:w="1273" w:type="dxa"/>
            <w:vAlign w:val="bottom"/>
          </w:tcPr>
          <w:p w14:paraId="008A7C51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9.02%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5BCFD809" w14:textId="77777777" w:rsidR="007361D9" w:rsidRPr="00B56B91" w:rsidRDefault="007361D9" w:rsidP="007361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8.90%</w:t>
            </w:r>
          </w:p>
        </w:tc>
      </w:tr>
      <w:tr w:rsidR="007361D9" w:rsidRPr="00B56B91" w14:paraId="5EC8A34F" w14:textId="77777777" w:rsidTr="007361D9">
        <w:trPr>
          <w:trHeight w:val="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hideMark/>
          </w:tcPr>
          <w:p w14:paraId="3E095090" w14:textId="77777777" w:rsidR="007361D9" w:rsidRPr="00B56B91" w:rsidRDefault="007361D9" w:rsidP="007361D9">
            <w:pPr>
              <w:pStyle w:val="ListParagraph"/>
              <w:ind w:left="360"/>
            </w:pP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66480ED" w14:textId="77777777" w:rsidR="007361D9" w:rsidRPr="00B56B91" w:rsidRDefault="007361D9" w:rsidP="007361D9">
            <w:pPr>
              <w:pStyle w:val="ListParagraph"/>
              <w:ind w:left="360"/>
              <w:jc w:val="center"/>
            </w:pPr>
          </w:p>
        </w:tc>
        <w:tc>
          <w:tcPr>
            <w:tcW w:w="1273" w:type="dxa"/>
            <w:shd w:val="clear" w:color="auto" w:fill="DEEAF6" w:themeFill="accent5" w:themeFillTint="33"/>
            <w:noWrap/>
            <w:vAlign w:val="bottom"/>
            <w:hideMark/>
          </w:tcPr>
          <w:p w14:paraId="58B2CB0E" w14:textId="77777777" w:rsidR="007361D9" w:rsidRPr="00B56B91" w:rsidRDefault="007361D9" w:rsidP="007361D9">
            <w:pPr>
              <w:pStyle w:val="ListParagraph"/>
              <w:ind w:left="360"/>
              <w:jc w:val="center"/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E24B273" w14:textId="77777777" w:rsidR="007361D9" w:rsidRPr="00B56B91" w:rsidRDefault="007361D9" w:rsidP="007361D9">
            <w:pPr>
              <w:pStyle w:val="ListParagraph"/>
              <w:ind w:left="36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40DEC1DD" w14:textId="77777777" w:rsidR="007361D9" w:rsidRPr="00B56B91" w:rsidRDefault="007361D9" w:rsidP="007361D9">
            <w:pPr>
              <w:pStyle w:val="ListParagraph"/>
              <w:ind w:left="36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2" w:type="dxa"/>
            <w:shd w:val="clear" w:color="auto" w:fill="DEEAF6" w:themeFill="accent5" w:themeFillTint="33"/>
            <w:vAlign w:val="bottom"/>
          </w:tcPr>
          <w:p w14:paraId="3CC01E31" w14:textId="77777777" w:rsidR="007361D9" w:rsidRPr="00B56B91" w:rsidRDefault="007361D9" w:rsidP="007361D9">
            <w:pPr>
              <w:pStyle w:val="ListParagraph"/>
              <w:ind w:left="360"/>
              <w:jc w:val="center"/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31530EA6" w14:textId="77777777" w:rsidR="007361D9" w:rsidRPr="00B56B91" w:rsidRDefault="007361D9" w:rsidP="007361D9">
            <w:pPr>
              <w:pStyle w:val="ListParagraph"/>
              <w:ind w:left="36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5A65CFC5" w14:textId="77777777" w:rsidR="007361D9" w:rsidRPr="00B56B91" w:rsidRDefault="007361D9" w:rsidP="007361D9">
            <w:pPr>
              <w:pStyle w:val="ListParagraph"/>
              <w:ind w:left="360"/>
              <w:jc w:val="center"/>
            </w:pPr>
          </w:p>
        </w:tc>
        <w:tc>
          <w:tcPr>
            <w:tcW w:w="1273" w:type="dxa"/>
            <w:shd w:val="clear" w:color="auto" w:fill="DEEAF6" w:themeFill="accent5" w:themeFillTint="33"/>
            <w:vAlign w:val="bottom"/>
          </w:tcPr>
          <w:p w14:paraId="0EE08DC3" w14:textId="77777777" w:rsidR="007361D9" w:rsidRPr="00B56B91" w:rsidRDefault="007361D9" w:rsidP="007361D9">
            <w:pPr>
              <w:pStyle w:val="ListParagraph"/>
              <w:ind w:left="360"/>
              <w:jc w:val="center"/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57AB3978" w14:textId="77777777" w:rsidR="007361D9" w:rsidRPr="00B56B91" w:rsidRDefault="007361D9" w:rsidP="007361D9">
            <w:pPr>
              <w:pStyle w:val="ListParagraph"/>
              <w:ind w:left="36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61D9" w:rsidRPr="00B56B91" w14:paraId="71B437C0" w14:textId="77777777" w:rsidTr="007361D9">
        <w:trPr>
          <w:trHeight w:val="24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2DEB0F" w14:textId="77777777" w:rsidR="007361D9" w:rsidRPr="00B56B91" w:rsidRDefault="007361D9" w:rsidP="007361D9">
            <w:pPr>
              <w:rPr>
                <w:b/>
                <w:bCs/>
              </w:rPr>
            </w:pPr>
            <w:r w:rsidRPr="00B56B91">
              <w:rPr>
                <w:b/>
                <w:bCs/>
              </w:rPr>
              <w:t>Sum of absolute difference each month</w:t>
            </w:r>
          </w:p>
        </w:tc>
        <w:tc>
          <w:tcPr>
            <w:tcW w:w="1272" w:type="dxa"/>
            <w:tcBorders>
              <w:left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14:paraId="469F84BA" w14:textId="77777777" w:rsidR="007361D9" w:rsidRPr="00B56B91" w:rsidRDefault="007361D9" w:rsidP="007361D9">
            <w:pPr>
              <w:pStyle w:val="ListParagraph"/>
              <w:ind w:left="36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3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70B3AB15" w14:textId="77777777" w:rsidR="007361D9" w:rsidRPr="007C7051" w:rsidRDefault="007361D9" w:rsidP="007361D9">
            <w:pPr>
              <w:jc w:val="center"/>
              <w:rPr>
                <w:b/>
                <w:bCs/>
              </w:rPr>
            </w:pPr>
            <w:r w:rsidRPr="007C7051">
              <w:rPr>
                <w:rFonts w:ascii="Calibri" w:hAnsi="Calibri" w:cs="Calibri"/>
                <w:b/>
                <w:bCs/>
                <w:color w:val="000000"/>
              </w:rPr>
              <w:t>1.4%</w:t>
            </w:r>
          </w:p>
        </w:tc>
        <w:tc>
          <w:tcPr>
            <w:tcW w:w="1272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7B74AD4" w14:textId="77777777" w:rsidR="007361D9" w:rsidRPr="007C7051" w:rsidRDefault="007361D9" w:rsidP="007361D9">
            <w:pPr>
              <w:keepNext/>
              <w:jc w:val="center"/>
              <w:rPr>
                <w:b/>
                <w:bCs/>
              </w:rPr>
            </w:pPr>
            <w:r w:rsidRPr="007C7051">
              <w:rPr>
                <w:rFonts w:ascii="Calibri" w:hAnsi="Calibri" w:cs="Calibri"/>
                <w:b/>
                <w:bCs/>
                <w:color w:val="000000"/>
              </w:rPr>
              <w:t>1.2%</w:t>
            </w:r>
          </w:p>
        </w:tc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BE66C8" w14:textId="77777777" w:rsidR="007361D9" w:rsidRPr="007C7051" w:rsidRDefault="007361D9" w:rsidP="007361D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14:paraId="5C79D03C" w14:textId="77777777" w:rsidR="007361D9" w:rsidRPr="007C7051" w:rsidRDefault="007361D9" w:rsidP="007361D9">
            <w:pPr>
              <w:keepNext/>
              <w:jc w:val="center"/>
              <w:rPr>
                <w:b/>
                <w:bCs/>
              </w:rPr>
            </w:pPr>
            <w:r w:rsidRPr="007C7051">
              <w:rPr>
                <w:rFonts w:ascii="Calibri" w:hAnsi="Calibri" w:cs="Calibri"/>
                <w:b/>
                <w:bCs/>
                <w:color w:val="000000"/>
              </w:rPr>
              <w:t>2.6%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3675DF" w14:textId="77777777" w:rsidR="007361D9" w:rsidRPr="007C7051" w:rsidRDefault="007361D9" w:rsidP="007361D9">
            <w:pPr>
              <w:keepNext/>
              <w:jc w:val="center"/>
              <w:rPr>
                <w:b/>
                <w:bCs/>
              </w:rPr>
            </w:pPr>
            <w:r w:rsidRPr="007C7051">
              <w:rPr>
                <w:rFonts w:ascii="Calibri" w:hAnsi="Calibri" w:cs="Calibri"/>
                <w:b/>
                <w:bCs/>
                <w:color w:val="000000"/>
              </w:rPr>
              <w:t>3.1%</w:t>
            </w:r>
          </w:p>
        </w:tc>
        <w:tc>
          <w:tcPr>
            <w:tcW w:w="12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54D150" w14:textId="77777777" w:rsidR="007361D9" w:rsidRPr="007C7051" w:rsidRDefault="007361D9" w:rsidP="007361D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vAlign w:val="center"/>
          </w:tcPr>
          <w:p w14:paraId="0CEEDA15" w14:textId="77777777" w:rsidR="007361D9" w:rsidRPr="007C7051" w:rsidRDefault="007361D9" w:rsidP="007361D9">
            <w:pPr>
              <w:keepNext/>
              <w:jc w:val="center"/>
              <w:rPr>
                <w:b/>
                <w:bCs/>
              </w:rPr>
            </w:pPr>
            <w:r w:rsidRPr="007C7051">
              <w:rPr>
                <w:rFonts w:ascii="Calibri" w:hAnsi="Calibri" w:cs="Calibri"/>
                <w:b/>
                <w:bCs/>
                <w:color w:val="000000"/>
              </w:rPr>
              <w:t>2.4%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312062" w14:textId="77777777" w:rsidR="007361D9" w:rsidRPr="007C7051" w:rsidRDefault="007361D9" w:rsidP="007361D9">
            <w:pPr>
              <w:keepNext/>
              <w:jc w:val="center"/>
              <w:rPr>
                <w:b/>
                <w:bCs/>
              </w:rPr>
            </w:pPr>
            <w:r w:rsidRPr="007C7051">
              <w:rPr>
                <w:rFonts w:ascii="Calibri" w:hAnsi="Calibri" w:cs="Calibri"/>
                <w:b/>
                <w:bCs/>
                <w:color w:val="000000"/>
              </w:rPr>
              <w:t>2.4%</w:t>
            </w:r>
          </w:p>
        </w:tc>
      </w:tr>
    </w:tbl>
    <w:p w14:paraId="51AD2EB5" w14:textId="77777777" w:rsidR="00C824E7" w:rsidRDefault="00C824E7" w:rsidP="00586C71">
      <w:pPr>
        <w:pStyle w:val="Caption"/>
        <w:keepNext/>
        <w:sectPr w:rsidR="00C824E7" w:rsidSect="00C824E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BCF66BC" w14:textId="7A72CBC6" w:rsidR="00F63034" w:rsidRDefault="00F63034" w:rsidP="00F63034">
      <w:pPr>
        <w:pStyle w:val="Caption"/>
        <w:keepNext/>
      </w:pPr>
      <w:bookmarkStart w:id="8" w:name="_Ref96609982"/>
      <w:r>
        <w:lastRenderedPageBreak/>
        <w:t xml:space="preserve">Table </w:t>
      </w:r>
      <w:fldSimple w:instr=" SEQ Table \* ARABIC ">
        <w:r w:rsidR="00CE5DB1">
          <w:rPr>
            <w:noProof/>
          </w:rPr>
          <w:t>5</w:t>
        </w:r>
      </w:fldSimple>
      <w:bookmarkEnd w:id="8"/>
      <w:r>
        <w:t>:</w:t>
      </w:r>
      <w:r w:rsidRPr="0048272C">
        <w:t xml:space="preserve"> A comparison of the </w:t>
      </w:r>
      <w:r>
        <w:t xml:space="preserve">cumulative </w:t>
      </w:r>
      <w:r w:rsidRPr="0048272C">
        <w:t>percentage spend each month (as a proportion of total yearly spend) between the true values to the simple model and the linear regression model</w:t>
      </w:r>
    </w:p>
    <w:tbl>
      <w:tblPr>
        <w:tblStyle w:val="TableGrid"/>
        <w:tblpPr w:leftFromText="180" w:rightFromText="180" w:vertAnchor="text" w:horzAnchor="margin" w:tblpY="37"/>
        <w:tblW w:w="14005" w:type="dxa"/>
        <w:tblLayout w:type="fixed"/>
        <w:tblLook w:val="04A0" w:firstRow="1" w:lastRow="0" w:firstColumn="1" w:lastColumn="0" w:noHBand="0" w:noVBand="1"/>
      </w:tblPr>
      <w:tblGrid>
        <w:gridCol w:w="2552"/>
        <w:gridCol w:w="1272"/>
        <w:gridCol w:w="1273"/>
        <w:gridCol w:w="1272"/>
        <w:gridCol w:w="1273"/>
        <w:gridCol w:w="1272"/>
        <w:gridCol w:w="1273"/>
        <w:gridCol w:w="1272"/>
        <w:gridCol w:w="1273"/>
        <w:gridCol w:w="1273"/>
      </w:tblGrid>
      <w:tr w:rsidR="00BC1654" w:rsidRPr="00B56B91" w14:paraId="4EB7CCB4" w14:textId="77777777" w:rsidTr="000B21F8">
        <w:trPr>
          <w:trHeight w:val="132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bookmarkEnd w:id="7"/>
          <w:p w14:paraId="079DFDD4" w14:textId="77777777" w:rsidR="00BC1654" w:rsidRPr="00B56B91" w:rsidRDefault="00BC1654" w:rsidP="000B21F8">
            <w:pPr>
              <w:pStyle w:val="ListParagraph"/>
              <w:ind w:left="360"/>
              <w:rPr>
                <w:b/>
                <w:bCs/>
              </w:rPr>
            </w:pPr>
            <w:r w:rsidRPr="00B56B91">
              <w:rPr>
                <w:b/>
                <w:bCs/>
              </w:rPr>
              <w:t> </w:t>
            </w:r>
          </w:p>
        </w:tc>
        <w:tc>
          <w:tcPr>
            <w:tcW w:w="381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531F592C" w14:textId="77777777" w:rsidR="00BC1654" w:rsidRPr="00B56B91" w:rsidRDefault="00BC1654" w:rsidP="000B21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2018/19</w:t>
            </w:r>
          </w:p>
        </w:tc>
        <w:tc>
          <w:tcPr>
            <w:tcW w:w="381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ACDECC" w14:textId="77777777" w:rsidR="00BC1654" w:rsidRPr="00B56B91" w:rsidRDefault="00BC1654" w:rsidP="000B21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2019/20</w:t>
            </w:r>
          </w:p>
        </w:tc>
        <w:tc>
          <w:tcPr>
            <w:tcW w:w="381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EC34F1" w14:textId="77777777" w:rsidR="00BC1654" w:rsidRPr="00B56B91" w:rsidRDefault="00BC1654" w:rsidP="000B21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2020/21</w:t>
            </w:r>
          </w:p>
        </w:tc>
      </w:tr>
      <w:tr w:rsidR="00BC1654" w:rsidRPr="00B56B91" w14:paraId="36938674" w14:textId="77777777" w:rsidTr="000B21F8">
        <w:trPr>
          <w:trHeight w:val="477"/>
        </w:trPr>
        <w:tc>
          <w:tcPr>
            <w:tcW w:w="25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7C34F658" w14:textId="77777777" w:rsidR="00BC1654" w:rsidRPr="00B56B91" w:rsidRDefault="00BC1654" w:rsidP="000B21F8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single" w:sz="12" w:space="0" w:color="auto"/>
            </w:tcBorders>
            <w:noWrap/>
            <w:vAlign w:val="center"/>
            <w:hideMark/>
          </w:tcPr>
          <w:p w14:paraId="16DB8FD3" w14:textId="77777777" w:rsidR="00BC1654" w:rsidRPr="00B56B91" w:rsidRDefault="00BC1654" w:rsidP="000B21F8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True Value</w:t>
            </w:r>
          </w:p>
        </w:tc>
        <w:tc>
          <w:tcPr>
            <w:tcW w:w="1273" w:type="dxa"/>
            <w:tcBorders>
              <w:top w:val="nil"/>
            </w:tcBorders>
            <w:vAlign w:val="center"/>
            <w:hideMark/>
          </w:tcPr>
          <w:p w14:paraId="00293CE4" w14:textId="77777777" w:rsidR="00BC1654" w:rsidRPr="00B56B91" w:rsidRDefault="00BC1654" w:rsidP="000B21F8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Simple Model</w:t>
            </w:r>
          </w:p>
        </w:tc>
        <w:tc>
          <w:tcPr>
            <w:tcW w:w="1272" w:type="dxa"/>
            <w:tcBorders>
              <w:top w:val="nil"/>
              <w:right w:val="single" w:sz="12" w:space="0" w:color="auto"/>
            </w:tcBorders>
            <w:vAlign w:val="center"/>
            <w:hideMark/>
          </w:tcPr>
          <w:p w14:paraId="4911A2E3" w14:textId="77777777" w:rsidR="00BC1654" w:rsidRPr="00B56B91" w:rsidRDefault="00BC1654" w:rsidP="000B21F8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Linear Regression Model</w:t>
            </w:r>
          </w:p>
        </w:tc>
        <w:tc>
          <w:tcPr>
            <w:tcW w:w="1273" w:type="dxa"/>
            <w:tcBorders>
              <w:top w:val="nil"/>
              <w:left w:val="single" w:sz="12" w:space="0" w:color="auto"/>
            </w:tcBorders>
            <w:vAlign w:val="center"/>
          </w:tcPr>
          <w:p w14:paraId="44A2B0D0" w14:textId="77777777" w:rsidR="00BC1654" w:rsidRPr="00B56B91" w:rsidRDefault="00BC1654" w:rsidP="000B21F8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True Value</w:t>
            </w:r>
          </w:p>
        </w:tc>
        <w:tc>
          <w:tcPr>
            <w:tcW w:w="1272" w:type="dxa"/>
            <w:tcBorders>
              <w:top w:val="nil"/>
            </w:tcBorders>
            <w:vAlign w:val="center"/>
          </w:tcPr>
          <w:p w14:paraId="3065F554" w14:textId="77777777" w:rsidR="00BC1654" w:rsidRPr="00B56B91" w:rsidRDefault="00BC1654" w:rsidP="000B21F8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Simple Model</w:t>
            </w:r>
          </w:p>
        </w:tc>
        <w:tc>
          <w:tcPr>
            <w:tcW w:w="1273" w:type="dxa"/>
            <w:tcBorders>
              <w:top w:val="nil"/>
              <w:right w:val="single" w:sz="12" w:space="0" w:color="auto"/>
            </w:tcBorders>
            <w:vAlign w:val="center"/>
          </w:tcPr>
          <w:p w14:paraId="52816238" w14:textId="77777777" w:rsidR="00BC1654" w:rsidRPr="00B56B91" w:rsidRDefault="00BC1654" w:rsidP="000B21F8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Linear Regression Model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</w:tcBorders>
            <w:vAlign w:val="center"/>
          </w:tcPr>
          <w:p w14:paraId="48A1DBDB" w14:textId="77777777" w:rsidR="00BC1654" w:rsidRPr="00B56B91" w:rsidRDefault="00BC1654" w:rsidP="000B21F8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True Value</w:t>
            </w: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047C2E6A" w14:textId="77777777" w:rsidR="00BC1654" w:rsidRPr="00B56B91" w:rsidRDefault="00BC1654" w:rsidP="000B21F8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Simple Model</w:t>
            </w:r>
          </w:p>
        </w:tc>
        <w:tc>
          <w:tcPr>
            <w:tcW w:w="1273" w:type="dxa"/>
            <w:tcBorders>
              <w:top w:val="nil"/>
              <w:right w:val="single" w:sz="12" w:space="0" w:color="auto"/>
            </w:tcBorders>
            <w:vAlign w:val="center"/>
          </w:tcPr>
          <w:p w14:paraId="2B0D416C" w14:textId="77777777" w:rsidR="00BC1654" w:rsidRPr="00B56B91" w:rsidRDefault="00BC1654" w:rsidP="000B21F8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Linear Regression Model</w:t>
            </w:r>
          </w:p>
        </w:tc>
      </w:tr>
      <w:tr w:rsidR="00F70E2D" w:rsidRPr="00B56B91" w14:paraId="1A55219E" w14:textId="77777777" w:rsidTr="000B21F8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5499EF26" w14:textId="77777777" w:rsidR="00F70E2D" w:rsidRPr="00B56B91" w:rsidRDefault="00F70E2D" w:rsidP="00F70E2D">
            <w:r w:rsidRPr="00B56B91">
              <w:t>April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0786AEF" w14:textId="30B1D469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8.00%</w:t>
            </w:r>
          </w:p>
        </w:tc>
        <w:tc>
          <w:tcPr>
            <w:tcW w:w="1273" w:type="dxa"/>
            <w:shd w:val="clear" w:color="auto" w:fill="DEEAF6" w:themeFill="accent5" w:themeFillTint="33"/>
            <w:noWrap/>
            <w:vAlign w:val="bottom"/>
            <w:hideMark/>
          </w:tcPr>
          <w:p w14:paraId="16AB1C68" w14:textId="62ED54B1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7.80%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D6D837E" w14:textId="63F1BD19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8.07%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2D5A5E14" w14:textId="5B8267E1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7.71%</w:t>
            </w:r>
          </w:p>
        </w:tc>
        <w:tc>
          <w:tcPr>
            <w:tcW w:w="1272" w:type="dxa"/>
            <w:shd w:val="clear" w:color="auto" w:fill="DEEAF6" w:themeFill="accent5" w:themeFillTint="33"/>
            <w:vAlign w:val="bottom"/>
          </w:tcPr>
          <w:p w14:paraId="7ED7EEEB" w14:textId="5E51DC4E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7.78%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3CF59C6A" w14:textId="3B957237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7.98%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357E6FD7" w14:textId="3E220E13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8.34%</w:t>
            </w:r>
          </w:p>
        </w:tc>
        <w:tc>
          <w:tcPr>
            <w:tcW w:w="1273" w:type="dxa"/>
            <w:shd w:val="clear" w:color="auto" w:fill="DEEAF6" w:themeFill="accent5" w:themeFillTint="33"/>
            <w:vAlign w:val="bottom"/>
          </w:tcPr>
          <w:p w14:paraId="4E956312" w14:textId="22C6796C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7.82%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54068CD1" w14:textId="5DA94CC4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7.91%</w:t>
            </w:r>
          </w:p>
        </w:tc>
      </w:tr>
      <w:tr w:rsidR="00F70E2D" w:rsidRPr="00B56B91" w14:paraId="40C1B831" w14:textId="77777777" w:rsidTr="000B21F8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EF76F42" w14:textId="77777777" w:rsidR="00F70E2D" w:rsidRPr="00B56B91" w:rsidRDefault="00F70E2D" w:rsidP="00F70E2D">
            <w:r w:rsidRPr="00B56B91">
              <w:t>May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05740E0C" w14:textId="7B39BDC4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16.40%</w:t>
            </w:r>
          </w:p>
        </w:tc>
        <w:tc>
          <w:tcPr>
            <w:tcW w:w="1273" w:type="dxa"/>
            <w:noWrap/>
            <w:vAlign w:val="bottom"/>
            <w:hideMark/>
          </w:tcPr>
          <w:p w14:paraId="504B9862" w14:textId="256E2711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16.06%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7F21C003" w14:textId="0678EA7E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16.46%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vAlign w:val="bottom"/>
          </w:tcPr>
          <w:p w14:paraId="4CD0402E" w14:textId="16C3B3E3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15.98%</w:t>
            </w:r>
          </w:p>
        </w:tc>
        <w:tc>
          <w:tcPr>
            <w:tcW w:w="1272" w:type="dxa"/>
            <w:vAlign w:val="bottom"/>
          </w:tcPr>
          <w:p w14:paraId="6C3AFFBF" w14:textId="55F908FE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15.98%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2E7236D4" w14:textId="602B63A7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16.35%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vAlign w:val="bottom"/>
          </w:tcPr>
          <w:p w14:paraId="6EAE20FB" w14:textId="7FA9181E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16.17%</w:t>
            </w:r>
          </w:p>
        </w:tc>
        <w:tc>
          <w:tcPr>
            <w:tcW w:w="1273" w:type="dxa"/>
            <w:vAlign w:val="bottom"/>
          </w:tcPr>
          <w:p w14:paraId="29341F57" w14:textId="031539F5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15.75%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4FA324A5" w14:textId="6D573CD5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15.99%</w:t>
            </w:r>
          </w:p>
        </w:tc>
      </w:tr>
      <w:tr w:rsidR="00F70E2D" w:rsidRPr="00B56B91" w14:paraId="6B0D9B9B" w14:textId="77777777" w:rsidTr="000B21F8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62C3F901" w14:textId="77777777" w:rsidR="00F70E2D" w:rsidRPr="00B56B91" w:rsidRDefault="00F70E2D" w:rsidP="00F70E2D">
            <w:r w:rsidRPr="00B56B91">
              <w:t>June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33486F7" w14:textId="28B0B16E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24.69%</w:t>
            </w:r>
          </w:p>
        </w:tc>
        <w:tc>
          <w:tcPr>
            <w:tcW w:w="1273" w:type="dxa"/>
            <w:shd w:val="clear" w:color="auto" w:fill="DEEAF6" w:themeFill="accent5" w:themeFillTint="33"/>
            <w:noWrap/>
            <w:vAlign w:val="bottom"/>
            <w:hideMark/>
          </w:tcPr>
          <w:p w14:paraId="612A5EE9" w14:textId="43638972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24.40%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187FECA" w14:textId="04FDB94B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24.70%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494665AC" w14:textId="468D81A0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23.77%</w:t>
            </w:r>
          </w:p>
        </w:tc>
        <w:tc>
          <w:tcPr>
            <w:tcW w:w="1272" w:type="dxa"/>
            <w:shd w:val="clear" w:color="auto" w:fill="DEEAF6" w:themeFill="accent5" w:themeFillTint="33"/>
            <w:vAlign w:val="bottom"/>
          </w:tcPr>
          <w:p w14:paraId="2CB74C9B" w14:textId="0C471961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23.94%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0F0296FA" w14:textId="4739CB48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24.45%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71669EED" w14:textId="01C77BFA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24.39%</w:t>
            </w:r>
          </w:p>
        </w:tc>
        <w:tc>
          <w:tcPr>
            <w:tcW w:w="1273" w:type="dxa"/>
            <w:shd w:val="clear" w:color="auto" w:fill="DEEAF6" w:themeFill="accent5" w:themeFillTint="33"/>
            <w:vAlign w:val="bottom"/>
          </w:tcPr>
          <w:p w14:paraId="08EBED73" w14:textId="5D66BC84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24.24%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5E011849" w14:textId="449A25CB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24.42%</w:t>
            </w:r>
          </w:p>
        </w:tc>
      </w:tr>
      <w:tr w:rsidR="00F70E2D" w:rsidRPr="00B56B91" w14:paraId="5075D70B" w14:textId="77777777" w:rsidTr="000B21F8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04178984" w14:textId="77777777" w:rsidR="00F70E2D" w:rsidRPr="00B56B91" w:rsidRDefault="00F70E2D" w:rsidP="00F70E2D">
            <w:r w:rsidRPr="00B56B91">
              <w:t>July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16033857" w14:textId="292144CF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32.90%</w:t>
            </w:r>
          </w:p>
        </w:tc>
        <w:tc>
          <w:tcPr>
            <w:tcW w:w="1273" w:type="dxa"/>
            <w:noWrap/>
            <w:vAlign w:val="bottom"/>
            <w:hideMark/>
          </w:tcPr>
          <w:p w14:paraId="14951B9A" w14:textId="0E5772C3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32.65%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3750AD0D" w14:textId="15530EE4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33.04%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vAlign w:val="bottom"/>
          </w:tcPr>
          <w:p w14:paraId="2D0B97DA" w14:textId="711AEBF4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31.85%</w:t>
            </w:r>
          </w:p>
        </w:tc>
        <w:tc>
          <w:tcPr>
            <w:tcW w:w="1272" w:type="dxa"/>
            <w:vAlign w:val="bottom"/>
          </w:tcPr>
          <w:p w14:paraId="30CD4EA7" w14:textId="59C887DF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32.44%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4F4F28F2" w14:textId="1C67CD6A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32.94%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vAlign w:val="bottom"/>
          </w:tcPr>
          <w:p w14:paraId="2AE2A24F" w14:textId="1540EE96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32.90%</w:t>
            </w:r>
          </w:p>
        </w:tc>
        <w:tc>
          <w:tcPr>
            <w:tcW w:w="1273" w:type="dxa"/>
            <w:vAlign w:val="bottom"/>
          </w:tcPr>
          <w:p w14:paraId="537974BC" w14:textId="60164140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32.88%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7580276F" w14:textId="2595D87A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32.97%</w:t>
            </w:r>
          </w:p>
        </w:tc>
      </w:tr>
      <w:tr w:rsidR="00F70E2D" w:rsidRPr="00B56B91" w14:paraId="1419E652" w14:textId="77777777" w:rsidTr="000B21F8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53C79570" w14:textId="77777777" w:rsidR="00F70E2D" w:rsidRPr="00B56B91" w:rsidRDefault="00F70E2D" w:rsidP="00F70E2D">
            <w:r w:rsidRPr="00B56B91">
              <w:t>August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ABCDEBA" w14:textId="5DD23C7B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41.36%</w:t>
            </w:r>
          </w:p>
        </w:tc>
        <w:tc>
          <w:tcPr>
            <w:tcW w:w="1273" w:type="dxa"/>
            <w:shd w:val="clear" w:color="auto" w:fill="DEEAF6" w:themeFill="accent5" w:themeFillTint="33"/>
            <w:noWrap/>
            <w:vAlign w:val="bottom"/>
            <w:hideMark/>
          </w:tcPr>
          <w:p w14:paraId="2AB954C5" w14:textId="419912A4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40.99%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2F5E32F" w14:textId="74D5D2A3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41.34%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4E193ED7" w14:textId="4CB82B11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40.40%</w:t>
            </w:r>
          </w:p>
        </w:tc>
        <w:tc>
          <w:tcPr>
            <w:tcW w:w="1272" w:type="dxa"/>
            <w:shd w:val="clear" w:color="auto" w:fill="DEEAF6" w:themeFill="accent5" w:themeFillTint="33"/>
            <w:vAlign w:val="bottom"/>
          </w:tcPr>
          <w:p w14:paraId="398CA3DC" w14:textId="03C8C91E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40.72%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6376FC05" w14:textId="2AF3827D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41.27%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66AF487F" w14:textId="1EE4F4F5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40.59%</w:t>
            </w:r>
          </w:p>
        </w:tc>
        <w:tc>
          <w:tcPr>
            <w:tcW w:w="1273" w:type="dxa"/>
            <w:shd w:val="clear" w:color="auto" w:fill="DEEAF6" w:themeFill="accent5" w:themeFillTint="33"/>
            <w:vAlign w:val="bottom"/>
          </w:tcPr>
          <w:p w14:paraId="6D7D1390" w14:textId="29CA1E6F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40.94%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72647CF0" w14:textId="39F29184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41.06%</w:t>
            </w:r>
          </w:p>
        </w:tc>
      </w:tr>
      <w:tr w:rsidR="00F70E2D" w:rsidRPr="00B56B91" w14:paraId="0D77E3EA" w14:textId="77777777" w:rsidTr="000B21F8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0A59741" w14:textId="77777777" w:rsidR="00F70E2D" w:rsidRPr="00B56B91" w:rsidRDefault="00F70E2D" w:rsidP="00F70E2D">
            <w:r w:rsidRPr="00B56B91">
              <w:t>September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2BA86CAF" w14:textId="0F6A0A92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49.50%</w:t>
            </w:r>
          </w:p>
        </w:tc>
        <w:tc>
          <w:tcPr>
            <w:tcW w:w="1273" w:type="dxa"/>
            <w:noWrap/>
            <w:vAlign w:val="bottom"/>
            <w:hideMark/>
          </w:tcPr>
          <w:p w14:paraId="775E47C4" w14:textId="738B4944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49.25%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76F4345E" w14:textId="685F12A1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49.70%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vAlign w:val="bottom"/>
          </w:tcPr>
          <w:p w14:paraId="1189F842" w14:textId="088D19EB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48.69%</w:t>
            </w:r>
          </w:p>
        </w:tc>
        <w:tc>
          <w:tcPr>
            <w:tcW w:w="1272" w:type="dxa"/>
            <w:vAlign w:val="bottom"/>
          </w:tcPr>
          <w:p w14:paraId="7505A40F" w14:textId="248E76FA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48.90%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7473DA78" w14:textId="5B4968FA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49.60%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vAlign w:val="bottom"/>
          </w:tcPr>
          <w:p w14:paraId="1B9113B9" w14:textId="6B6CF4EB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49.23%</w:t>
            </w:r>
          </w:p>
        </w:tc>
        <w:tc>
          <w:tcPr>
            <w:tcW w:w="1273" w:type="dxa"/>
            <w:vAlign w:val="bottom"/>
          </w:tcPr>
          <w:p w14:paraId="27AE69DD" w14:textId="74057BAC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49.52%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69200BF7" w14:textId="21E05CB8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49.60%</w:t>
            </w:r>
          </w:p>
        </w:tc>
      </w:tr>
      <w:tr w:rsidR="00F70E2D" w:rsidRPr="00B56B91" w14:paraId="7651ABF2" w14:textId="77777777" w:rsidTr="000B21F8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4B6F5209" w14:textId="77777777" w:rsidR="00F70E2D" w:rsidRPr="00B56B91" w:rsidRDefault="00F70E2D" w:rsidP="00F70E2D">
            <w:r w:rsidRPr="00B56B91">
              <w:t>October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8AB0ECC" w14:textId="57C7BC34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58.45%</w:t>
            </w:r>
          </w:p>
        </w:tc>
        <w:tc>
          <w:tcPr>
            <w:tcW w:w="1273" w:type="dxa"/>
            <w:shd w:val="clear" w:color="auto" w:fill="DEEAF6" w:themeFill="accent5" w:themeFillTint="33"/>
            <w:noWrap/>
            <w:vAlign w:val="bottom"/>
            <w:hideMark/>
          </w:tcPr>
          <w:p w14:paraId="25634E53" w14:textId="2BC3B7E3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58.37%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DC0920D" w14:textId="501BA213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58.71%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0FAFFD01" w14:textId="6D33969A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57.65%</w:t>
            </w:r>
          </w:p>
        </w:tc>
        <w:tc>
          <w:tcPr>
            <w:tcW w:w="1272" w:type="dxa"/>
            <w:shd w:val="clear" w:color="auto" w:fill="DEEAF6" w:themeFill="accent5" w:themeFillTint="33"/>
            <w:vAlign w:val="bottom"/>
          </w:tcPr>
          <w:p w14:paraId="6D89C1A3" w14:textId="0ACCE286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57.88%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58D685D8" w14:textId="310C5710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58.66%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38D9A495" w14:textId="3B7F0422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58.14%</w:t>
            </w:r>
          </w:p>
        </w:tc>
        <w:tc>
          <w:tcPr>
            <w:tcW w:w="1273" w:type="dxa"/>
            <w:shd w:val="clear" w:color="auto" w:fill="DEEAF6" w:themeFill="accent5" w:themeFillTint="33"/>
            <w:vAlign w:val="bottom"/>
          </w:tcPr>
          <w:p w14:paraId="108BBE4D" w14:textId="123C0299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58.41%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5C103F1A" w14:textId="5ECB911E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58.51%</w:t>
            </w:r>
          </w:p>
        </w:tc>
      </w:tr>
      <w:tr w:rsidR="00F70E2D" w:rsidRPr="00B56B91" w14:paraId="6A72294D" w14:textId="77777777" w:rsidTr="000B21F8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363E6B82" w14:textId="77777777" w:rsidR="00F70E2D" w:rsidRPr="00B56B91" w:rsidRDefault="00F70E2D" w:rsidP="00F70E2D">
            <w:r w:rsidRPr="00B56B91">
              <w:t>November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13AF392A" w14:textId="6D701269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67.08%</w:t>
            </w:r>
          </w:p>
        </w:tc>
        <w:tc>
          <w:tcPr>
            <w:tcW w:w="1273" w:type="dxa"/>
            <w:noWrap/>
            <w:vAlign w:val="bottom"/>
            <w:hideMark/>
          </w:tcPr>
          <w:p w14:paraId="4430B90E" w14:textId="50A3971D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66.89%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1C381BCA" w14:textId="3DE0EB7A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67.27%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vAlign w:val="bottom"/>
          </w:tcPr>
          <w:p w14:paraId="2F8ED5B9" w14:textId="0E1281B9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66.01%</w:t>
            </w:r>
          </w:p>
        </w:tc>
        <w:tc>
          <w:tcPr>
            <w:tcW w:w="1272" w:type="dxa"/>
            <w:vAlign w:val="bottom"/>
          </w:tcPr>
          <w:p w14:paraId="15A9DCAC" w14:textId="6E940561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66.47%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30836A62" w14:textId="5F2F74DD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67.21%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vAlign w:val="bottom"/>
          </w:tcPr>
          <w:p w14:paraId="3C94F869" w14:textId="2396AE75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66.47%</w:t>
            </w:r>
          </w:p>
        </w:tc>
        <w:tc>
          <w:tcPr>
            <w:tcW w:w="1273" w:type="dxa"/>
            <w:vAlign w:val="bottom"/>
          </w:tcPr>
          <w:p w14:paraId="3A0AA092" w14:textId="7458547B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66.62%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44BEE55E" w14:textId="5A856935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66.90%</w:t>
            </w:r>
          </w:p>
        </w:tc>
      </w:tr>
      <w:tr w:rsidR="00F70E2D" w:rsidRPr="00B56B91" w14:paraId="3A589122" w14:textId="77777777" w:rsidTr="000B21F8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38A76D3A" w14:textId="77777777" w:rsidR="00F70E2D" w:rsidRPr="00B56B91" w:rsidRDefault="00F70E2D" w:rsidP="00F70E2D">
            <w:r w:rsidRPr="00B56B91">
              <w:t>December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A162663" w14:textId="746B67B1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75.41%</w:t>
            </w:r>
          </w:p>
        </w:tc>
        <w:tc>
          <w:tcPr>
            <w:tcW w:w="1273" w:type="dxa"/>
            <w:shd w:val="clear" w:color="auto" w:fill="DEEAF6" w:themeFill="accent5" w:themeFillTint="33"/>
            <w:noWrap/>
            <w:vAlign w:val="bottom"/>
            <w:hideMark/>
          </w:tcPr>
          <w:p w14:paraId="0ECB4F0D" w14:textId="620C7BA0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75.47%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8A46A35" w14:textId="6B45B870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75.51%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468B4DD8" w14:textId="5771E8C0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74.41%</w:t>
            </w:r>
          </w:p>
        </w:tc>
        <w:tc>
          <w:tcPr>
            <w:tcW w:w="1272" w:type="dxa"/>
            <w:shd w:val="clear" w:color="auto" w:fill="DEEAF6" w:themeFill="accent5" w:themeFillTint="33"/>
            <w:vAlign w:val="bottom"/>
          </w:tcPr>
          <w:p w14:paraId="69362218" w14:textId="7F7C5E8F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75.03%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5CC6EF9F" w14:textId="1E143801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75.42%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56E39F18" w14:textId="2D6D9270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75.27%</w:t>
            </w:r>
          </w:p>
        </w:tc>
        <w:tc>
          <w:tcPr>
            <w:tcW w:w="1273" w:type="dxa"/>
            <w:shd w:val="clear" w:color="auto" w:fill="DEEAF6" w:themeFill="accent5" w:themeFillTint="33"/>
            <w:vAlign w:val="bottom"/>
          </w:tcPr>
          <w:p w14:paraId="755B50FB" w14:textId="57A035C7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75.08%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4B3E914A" w14:textId="6D166DC1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75.12%</w:t>
            </w:r>
          </w:p>
        </w:tc>
      </w:tr>
      <w:tr w:rsidR="00F70E2D" w:rsidRPr="00B56B91" w14:paraId="4AC9FF82" w14:textId="77777777" w:rsidTr="000B21F8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72C4A99A" w14:textId="77777777" w:rsidR="00F70E2D" w:rsidRPr="00B56B91" w:rsidRDefault="00F70E2D" w:rsidP="00F70E2D">
            <w:r w:rsidRPr="00B56B91">
              <w:t>January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7DAB7A7E" w14:textId="39E36C96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83.97%</w:t>
            </w:r>
          </w:p>
        </w:tc>
        <w:tc>
          <w:tcPr>
            <w:tcW w:w="1273" w:type="dxa"/>
            <w:noWrap/>
            <w:vAlign w:val="bottom"/>
            <w:hideMark/>
          </w:tcPr>
          <w:p w14:paraId="36873639" w14:textId="217C9808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83.92%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7C380BAF" w14:textId="2F34BD51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83.85%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vAlign w:val="bottom"/>
          </w:tcPr>
          <w:p w14:paraId="0D2536C2" w14:textId="2A098321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82.90%</w:t>
            </w:r>
          </w:p>
        </w:tc>
        <w:tc>
          <w:tcPr>
            <w:tcW w:w="1272" w:type="dxa"/>
            <w:vAlign w:val="bottom"/>
          </w:tcPr>
          <w:p w14:paraId="67B25F74" w14:textId="56732D87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83.50%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4104E113" w14:textId="5A7EEC86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83.74%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vAlign w:val="bottom"/>
          </w:tcPr>
          <w:p w14:paraId="733B5A02" w14:textId="2FE6DB23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83.56%</w:t>
            </w:r>
          </w:p>
        </w:tc>
        <w:tc>
          <w:tcPr>
            <w:tcW w:w="1273" w:type="dxa"/>
            <w:vAlign w:val="bottom"/>
          </w:tcPr>
          <w:p w14:paraId="46F90333" w14:textId="0D2812F3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83.30%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59FC9AC3" w14:textId="1CB9582D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83.34%</w:t>
            </w:r>
          </w:p>
        </w:tc>
      </w:tr>
      <w:tr w:rsidR="00F70E2D" w:rsidRPr="00B56B91" w14:paraId="39FF5F9C" w14:textId="77777777" w:rsidTr="000B21F8">
        <w:trPr>
          <w:trHeight w:val="31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425C01CE" w14:textId="77777777" w:rsidR="00F70E2D" w:rsidRPr="00B56B91" w:rsidRDefault="00F70E2D" w:rsidP="00F70E2D">
            <w:r w:rsidRPr="00B56B91">
              <w:t>February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EBE2509" w14:textId="63F0023D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91.64%</w:t>
            </w:r>
          </w:p>
        </w:tc>
        <w:tc>
          <w:tcPr>
            <w:tcW w:w="1273" w:type="dxa"/>
            <w:shd w:val="clear" w:color="auto" w:fill="DEEAF6" w:themeFill="accent5" w:themeFillTint="33"/>
            <w:noWrap/>
            <w:vAlign w:val="bottom"/>
            <w:hideMark/>
          </w:tcPr>
          <w:p w14:paraId="3F9FA502" w14:textId="5FDCE4D0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91.54%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A8A164A" w14:textId="79C01D63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91.54%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4E86098C" w14:textId="2328C958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90.66%</w:t>
            </w:r>
          </w:p>
        </w:tc>
        <w:tc>
          <w:tcPr>
            <w:tcW w:w="1272" w:type="dxa"/>
            <w:shd w:val="clear" w:color="auto" w:fill="DEEAF6" w:themeFill="accent5" w:themeFillTint="33"/>
            <w:vAlign w:val="bottom"/>
          </w:tcPr>
          <w:p w14:paraId="07291296" w14:textId="7A34C87D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91.51%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4DBAA5FC" w14:textId="4BB7B01D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91.62%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0C7E95CF" w14:textId="5E14ECDD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91.31%</w:t>
            </w:r>
          </w:p>
        </w:tc>
        <w:tc>
          <w:tcPr>
            <w:tcW w:w="1273" w:type="dxa"/>
            <w:shd w:val="clear" w:color="auto" w:fill="DEEAF6" w:themeFill="accent5" w:themeFillTint="33"/>
            <w:vAlign w:val="bottom"/>
          </w:tcPr>
          <w:p w14:paraId="6F45D0D5" w14:textId="35A4FA1D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90.98%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646962C7" w14:textId="6BA7ADA9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91.10%</w:t>
            </w:r>
          </w:p>
        </w:tc>
      </w:tr>
      <w:tr w:rsidR="00F70E2D" w:rsidRPr="00B56B91" w14:paraId="77FDA26A" w14:textId="77777777" w:rsidTr="000B21F8">
        <w:trPr>
          <w:trHeight w:val="15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503AC0E" w14:textId="77777777" w:rsidR="00F70E2D" w:rsidRPr="00B56B91" w:rsidRDefault="00F70E2D" w:rsidP="00F70E2D">
            <w:r w:rsidRPr="00B56B91">
              <w:t>March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48EC5A65" w14:textId="0BB6676F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100.00%</w:t>
            </w:r>
          </w:p>
        </w:tc>
        <w:tc>
          <w:tcPr>
            <w:tcW w:w="1273" w:type="dxa"/>
            <w:noWrap/>
            <w:vAlign w:val="bottom"/>
            <w:hideMark/>
          </w:tcPr>
          <w:p w14:paraId="2E54AF35" w14:textId="06AA5384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100.00%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01D247EB" w14:textId="3147DAF6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100.00%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vAlign w:val="bottom"/>
          </w:tcPr>
          <w:p w14:paraId="7B1DB6AB" w14:textId="3D910B9F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100.00%</w:t>
            </w:r>
          </w:p>
        </w:tc>
        <w:tc>
          <w:tcPr>
            <w:tcW w:w="1272" w:type="dxa"/>
            <w:vAlign w:val="bottom"/>
          </w:tcPr>
          <w:p w14:paraId="3DF5B616" w14:textId="080EB9AD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100.00%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16572D0E" w14:textId="6CD7B064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100.00%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vAlign w:val="bottom"/>
          </w:tcPr>
          <w:p w14:paraId="29683B5E" w14:textId="1E7E4943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100.00%</w:t>
            </w:r>
          </w:p>
        </w:tc>
        <w:tc>
          <w:tcPr>
            <w:tcW w:w="1273" w:type="dxa"/>
            <w:vAlign w:val="bottom"/>
          </w:tcPr>
          <w:p w14:paraId="1EBA515A" w14:textId="776C3361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100.00%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vAlign w:val="bottom"/>
          </w:tcPr>
          <w:p w14:paraId="6CCFB91E" w14:textId="3A3571A6" w:rsidR="00F70E2D" w:rsidRPr="00B56B91" w:rsidRDefault="00F70E2D" w:rsidP="00F70E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100.00%</w:t>
            </w:r>
          </w:p>
        </w:tc>
      </w:tr>
      <w:tr w:rsidR="00F70E2D" w:rsidRPr="00B56B91" w14:paraId="58A41A84" w14:textId="77777777" w:rsidTr="000B21F8">
        <w:trPr>
          <w:trHeight w:val="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hideMark/>
          </w:tcPr>
          <w:p w14:paraId="584CB9B6" w14:textId="77777777" w:rsidR="00F70E2D" w:rsidRPr="00B56B91" w:rsidRDefault="00F70E2D" w:rsidP="00F70E2D">
            <w:pPr>
              <w:pStyle w:val="ListParagraph"/>
              <w:ind w:left="360"/>
            </w:pP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27D690A" w14:textId="77777777" w:rsidR="00F70E2D" w:rsidRPr="00B56B91" w:rsidRDefault="00F70E2D" w:rsidP="00F70E2D">
            <w:pPr>
              <w:pStyle w:val="ListParagraph"/>
              <w:ind w:left="360"/>
              <w:jc w:val="center"/>
            </w:pPr>
          </w:p>
        </w:tc>
        <w:tc>
          <w:tcPr>
            <w:tcW w:w="1273" w:type="dxa"/>
            <w:shd w:val="clear" w:color="auto" w:fill="DEEAF6" w:themeFill="accent5" w:themeFillTint="33"/>
            <w:noWrap/>
            <w:vAlign w:val="bottom"/>
            <w:hideMark/>
          </w:tcPr>
          <w:p w14:paraId="70336A04" w14:textId="77777777" w:rsidR="00F70E2D" w:rsidRPr="00B56B91" w:rsidRDefault="00F70E2D" w:rsidP="00F70E2D">
            <w:pPr>
              <w:pStyle w:val="ListParagraph"/>
              <w:ind w:left="360"/>
              <w:jc w:val="center"/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F76FCEE" w14:textId="05A3AC33" w:rsidR="00F70E2D" w:rsidRPr="00B56B91" w:rsidRDefault="00F70E2D" w:rsidP="00F70E2D">
            <w:pPr>
              <w:pStyle w:val="ListParagraph"/>
              <w:ind w:left="36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12D242CE" w14:textId="0DC29EC1" w:rsidR="00F70E2D" w:rsidRPr="00B56B91" w:rsidRDefault="00F70E2D" w:rsidP="00F70E2D">
            <w:pPr>
              <w:pStyle w:val="ListParagraph"/>
              <w:ind w:left="36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2" w:type="dxa"/>
            <w:shd w:val="clear" w:color="auto" w:fill="DEEAF6" w:themeFill="accent5" w:themeFillTint="33"/>
            <w:vAlign w:val="bottom"/>
          </w:tcPr>
          <w:p w14:paraId="2759948E" w14:textId="77777777" w:rsidR="00F70E2D" w:rsidRPr="00B56B91" w:rsidRDefault="00F70E2D" w:rsidP="00F70E2D">
            <w:pPr>
              <w:pStyle w:val="ListParagraph"/>
              <w:ind w:left="360"/>
              <w:jc w:val="center"/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32A4DC82" w14:textId="06BA733C" w:rsidR="00F70E2D" w:rsidRPr="00B56B91" w:rsidRDefault="00F70E2D" w:rsidP="00F70E2D">
            <w:pPr>
              <w:pStyle w:val="ListParagraph"/>
              <w:ind w:left="36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79AC47A8" w14:textId="77777777" w:rsidR="00F70E2D" w:rsidRPr="00B56B91" w:rsidRDefault="00F70E2D" w:rsidP="00F70E2D">
            <w:pPr>
              <w:pStyle w:val="ListParagraph"/>
              <w:ind w:left="360"/>
              <w:jc w:val="center"/>
            </w:pPr>
          </w:p>
        </w:tc>
        <w:tc>
          <w:tcPr>
            <w:tcW w:w="1273" w:type="dxa"/>
            <w:shd w:val="clear" w:color="auto" w:fill="DEEAF6" w:themeFill="accent5" w:themeFillTint="33"/>
            <w:vAlign w:val="bottom"/>
          </w:tcPr>
          <w:p w14:paraId="6145EF77" w14:textId="77777777" w:rsidR="00F70E2D" w:rsidRPr="00B56B91" w:rsidRDefault="00F70E2D" w:rsidP="00F70E2D">
            <w:pPr>
              <w:pStyle w:val="ListParagraph"/>
              <w:ind w:left="360"/>
              <w:jc w:val="center"/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530096C0" w14:textId="6924C919" w:rsidR="00F70E2D" w:rsidRPr="00B56B91" w:rsidRDefault="00F70E2D" w:rsidP="00F70E2D">
            <w:pPr>
              <w:pStyle w:val="ListParagraph"/>
              <w:ind w:left="360"/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70E2D" w:rsidRPr="00B56B91" w14:paraId="641D4617" w14:textId="77777777" w:rsidTr="00F70E2D">
        <w:trPr>
          <w:trHeight w:val="24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9A20D5" w14:textId="77777777" w:rsidR="00F70E2D" w:rsidRPr="00B56B91" w:rsidRDefault="00F70E2D" w:rsidP="00F70E2D">
            <w:pPr>
              <w:rPr>
                <w:b/>
                <w:bCs/>
              </w:rPr>
            </w:pPr>
            <w:r w:rsidRPr="00B56B91">
              <w:rPr>
                <w:b/>
                <w:bCs/>
              </w:rPr>
              <w:t>Sum of absolute difference each month</w:t>
            </w:r>
          </w:p>
        </w:tc>
        <w:tc>
          <w:tcPr>
            <w:tcW w:w="1272" w:type="dxa"/>
            <w:tcBorders>
              <w:left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14:paraId="75EA4DEA" w14:textId="146FF403" w:rsidR="00F70E2D" w:rsidRPr="00B56B91" w:rsidRDefault="00F70E2D" w:rsidP="00F70E2D">
            <w:pPr>
              <w:pStyle w:val="ListParagraph"/>
              <w:ind w:left="36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3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8BBEF3D" w14:textId="2386581B" w:rsidR="00F70E2D" w:rsidRPr="00F70E2D" w:rsidRDefault="00F70E2D" w:rsidP="00F70E2D">
            <w:pPr>
              <w:jc w:val="center"/>
              <w:rPr>
                <w:b/>
                <w:bCs/>
              </w:rPr>
            </w:pPr>
            <w:r w:rsidRPr="00F70E2D">
              <w:rPr>
                <w:rFonts w:ascii="Calibri" w:hAnsi="Calibri" w:cs="Calibri"/>
                <w:b/>
                <w:bCs/>
                <w:color w:val="000000"/>
              </w:rPr>
              <w:t>2.2%</w:t>
            </w:r>
          </w:p>
        </w:tc>
        <w:tc>
          <w:tcPr>
            <w:tcW w:w="1272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CD5B9EC" w14:textId="2AEB5B4F" w:rsidR="00F70E2D" w:rsidRPr="00F70E2D" w:rsidRDefault="00F70E2D" w:rsidP="00F70E2D">
            <w:pPr>
              <w:keepNext/>
              <w:jc w:val="center"/>
              <w:rPr>
                <w:b/>
                <w:bCs/>
              </w:rPr>
            </w:pPr>
            <w:r w:rsidRPr="00F70E2D">
              <w:rPr>
                <w:rFonts w:ascii="Calibri" w:hAnsi="Calibri" w:cs="Calibri"/>
                <w:b/>
                <w:bCs/>
                <w:color w:val="000000"/>
              </w:rPr>
              <w:t>1.2%</w:t>
            </w:r>
          </w:p>
        </w:tc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4A6681" w14:textId="1F862233" w:rsidR="00F70E2D" w:rsidRPr="00F70E2D" w:rsidRDefault="00F70E2D" w:rsidP="00F70E2D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14:paraId="174B3F8D" w14:textId="0032BAFA" w:rsidR="00F70E2D" w:rsidRPr="00F70E2D" w:rsidRDefault="00F70E2D" w:rsidP="00F70E2D">
            <w:pPr>
              <w:keepNext/>
              <w:jc w:val="center"/>
              <w:rPr>
                <w:b/>
                <w:bCs/>
              </w:rPr>
            </w:pPr>
            <w:r w:rsidRPr="00F70E2D">
              <w:rPr>
                <w:rFonts w:ascii="Calibri" w:hAnsi="Calibri" w:cs="Calibri"/>
                <w:b/>
                <w:bCs/>
                <w:color w:val="000000"/>
              </w:rPr>
              <w:t>4.1%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D1D226" w14:textId="4F3AC6B7" w:rsidR="00F70E2D" w:rsidRPr="00F70E2D" w:rsidRDefault="00F70E2D" w:rsidP="00F70E2D">
            <w:pPr>
              <w:keepNext/>
              <w:jc w:val="center"/>
              <w:rPr>
                <w:b/>
                <w:bCs/>
              </w:rPr>
            </w:pPr>
            <w:r w:rsidRPr="00F70E2D">
              <w:rPr>
                <w:rFonts w:ascii="Calibri" w:hAnsi="Calibri" w:cs="Calibri"/>
                <w:b/>
                <w:bCs/>
                <w:color w:val="000000"/>
              </w:rPr>
              <w:t>9.2%</w:t>
            </w:r>
          </w:p>
        </w:tc>
        <w:tc>
          <w:tcPr>
            <w:tcW w:w="12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77D20C" w14:textId="77DACF99" w:rsidR="00F70E2D" w:rsidRPr="00F70E2D" w:rsidRDefault="00F70E2D" w:rsidP="00F70E2D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vAlign w:val="center"/>
          </w:tcPr>
          <w:p w14:paraId="07C1F2D3" w14:textId="0CC7B242" w:rsidR="00F70E2D" w:rsidRPr="00F70E2D" w:rsidRDefault="00F70E2D" w:rsidP="00F70E2D">
            <w:pPr>
              <w:keepNext/>
              <w:jc w:val="center"/>
              <w:rPr>
                <w:b/>
                <w:bCs/>
              </w:rPr>
            </w:pPr>
            <w:r w:rsidRPr="00F70E2D">
              <w:rPr>
                <w:rFonts w:ascii="Calibri" w:hAnsi="Calibri" w:cs="Calibri"/>
                <w:b/>
                <w:bCs/>
                <w:color w:val="000000"/>
              </w:rPr>
              <w:t>3.0%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8D41AC" w14:textId="125C2C08" w:rsidR="00F70E2D" w:rsidRPr="00F70E2D" w:rsidRDefault="00F70E2D" w:rsidP="00F70E2D">
            <w:pPr>
              <w:keepNext/>
              <w:jc w:val="center"/>
              <w:rPr>
                <w:b/>
                <w:bCs/>
              </w:rPr>
            </w:pPr>
            <w:r w:rsidRPr="00F70E2D">
              <w:rPr>
                <w:rFonts w:ascii="Calibri" w:hAnsi="Calibri" w:cs="Calibri"/>
                <w:b/>
                <w:bCs/>
                <w:color w:val="000000"/>
              </w:rPr>
              <w:t>2.9%</w:t>
            </w:r>
          </w:p>
        </w:tc>
      </w:tr>
    </w:tbl>
    <w:p w14:paraId="4E648B30" w14:textId="08FD16F5" w:rsidR="00FC5FD9" w:rsidRDefault="00FC5FD9" w:rsidP="0047623A">
      <w:pPr>
        <w:pStyle w:val="Caption"/>
        <w:keepNext/>
      </w:pPr>
      <w:bookmarkStart w:id="9" w:name="_Ref96593016"/>
    </w:p>
    <w:p w14:paraId="34287986" w14:textId="6D19F929" w:rsidR="00F058C0" w:rsidRDefault="00F058C0" w:rsidP="00F058C0">
      <w:pPr>
        <w:pStyle w:val="ListParagraph"/>
        <w:numPr>
          <w:ilvl w:val="0"/>
          <w:numId w:val="1"/>
        </w:numPr>
        <w:contextualSpacing w:val="0"/>
      </w:pPr>
      <w:r w:rsidRPr="00F058C0">
        <w:t>One final comparison between</w:t>
      </w:r>
      <w:r w:rsidR="00232608">
        <w:t xml:space="preserve"> the</w:t>
      </w:r>
      <w:r w:rsidRPr="00F058C0">
        <w:t xml:space="preserve"> models is shown in </w:t>
      </w:r>
      <w:r w:rsidRPr="00F058C0">
        <w:fldChar w:fldCharType="begin"/>
      </w:r>
      <w:r w:rsidRPr="00F058C0">
        <w:instrText xml:space="preserve"> REF _Ref97793808 \h </w:instrText>
      </w:r>
      <w:r>
        <w:instrText xml:space="preserve"> \* MERGEFORMAT </w:instrText>
      </w:r>
      <w:r w:rsidRPr="00F058C0">
        <w:fldChar w:fldCharType="separate"/>
      </w:r>
      <w:r w:rsidRPr="00F058C0">
        <w:t xml:space="preserve">Table </w:t>
      </w:r>
      <w:r w:rsidRPr="00F058C0">
        <w:rPr>
          <w:noProof/>
        </w:rPr>
        <w:t>6</w:t>
      </w:r>
      <w:r w:rsidRPr="00F058C0">
        <w:fldChar w:fldCharType="end"/>
      </w:r>
      <w:r w:rsidRPr="00F058C0">
        <w:t xml:space="preserve"> where we have calculated the ratio of the cumulative spend at each month between the actual spend </w:t>
      </w:r>
      <w:r w:rsidR="00732EEA">
        <w:t>and</w:t>
      </w:r>
      <w:r w:rsidRPr="00F058C0">
        <w:t xml:space="preserve"> the forecast spend for each model. </w:t>
      </w:r>
      <w:r>
        <w:t xml:space="preserve">A ratio of 100% would imply the cumulative proportion of spend </w:t>
      </w:r>
      <w:r w:rsidR="002813BE">
        <w:t xml:space="preserve">up until that month </w:t>
      </w:r>
      <w:r>
        <w:t>was equal</w:t>
      </w:r>
      <w:r w:rsidR="002813BE">
        <w:t xml:space="preserve"> between the actual spend and forecast spend. For each month, we have found the deviation from 100% and summed this across all months to determine how </w:t>
      </w:r>
      <w:r w:rsidR="00EE0A6D">
        <w:t xml:space="preserve">well the model </w:t>
      </w:r>
      <w:r w:rsidR="000B7F3E">
        <w:t xml:space="preserve">determines cumulative spend throughout the year. </w:t>
      </w:r>
      <w:r w:rsidR="00BC553D">
        <w:t xml:space="preserve">As with the previous comparisons we see the simple model performing better in 2019/20, the linear regression model performing better in 2018/19, and relatively similar results in 2020/21 (though a </w:t>
      </w:r>
      <w:r w:rsidR="008B3D2E">
        <w:t>slightly better performance by the linear regression model).</w:t>
      </w:r>
    </w:p>
    <w:p w14:paraId="233484DF" w14:textId="77777777" w:rsidR="00FC5FD9" w:rsidRDefault="00FC5FD9">
      <w:r>
        <w:br w:type="page"/>
      </w:r>
    </w:p>
    <w:tbl>
      <w:tblPr>
        <w:tblStyle w:val="TableGrid"/>
        <w:tblpPr w:leftFromText="180" w:rightFromText="180" w:vertAnchor="text" w:horzAnchor="margin" w:tblpY="252"/>
        <w:tblW w:w="14444" w:type="dxa"/>
        <w:tblLayout w:type="fixed"/>
        <w:tblLook w:val="04A0" w:firstRow="1" w:lastRow="0" w:firstColumn="1" w:lastColumn="0" w:noHBand="0" w:noVBand="1"/>
      </w:tblPr>
      <w:tblGrid>
        <w:gridCol w:w="1403"/>
        <w:gridCol w:w="1086"/>
        <w:gridCol w:w="1087"/>
        <w:gridCol w:w="1087"/>
        <w:gridCol w:w="1087"/>
        <w:gridCol w:w="1086"/>
        <w:gridCol w:w="1087"/>
        <w:gridCol w:w="1087"/>
        <w:gridCol w:w="1087"/>
        <w:gridCol w:w="1086"/>
        <w:gridCol w:w="1087"/>
        <w:gridCol w:w="1087"/>
        <w:gridCol w:w="1087"/>
      </w:tblGrid>
      <w:tr w:rsidR="00967AE9" w:rsidRPr="00B56B91" w14:paraId="25A38A57" w14:textId="77777777" w:rsidTr="002E2677">
        <w:trPr>
          <w:trHeight w:val="56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681BA8D2" w14:textId="77777777" w:rsidR="00967AE9" w:rsidRPr="00C37C0C" w:rsidRDefault="00967AE9" w:rsidP="00967AE9">
            <w:pPr>
              <w:pStyle w:val="ListParagraph"/>
              <w:ind w:left="360"/>
              <w:rPr>
                <w:b/>
                <w:bCs/>
                <w:sz w:val="18"/>
                <w:szCs w:val="18"/>
              </w:rPr>
            </w:pPr>
            <w:r w:rsidRPr="00C37C0C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34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08286778" w14:textId="77777777" w:rsidR="00967AE9" w:rsidRPr="00C37C0C" w:rsidRDefault="00967AE9" w:rsidP="00967AE9">
            <w:pPr>
              <w:jc w:val="center"/>
              <w:rPr>
                <w:b/>
                <w:bCs/>
                <w:sz w:val="18"/>
                <w:szCs w:val="18"/>
              </w:rPr>
            </w:pPr>
            <w:r w:rsidRPr="00C37C0C">
              <w:rPr>
                <w:b/>
                <w:bCs/>
                <w:sz w:val="18"/>
                <w:szCs w:val="18"/>
              </w:rPr>
              <w:t>2018/19</w:t>
            </w:r>
          </w:p>
        </w:tc>
        <w:tc>
          <w:tcPr>
            <w:tcW w:w="434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161EA5" w14:textId="77777777" w:rsidR="00967AE9" w:rsidRPr="00C37C0C" w:rsidRDefault="00967AE9" w:rsidP="00967AE9">
            <w:pPr>
              <w:jc w:val="center"/>
              <w:rPr>
                <w:b/>
                <w:bCs/>
                <w:sz w:val="18"/>
                <w:szCs w:val="18"/>
              </w:rPr>
            </w:pPr>
            <w:r w:rsidRPr="00C37C0C">
              <w:rPr>
                <w:b/>
                <w:bCs/>
                <w:sz w:val="18"/>
                <w:szCs w:val="18"/>
              </w:rPr>
              <w:t>2019/20</w:t>
            </w:r>
          </w:p>
        </w:tc>
        <w:tc>
          <w:tcPr>
            <w:tcW w:w="434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A24E53" w14:textId="77777777" w:rsidR="00967AE9" w:rsidRPr="00C37C0C" w:rsidRDefault="00967AE9" w:rsidP="00967AE9">
            <w:pPr>
              <w:jc w:val="center"/>
              <w:rPr>
                <w:b/>
                <w:bCs/>
                <w:sz w:val="18"/>
                <w:szCs w:val="18"/>
              </w:rPr>
            </w:pPr>
            <w:r w:rsidRPr="00C37C0C">
              <w:rPr>
                <w:b/>
                <w:bCs/>
                <w:sz w:val="18"/>
                <w:szCs w:val="18"/>
              </w:rPr>
              <w:t>2020/21</w:t>
            </w:r>
          </w:p>
        </w:tc>
      </w:tr>
      <w:tr w:rsidR="00967AE9" w:rsidRPr="00B56B91" w14:paraId="0FF7E801" w14:textId="77777777" w:rsidTr="002E2677">
        <w:trPr>
          <w:trHeight w:val="77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0DFEEA53" w14:textId="77777777" w:rsidR="00967AE9" w:rsidRPr="00C37C0C" w:rsidRDefault="00967AE9" w:rsidP="00967AE9">
            <w:pPr>
              <w:pStyle w:val="ListParagraph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12" w:space="0" w:color="auto"/>
            </w:tcBorders>
            <w:noWrap/>
            <w:vAlign w:val="center"/>
          </w:tcPr>
          <w:p w14:paraId="077026E8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Simple Model</w:t>
            </w:r>
          </w:p>
        </w:tc>
        <w:tc>
          <w:tcPr>
            <w:tcW w:w="2174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749140F5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Linear Regression Model</w:t>
            </w:r>
          </w:p>
        </w:tc>
        <w:tc>
          <w:tcPr>
            <w:tcW w:w="2173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0375FD6E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Simple Model</w:t>
            </w:r>
          </w:p>
        </w:tc>
        <w:tc>
          <w:tcPr>
            <w:tcW w:w="2174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60881357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Linear Regression Model</w:t>
            </w:r>
          </w:p>
        </w:tc>
        <w:tc>
          <w:tcPr>
            <w:tcW w:w="2173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5F5ADB27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Simple Model</w:t>
            </w:r>
          </w:p>
        </w:tc>
        <w:tc>
          <w:tcPr>
            <w:tcW w:w="2174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3B964C3F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Linear Regression Model</w:t>
            </w:r>
          </w:p>
        </w:tc>
      </w:tr>
      <w:tr w:rsidR="00967AE9" w:rsidRPr="00B56B91" w14:paraId="2179335C" w14:textId="77777777" w:rsidTr="002E2677">
        <w:trPr>
          <w:trHeight w:val="476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48C1D0B" w14:textId="77777777" w:rsidR="00967AE9" w:rsidRPr="00C37C0C" w:rsidRDefault="00967AE9" w:rsidP="00967AE9">
            <w:pPr>
              <w:pStyle w:val="ListParagraph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14:paraId="7E430F0D" w14:textId="77777777" w:rsidR="00967AE9" w:rsidRPr="00C37C0C" w:rsidRDefault="00967AE9" w:rsidP="00967AE9">
            <w:pPr>
              <w:jc w:val="center"/>
              <w:rPr>
                <w:b/>
                <w:bCs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Ratio of cumulative proportions between actual and forecast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6DA560AD" w14:textId="77777777" w:rsidR="00967AE9" w:rsidRPr="00C37C0C" w:rsidRDefault="00967AE9" w:rsidP="00967AE9">
            <w:pPr>
              <w:jc w:val="center"/>
              <w:rPr>
                <w:b/>
                <w:bCs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Deviation from 100% (</w:t>
            </w:r>
            <w:proofErr w:type="gramStart"/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i.e.</w:t>
            </w:r>
            <w:proofErr w:type="gramEnd"/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deviation from if cumulative proportions were equal)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C7ACFE5" w14:textId="77777777" w:rsidR="00967AE9" w:rsidRPr="00C37C0C" w:rsidRDefault="00967AE9" w:rsidP="00967AE9">
            <w:pPr>
              <w:jc w:val="center"/>
              <w:rPr>
                <w:b/>
                <w:bCs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Ratio of cumulative proportions between actual and forecast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86788F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Deviation from 100% (</w:t>
            </w:r>
            <w:proofErr w:type="gramStart"/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i.e.</w:t>
            </w:r>
            <w:proofErr w:type="gramEnd"/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deviation from if cumulative proportions were equal)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14:paraId="57CBBCDF" w14:textId="77777777" w:rsidR="00967AE9" w:rsidRPr="00C37C0C" w:rsidRDefault="00967AE9" w:rsidP="00967AE9">
            <w:pPr>
              <w:jc w:val="center"/>
              <w:rPr>
                <w:b/>
                <w:bCs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Ratio of cumulative proportions between actual and forecast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bottom"/>
          </w:tcPr>
          <w:p w14:paraId="3E199652" w14:textId="77777777" w:rsidR="00967AE9" w:rsidRPr="00C37C0C" w:rsidRDefault="00967AE9" w:rsidP="00967AE9">
            <w:pPr>
              <w:jc w:val="center"/>
              <w:rPr>
                <w:b/>
                <w:bCs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Deviation from 100% (</w:t>
            </w:r>
            <w:proofErr w:type="gramStart"/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i.e.</w:t>
            </w:r>
            <w:proofErr w:type="gramEnd"/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deviation from if cumulative proportions were equal)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6A8A36C" w14:textId="77777777" w:rsidR="00967AE9" w:rsidRPr="00C37C0C" w:rsidRDefault="00967AE9" w:rsidP="00967AE9">
            <w:pPr>
              <w:jc w:val="center"/>
              <w:rPr>
                <w:b/>
                <w:bCs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Ratio of cumulative proportions between actual and forecast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926C0F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Deviation from 100% (</w:t>
            </w:r>
            <w:proofErr w:type="gramStart"/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i.e.</w:t>
            </w:r>
            <w:proofErr w:type="gramEnd"/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deviation from if cumulative proportions were equal)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14:paraId="12483ED0" w14:textId="77777777" w:rsidR="00967AE9" w:rsidRPr="00C37C0C" w:rsidRDefault="00967AE9" w:rsidP="00967AE9">
            <w:pPr>
              <w:jc w:val="center"/>
              <w:rPr>
                <w:b/>
                <w:bCs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Ratio of cumulative proportions between actual and forecast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bottom"/>
          </w:tcPr>
          <w:p w14:paraId="789E7059" w14:textId="77777777" w:rsidR="00967AE9" w:rsidRPr="00C37C0C" w:rsidRDefault="00967AE9" w:rsidP="00967AE9">
            <w:pPr>
              <w:jc w:val="center"/>
              <w:rPr>
                <w:b/>
                <w:bCs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Deviation from 100% (</w:t>
            </w:r>
            <w:proofErr w:type="gramStart"/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i.e.</w:t>
            </w:r>
            <w:proofErr w:type="gramEnd"/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deviation from if cumulative proportions were equal)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1490EC6" w14:textId="77777777" w:rsidR="00967AE9" w:rsidRPr="00C37C0C" w:rsidRDefault="00967AE9" w:rsidP="00967AE9">
            <w:pPr>
              <w:jc w:val="center"/>
              <w:rPr>
                <w:b/>
                <w:bCs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Ratio of cumulative proportions between actual and forecast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C8B94B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Deviation from 100% (</w:t>
            </w:r>
            <w:proofErr w:type="gramStart"/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i.e.</w:t>
            </w:r>
            <w:proofErr w:type="gramEnd"/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deviation from if cumulative proportions were equal)</w:t>
            </w:r>
          </w:p>
        </w:tc>
      </w:tr>
      <w:tr w:rsidR="00967AE9" w:rsidRPr="00B56B91" w14:paraId="31D21A20" w14:textId="77777777" w:rsidTr="002E2677">
        <w:trPr>
          <w:trHeight w:val="15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41B42457" w14:textId="77777777" w:rsidR="00967AE9" w:rsidRPr="00C37C0C" w:rsidRDefault="00967AE9" w:rsidP="00967AE9">
            <w:pPr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April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6E3083B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102.6%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EBF851E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087" w:type="dxa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462A6E4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99.2%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67A94E3F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652BA36C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99.1%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bottom"/>
          </w:tcPr>
          <w:p w14:paraId="56294C96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0.9%</w:t>
            </w:r>
          </w:p>
        </w:tc>
        <w:tc>
          <w:tcPr>
            <w:tcW w:w="1087" w:type="dxa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96BF4FB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96.6%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0DA1F689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</w:tcPr>
          <w:p w14:paraId="197BA5D6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106.7%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3795C1D5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6.7%</w:t>
            </w:r>
          </w:p>
        </w:tc>
        <w:tc>
          <w:tcPr>
            <w:tcW w:w="1087" w:type="dxa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739DFF9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105.4%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25213E5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5.4%</w:t>
            </w:r>
          </w:p>
        </w:tc>
      </w:tr>
      <w:tr w:rsidR="00967AE9" w:rsidRPr="00B56B91" w14:paraId="7450BF9E" w14:textId="77777777" w:rsidTr="002E2677">
        <w:trPr>
          <w:trHeight w:val="158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6441009C" w14:textId="77777777" w:rsidR="00967AE9" w:rsidRPr="00C37C0C" w:rsidRDefault="00967AE9" w:rsidP="00967AE9">
            <w:pPr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May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2CC14959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102.1%</w:t>
            </w:r>
          </w:p>
        </w:tc>
        <w:tc>
          <w:tcPr>
            <w:tcW w:w="1087" w:type="dxa"/>
            <w:noWrap/>
            <w:vAlign w:val="bottom"/>
            <w:hideMark/>
          </w:tcPr>
          <w:p w14:paraId="0E27ABA9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2.1%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22F11B15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99.6%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6A8C04F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0.4%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bottom"/>
          </w:tcPr>
          <w:p w14:paraId="62E65BB5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87" w:type="dxa"/>
            <w:vAlign w:val="bottom"/>
          </w:tcPr>
          <w:p w14:paraId="3A5913C2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bottom"/>
          </w:tcPr>
          <w:p w14:paraId="0657CDA0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97.7%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17825EC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2.3%</w:t>
            </w: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2953D4C8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102.6%</w:t>
            </w:r>
          </w:p>
        </w:tc>
        <w:tc>
          <w:tcPr>
            <w:tcW w:w="1087" w:type="dxa"/>
          </w:tcPr>
          <w:p w14:paraId="1016D4DA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2.6%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6F05AA7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101.1%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</w:tcPr>
          <w:p w14:paraId="5DD29FFE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1.1%</w:t>
            </w:r>
          </w:p>
        </w:tc>
      </w:tr>
      <w:tr w:rsidR="00967AE9" w:rsidRPr="00B56B91" w14:paraId="5D8E813C" w14:textId="77777777" w:rsidTr="002E2677">
        <w:trPr>
          <w:trHeight w:val="158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58D40343" w14:textId="77777777" w:rsidR="00967AE9" w:rsidRPr="00C37C0C" w:rsidRDefault="00967AE9" w:rsidP="00967AE9">
            <w:pPr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June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88E0CB6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101.2%</w:t>
            </w:r>
          </w:p>
        </w:tc>
        <w:tc>
          <w:tcPr>
            <w:tcW w:w="1087" w:type="dxa"/>
            <w:shd w:val="clear" w:color="auto" w:fill="DEEAF6" w:themeFill="accent5" w:themeFillTint="33"/>
            <w:noWrap/>
            <w:vAlign w:val="bottom"/>
            <w:hideMark/>
          </w:tcPr>
          <w:p w14:paraId="5C8A871E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96E8468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2FDA62F2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6812BD98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99.3%</w:t>
            </w:r>
          </w:p>
        </w:tc>
        <w:tc>
          <w:tcPr>
            <w:tcW w:w="1087" w:type="dxa"/>
            <w:shd w:val="clear" w:color="auto" w:fill="DEEAF6" w:themeFill="accent5" w:themeFillTint="33"/>
            <w:vAlign w:val="bottom"/>
          </w:tcPr>
          <w:p w14:paraId="32006EB3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0.7%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5A393E1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97.2%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7F6D0A2F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2.8%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152C990D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100.6%</w:t>
            </w:r>
          </w:p>
        </w:tc>
        <w:tc>
          <w:tcPr>
            <w:tcW w:w="1087" w:type="dxa"/>
            <w:shd w:val="clear" w:color="auto" w:fill="DEEAF6" w:themeFill="accent5" w:themeFillTint="33"/>
          </w:tcPr>
          <w:p w14:paraId="6AF83175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0.6%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E8E3603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99.9%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0BAE922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0.1%</w:t>
            </w:r>
          </w:p>
        </w:tc>
      </w:tr>
      <w:tr w:rsidR="00967AE9" w:rsidRPr="00B56B91" w14:paraId="62054208" w14:textId="77777777" w:rsidTr="002E2677">
        <w:trPr>
          <w:trHeight w:val="158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3F00CA5E" w14:textId="77777777" w:rsidR="00967AE9" w:rsidRPr="00C37C0C" w:rsidRDefault="00967AE9" w:rsidP="00967AE9">
            <w:pPr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July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1C603D62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100.8%</w:t>
            </w:r>
          </w:p>
        </w:tc>
        <w:tc>
          <w:tcPr>
            <w:tcW w:w="1087" w:type="dxa"/>
            <w:noWrap/>
            <w:vAlign w:val="bottom"/>
            <w:hideMark/>
          </w:tcPr>
          <w:p w14:paraId="331FAC26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11BF596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99.6%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8A955C9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0.4%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bottom"/>
          </w:tcPr>
          <w:p w14:paraId="634CAEC6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98.2%</w:t>
            </w:r>
          </w:p>
        </w:tc>
        <w:tc>
          <w:tcPr>
            <w:tcW w:w="1087" w:type="dxa"/>
            <w:vAlign w:val="bottom"/>
          </w:tcPr>
          <w:p w14:paraId="0FD9C8F6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1.8%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bottom"/>
          </w:tcPr>
          <w:p w14:paraId="30FF2F7A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96.7%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8CD384E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03F5F224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100.1%</w:t>
            </w:r>
          </w:p>
        </w:tc>
        <w:tc>
          <w:tcPr>
            <w:tcW w:w="1087" w:type="dxa"/>
          </w:tcPr>
          <w:p w14:paraId="0D56EE7A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0.1%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B0775EA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99.8%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</w:tcPr>
          <w:p w14:paraId="484389AB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0.2%</w:t>
            </w:r>
          </w:p>
        </w:tc>
      </w:tr>
      <w:tr w:rsidR="00967AE9" w:rsidRPr="00B56B91" w14:paraId="60160BE5" w14:textId="77777777" w:rsidTr="002E2677">
        <w:trPr>
          <w:trHeight w:val="158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7EC30FBC" w14:textId="77777777" w:rsidR="00967AE9" w:rsidRPr="00C37C0C" w:rsidRDefault="00967AE9" w:rsidP="00967AE9">
            <w:pPr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August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C3F8F8B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100.9%</w:t>
            </w:r>
          </w:p>
        </w:tc>
        <w:tc>
          <w:tcPr>
            <w:tcW w:w="1087" w:type="dxa"/>
            <w:shd w:val="clear" w:color="auto" w:fill="DEEAF6" w:themeFill="accent5" w:themeFillTint="33"/>
            <w:noWrap/>
            <w:vAlign w:val="bottom"/>
            <w:hideMark/>
          </w:tcPr>
          <w:p w14:paraId="4D727EDE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0.9%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C79ED68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2C9571B2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7C377501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99.2%</w:t>
            </w:r>
          </w:p>
        </w:tc>
        <w:tc>
          <w:tcPr>
            <w:tcW w:w="1087" w:type="dxa"/>
            <w:shd w:val="clear" w:color="auto" w:fill="DEEAF6" w:themeFill="accent5" w:themeFillTint="33"/>
            <w:vAlign w:val="bottom"/>
          </w:tcPr>
          <w:p w14:paraId="7690A22B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5AA40BC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97.9%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0F82428B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2.1%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133F8499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99.1%</w:t>
            </w:r>
          </w:p>
        </w:tc>
        <w:tc>
          <w:tcPr>
            <w:tcW w:w="1087" w:type="dxa"/>
            <w:shd w:val="clear" w:color="auto" w:fill="DEEAF6" w:themeFill="accent5" w:themeFillTint="33"/>
          </w:tcPr>
          <w:p w14:paraId="06CE9A9B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0.9%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F0DE88D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98.9%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39F4490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1.1%</w:t>
            </w:r>
          </w:p>
        </w:tc>
      </w:tr>
      <w:tr w:rsidR="00967AE9" w:rsidRPr="00B56B91" w14:paraId="2634CFDA" w14:textId="77777777" w:rsidTr="002E2677">
        <w:trPr>
          <w:trHeight w:val="158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8D34A40" w14:textId="77777777" w:rsidR="00967AE9" w:rsidRPr="00C37C0C" w:rsidRDefault="00967AE9" w:rsidP="00967AE9">
            <w:pPr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September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6CD44EF7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100.5%</w:t>
            </w:r>
          </w:p>
        </w:tc>
        <w:tc>
          <w:tcPr>
            <w:tcW w:w="1087" w:type="dxa"/>
            <w:noWrap/>
            <w:vAlign w:val="bottom"/>
            <w:hideMark/>
          </w:tcPr>
          <w:p w14:paraId="27E65224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9EA0505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99.6%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1CF77C5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0.4%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bottom"/>
          </w:tcPr>
          <w:p w14:paraId="7F328A11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99.6%</w:t>
            </w:r>
          </w:p>
        </w:tc>
        <w:tc>
          <w:tcPr>
            <w:tcW w:w="1087" w:type="dxa"/>
            <w:vAlign w:val="bottom"/>
          </w:tcPr>
          <w:p w14:paraId="50E7B5A5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0.4%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bottom"/>
          </w:tcPr>
          <w:p w14:paraId="6430645D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98.2%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F87336E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1.8%</w:t>
            </w: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70CCCF29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99.4%</w:t>
            </w:r>
          </w:p>
        </w:tc>
        <w:tc>
          <w:tcPr>
            <w:tcW w:w="1087" w:type="dxa"/>
          </w:tcPr>
          <w:p w14:paraId="7C344DAE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0.6%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7D94FABA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99.2%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</w:tcPr>
          <w:p w14:paraId="5763AEC6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0.8%</w:t>
            </w:r>
          </w:p>
        </w:tc>
      </w:tr>
      <w:tr w:rsidR="00967AE9" w:rsidRPr="00B56B91" w14:paraId="6FEBD268" w14:textId="77777777" w:rsidTr="002E2677">
        <w:trPr>
          <w:trHeight w:val="158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5316A394" w14:textId="77777777" w:rsidR="00967AE9" w:rsidRPr="00C37C0C" w:rsidRDefault="00967AE9" w:rsidP="00967AE9">
            <w:pPr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October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68E4640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100.1%</w:t>
            </w:r>
          </w:p>
        </w:tc>
        <w:tc>
          <w:tcPr>
            <w:tcW w:w="1087" w:type="dxa"/>
            <w:shd w:val="clear" w:color="auto" w:fill="DEEAF6" w:themeFill="accent5" w:themeFillTint="33"/>
            <w:noWrap/>
            <w:vAlign w:val="bottom"/>
            <w:hideMark/>
          </w:tcPr>
          <w:p w14:paraId="3B29C4CA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C6F546C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99.6%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6606814F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0.4%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229B97E1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99.6%</w:t>
            </w:r>
          </w:p>
        </w:tc>
        <w:tc>
          <w:tcPr>
            <w:tcW w:w="1087" w:type="dxa"/>
            <w:shd w:val="clear" w:color="auto" w:fill="DEEAF6" w:themeFill="accent5" w:themeFillTint="33"/>
            <w:vAlign w:val="bottom"/>
          </w:tcPr>
          <w:p w14:paraId="461E66F5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0.4%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760A524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98.3%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71AC0B46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1.7%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70397B48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99.5%</w:t>
            </w:r>
          </w:p>
        </w:tc>
        <w:tc>
          <w:tcPr>
            <w:tcW w:w="1087" w:type="dxa"/>
            <w:shd w:val="clear" w:color="auto" w:fill="DEEAF6" w:themeFill="accent5" w:themeFillTint="33"/>
          </w:tcPr>
          <w:p w14:paraId="683B66ED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0.5%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9E86FFC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99.4%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51CE0DF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0.6%</w:t>
            </w:r>
          </w:p>
        </w:tc>
      </w:tr>
      <w:tr w:rsidR="00967AE9" w:rsidRPr="00B56B91" w14:paraId="6666398B" w14:textId="77777777" w:rsidTr="002E2677">
        <w:trPr>
          <w:trHeight w:val="158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4F3C250" w14:textId="77777777" w:rsidR="00967AE9" w:rsidRPr="00C37C0C" w:rsidRDefault="00967AE9" w:rsidP="00967AE9">
            <w:pPr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November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56724B81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100.3%</w:t>
            </w:r>
          </w:p>
        </w:tc>
        <w:tc>
          <w:tcPr>
            <w:tcW w:w="1087" w:type="dxa"/>
            <w:noWrap/>
            <w:vAlign w:val="bottom"/>
            <w:hideMark/>
          </w:tcPr>
          <w:p w14:paraId="79C788E6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6DBD51D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99.7%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A8BB996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bottom"/>
          </w:tcPr>
          <w:p w14:paraId="0D5B99AB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99.3%</w:t>
            </w:r>
          </w:p>
        </w:tc>
        <w:tc>
          <w:tcPr>
            <w:tcW w:w="1087" w:type="dxa"/>
            <w:vAlign w:val="bottom"/>
          </w:tcPr>
          <w:p w14:paraId="0E22F75C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0.7%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bottom"/>
          </w:tcPr>
          <w:p w14:paraId="6E784DC6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98.2%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84C9E77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1.8%</w:t>
            </w: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4E6806AF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99.8%</w:t>
            </w:r>
          </w:p>
        </w:tc>
        <w:tc>
          <w:tcPr>
            <w:tcW w:w="1087" w:type="dxa"/>
          </w:tcPr>
          <w:p w14:paraId="07D53E0C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0.2%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1AB9F700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99.4%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</w:tcPr>
          <w:p w14:paraId="6B458E05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0.6%</w:t>
            </w:r>
          </w:p>
        </w:tc>
      </w:tr>
      <w:tr w:rsidR="00967AE9" w:rsidRPr="00B56B91" w14:paraId="7C7EA656" w14:textId="77777777" w:rsidTr="002E2677">
        <w:trPr>
          <w:trHeight w:val="158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7ABA80B4" w14:textId="77777777" w:rsidR="00967AE9" w:rsidRPr="00C37C0C" w:rsidRDefault="00967AE9" w:rsidP="00967AE9">
            <w:pPr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December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FE87937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99.9%</w:t>
            </w:r>
          </w:p>
        </w:tc>
        <w:tc>
          <w:tcPr>
            <w:tcW w:w="1087" w:type="dxa"/>
            <w:shd w:val="clear" w:color="auto" w:fill="DEEAF6" w:themeFill="accent5" w:themeFillTint="33"/>
            <w:noWrap/>
            <w:vAlign w:val="bottom"/>
            <w:hideMark/>
          </w:tcPr>
          <w:p w14:paraId="747F2EAF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E2EEB81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99.9%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790D9E7C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1A85E719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99.2%</w:t>
            </w:r>
          </w:p>
        </w:tc>
        <w:tc>
          <w:tcPr>
            <w:tcW w:w="1087" w:type="dxa"/>
            <w:shd w:val="clear" w:color="auto" w:fill="DEEAF6" w:themeFill="accent5" w:themeFillTint="33"/>
            <w:vAlign w:val="bottom"/>
          </w:tcPr>
          <w:p w14:paraId="1DFF5ADD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84D8D46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98.7%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0231B117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1.3%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47638018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100.2%</w:t>
            </w:r>
          </w:p>
        </w:tc>
        <w:tc>
          <w:tcPr>
            <w:tcW w:w="1087" w:type="dxa"/>
            <w:shd w:val="clear" w:color="auto" w:fill="DEEAF6" w:themeFill="accent5" w:themeFillTint="33"/>
          </w:tcPr>
          <w:p w14:paraId="4F35F029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0.2%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634B44C3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100.2%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999CDF2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0.2%</w:t>
            </w:r>
          </w:p>
        </w:tc>
      </w:tr>
      <w:tr w:rsidR="00967AE9" w:rsidRPr="00B56B91" w14:paraId="3BE7D37F" w14:textId="77777777" w:rsidTr="002E2677">
        <w:trPr>
          <w:trHeight w:val="158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21C020E3" w14:textId="77777777" w:rsidR="00967AE9" w:rsidRPr="00C37C0C" w:rsidRDefault="00967AE9" w:rsidP="00967AE9">
            <w:pPr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January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62BA70D1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100.1%</w:t>
            </w:r>
          </w:p>
        </w:tc>
        <w:tc>
          <w:tcPr>
            <w:tcW w:w="1087" w:type="dxa"/>
            <w:noWrap/>
            <w:vAlign w:val="bottom"/>
            <w:hideMark/>
          </w:tcPr>
          <w:p w14:paraId="2586DF4A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230D9CC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100.1%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7203EA0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bottom"/>
          </w:tcPr>
          <w:p w14:paraId="5B0F5FF5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99.3%</w:t>
            </w:r>
          </w:p>
        </w:tc>
        <w:tc>
          <w:tcPr>
            <w:tcW w:w="1087" w:type="dxa"/>
            <w:vAlign w:val="bottom"/>
          </w:tcPr>
          <w:p w14:paraId="77E1200E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0.7%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bottom"/>
          </w:tcPr>
          <w:p w14:paraId="1297A210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99.0%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E3105B8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19B54FBE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100.3%</w:t>
            </w:r>
          </w:p>
        </w:tc>
        <w:tc>
          <w:tcPr>
            <w:tcW w:w="1087" w:type="dxa"/>
          </w:tcPr>
          <w:p w14:paraId="5BC0F514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0.3%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1486DDEE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100.3%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</w:tcPr>
          <w:p w14:paraId="14FCA8E3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0.3%</w:t>
            </w:r>
          </w:p>
        </w:tc>
      </w:tr>
      <w:tr w:rsidR="00967AE9" w:rsidRPr="00B56B91" w14:paraId="59B4E45E" w14:textId="77777777" w:rsidTr="002E2677">
        <w:trPr>
          <w:trHeight w:val="30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47A99078" w14:textId="77777777" w:rsidR="00967AE9" w:rsidRPr="00C37C0C" w:rsidRDefault="00967AE9" w:rsidP="00967AE9">
            <w:pPr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February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F18238F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100.1%</w:t>
            </w:r>
          </w:p>
        </w:tc>
        <w:tc>
          <w:tcPr>
            <w:tcW w:w="1087" w:type="dxa"/>
            <w:shd w:val="clear" w:color="auto" w:fill="DEEAF6" w:themeFill="accent5" w:themeFillTint="33"/>
            <w:noWrap/>
            <w:vAlign w:val="bottom"/>
            <w:hideMark/>
          </w:tcPr>
          <w:p w14:paraId="6C19083A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75D8CC3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100.1%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7AEDD9B2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11C57F19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99.1%</w:t>
            </w:r>
          </w:p>
        </w:tc>
        <w:tc>
          <w:tcPr>
            <w:tcW w:w="1087" w:type="dxa"/>
            <w:shd w:val="clear" w:color="auto" w:fill="DEEAF6" w:themeFill="accent5" w:themeFillTint="33"/>
            <w:vAlign w:val="bottom"/>
          </w:tcPr>
          <w:p w14:paraId="60A99841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0.9%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542DBF7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99.0%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bottom"/>
          </w:tcPr>
          <w:p w14:paraId="50FD7137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25ED26B2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100.4%</w:t>
            </w:r>
          </w:p>
        </w:tc>
        <w:tc>
          <w:tcPr>
            <w:tcW w:w="1087" w:type="dxa"/>
            <w:shd w:val="clear" w:color="auto" w:fill="DEEAF6" w:themeFill="accent5" w:themeFillTint="33"/>
          </w:tcPr>
          <w:p w14:paraId="15F23ABB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0.4%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08C3D707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100.2%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C1CD8C5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0.2%</w:t>
            </w:r>
          </w:p>
        </w:tc>
      </w:tr>
      <w:tr w:rsidR="00967AE9" w:rsidRPr="00B56B91" w14:paraId="730B2F43" w14:textId="77777777" w:rsidTr="002E2677">
        <w:trPr>
          <w:trHeight w:val="158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0BA9CC15" w14:textId="77777777" w:rsidR="00967AE9" w:rsidRPr="00C37C0C" w:rsidRDefault="00967AE9" w:rsidP="00967AE9">
            <w:pPr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March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0C07049E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87" w:type="dxa"/>
            <w:noWrap/>
            <w:vAlign w:val="bottom"/>
            <w:hideMark/>
          </w:tcPr>
          <w:p w14:paraId="0448E3B7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B548D70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5C2F719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bottom"/>
          </w:tcPr>
          <w:p w14:paraId="538E6C32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87" w:type="dxa"/>
            <w:vAlign w:val="bottom"/>
          </w:tcPr>
          <w:p w14:paraId="19D9AC95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bottom"/>
          </w:tcPr>
          <w:p w14:paraId="4EBE919E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FE52ACB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15A7AA21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100.0%</w:t>
            </w:r>
          </w:p>
        </w:tc>
        <w:tc>
          <w:tcPr>
            <w:tcW w:w="1087" w:type="dxa"/>
          </w:tcPr>
          <w:p w14:paraId="5C367B8B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0.0%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312E6F3F" w14:textId="77777777" w:rsidR="00967AE9" w:rsidRPr="00C37C0C" w:rsidRDefault="00967AE9" w:rsidP="00967AE9">
            <w:pPr>
              <w:jc w:val="center"/>
              <w:rPr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100.0%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</w:tcPr>
          <w:p w14:paraId="5D6E7F01" w14:textId="77777777" w:rsidR="00967AE9" w:rsidRPr="00C37C0C" w:rsidRDefault="00967AE9" w:rsidP="00967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C0C">
              <w:rPr>
                <w:sz w:val="18"/>
                <w:szCs w:val="18"/>
              </w:rPr>
              <w:t>0.0%</w:t>
            </w:r>
          </w:p>
        </w:tc>
      </w:tr>
      <w:tr w:rsidR="00967AE9" w:rsidRPr="00B56B91" w14:paraId="100AD61D" w14:textId="77777777" w:rsidTr="002E2677">
        <w:trPr>
          <w:trHeight w:val="59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hideMark/>
          </w:tcPr>
          <w:p w14:paraId="0F211EBF" w14:textId="77777777" w:rsidR="00967AE9" w:rsidRPr="00C37C0C" w:rsidRDefault="00967AE9" w:rsidP="00967AE9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4A52D2D" w14:textId="77777777" w:rsidR="00967AE9" w:rsidRPr="00C37C0C" w:rsidRDefault="00967AE9" w:rsidP="00967AE9">
            <w:pPr>
              <w:pStyle w:val="ListParagraph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DEEAF6" w:themeFill="accent5" w:themeFillTint="33"/>
            <w:noWrap/>
            <w:vAlign w:val="bottom"/>
            <w:hideMark/>
          </w:tcPr>
          <w:p w14:paraId="4FC2DC22" w14:textId="77777777" w:rsidR="00967AE9" w:rsidRPr="00C37C0C" w:rsidRDefault="00967AE9" w:rsidP="00967AE9">
            <w:pPr>
              <w:pStyle w:val="ListParagraph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183D474" w14:textId="77777777" w:rsidR="00967AE9" w:rsidRPr="00C37C0C" w:rsidRDefault="00967AE9" w:rsidP="00967AE9">
            <w:pPr>
              <w:pStyle w:val="ListParagraph"/>
              <w:ind w:left="360"/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97A2049" w14:textId="77777777" w:rsidR="00967AE9" w:rsidRPr="00C37C0C" w:rsidRDefault="00967AE9" w:rsidP="00967AE9">
            <w:pPr>
              <w:pStyle w:val="ListParagraph"/>
              <w:ind w:left="3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1D356890" w14:textId="77777777" w:rsidR="00967AE9" w:rsidRPr="00C37C0C" w:rsidRDefault="00967AE9" w:rsidP="00967AE9">
            <w:pPr>
              <w:pStyle w:val="ListParagraph"/>
              <w:ind w:left="360"/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shd w:val="clear" w:color="auto" w:fill="DEEAF6" w:themeFill="accent5" w:themeFillTint="33"/>
            <w:vAlign w:val="bottom"/>
          </w:tcPr>
          <w:p w14:paraId="24F92BAA" w14:textId="77777777" w:rsidR="00967AE9" w:rsidRPr="00C37C0C" w:rsidRDefault="00967AE9" w:rsidP="00967AE9">
            <w:pPr>
              <w:pStyle w:val="ListParagraph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60CD9F3" w14:textId="77777777" w:rsidR="00967AE9" w:rsidRPr="00C37C0C" w:rsidRDefault="00967AE9" w:rsidP="00967AE9">
            <w:pPr>
              <w:pStyle w:val="ListParagraph"/>
              <w:ind w:left="360"/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611F3CE" w14:textId="77777777" w:rsidR="00967AE9" w:rsidRPr="00C37C0C" w:rsidRDefault="00967AE9" w:rsidP="00967AE9">
            <w:pPr>
              <w:pStyle w:val="ListParagraph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bottom"/>
          </w:tcPr>
          <w:p w14:paraId="69C2E5F9" w14:textId="77777777" w:rsidR="00967AE9" w:rsidRPr="00C37C0C" w:rsidRDefault="00967AE9" w:rsidP="00967AE9">
            <w:pPr>
              <w:pStyle w:val="ListParagraph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DEEAF6" w:themeFill="accent5" w:themeFillTint="33"/>
            <w:vAlign w:val="bottom"/>
          </w:tcPr>
          <w:p w14:paraId="74FD6DE0" w14:textId="77777777" w:rsidR="00967AE9" w:rsidRPr="00C37C0C" w:rsidRDefault="00967AE9" w:rsidP="00967AE9">
            <w:pPr>
              <w:pStyle w:val="ListParagraph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396D2436" w14:textId="77777777" w:rsidR="00967AE9" w:rsidRPr="00C37C0C" w:rsidRDefault="00967AE9" w:rsidP="00967AE9">
            <w:pPr>
              <w:pStyle w:val="ListParagraph"/>
              <w:ind w:left="360"/>
              <w:jc w:val="center"/>
              <w:rPr>
                <w:sz w:val="18"/>
                <w:szCs w:val="18"/>
              </w:rPr>
            </w:pPr>
            <w:r w:rsidRPr="00C37C0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B12EC95" w14:textId="77777777" w:rsidR="00967AE9" w:rsidRPr="00C37C0C" w:rsidRDefault="00967AE9" w:rsidP="00967AE9">
            <w:pPr>
              <w:pStyle w:val="ListParagraph"/>
              <w:ind w:left="3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7AE9" w:rsidRPr="00B56B91" w14:paraId="034C9517" w14:textId="77777777" w:rsidTr="002E2677">
        <w:trPr>
          <w:trHeight w:val="239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C4E30A" w14:textId="77777777" w:rsidR="00967AE9" w:rsidRPr="00C37C0C" w:rsidRDefault="00967AE9" w:rsidP="00967AE9">
            <w:pPr>
              <w:rPr>
                <w:b/>
                <w:bCs/>
                <w:sz w:val="18"/>
                <w:szCs w:val="18"/>
              </w:rPr>
            </w:pPr>
            <w:r w:rsidRPr="00C37C0C">
              <w:rPr>
                <w:b/>
                <w:bCs/>
                <w:sz w:val="18"/>
                <w:szCs w:val="18"/>
              </w:rPr>
              <w:t>Sum of deviation from 100%</w:t>
            </w:r>
          </w:p>
        </w:tc>
        <w:tc>
          <w:tcPr>
            <w:tcW w:w="1086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E46BB91" w14:textId="77777777" w:rsidR="00967AE9" w:rsidRPr="00C37C0C" w:rsidRDefault="00967AE9" w:rsidP="00967AE9">
            <w:pPr>
              <w:pStyle w:val="ListParagraph"/>
              <w:ind w:left="3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A9687B6" w14:textId="77777777" w:rsidR="00967AE9" w:rsidRPr="00C37C0C" w:rsidRDefault="00967AE9" w:rsidP="00967AE9">
            <w:pPr>
              <w:jc w:val="center"/>
              <w:rPr>
                <w:b/>
                <w:bCs/>
                <w:sz w:val="18"/>
                <w:szCs w:val="18"/>
              </w:rPr>
            </w:pPr>
            <w:r w:rsidRPr="00C37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8.7%</w:t>
            </w:r>
          </w:p>
        </w:tc>
        <w:tc>
          <w:tcPr>
            <w:tcW w:w="1087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BE12962" w14:textId="2F5F09BE" w:rsidR="00967AE9" w:rsidRPr="00C37C0C" w:rsidRDefault="00967AE9" w:rsidP="00967AE9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D6D64" w14:textId="6C0589C6" w:rsidR="00967AE9" w:rsidRPr="00C37C0C" w:rsidRDefault="00675C79" w:rsidP="00967AE9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C37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3.1%</w:t>
            </w:r>
          </w:p>
        </w:tc>
        <w:tc>
          <w:tcPr>
            <w:tcW w:w="10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5A7888" w14:textId="77777777" w:rsidR="00967AE9" w:rsidRPr="00C37C0C" w:rsidRDefault="00967AE9" w:rsidP="00967AE9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14:paraId="09CEE621" w14:textId="77777777" w:rsidR="00967AE9" w:rsidRPr="00C37C0C" w:rsidRDefault="00967AE9" w:rsidP="00967AE9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C37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8.2%</w:t>
            </w:r>
          </w:p>
        </w:tc>
        <w:tc>
          <w:tcPr>
            <w:tcW w:w="10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15F48F7" w14:textId="77777777" w:rsidR="00967AE9" w:rsidRPr="00C37C0C" w:rsidRDefault="00967AE9" w:rsidP="00967AE9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F28CA" w14:textId="77777777" w:rsidR="00967AE9" w:rsidRPr="00C37C0C" w:rsidRDefault="00967AE9" w:rsidP="00967AE9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C37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22.6%</w:t>
            </w:r>
          </w:p>
        </w:tc>
        <w:tc>
          <w:tcPr>
            <w:tcW w:w="10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4C86ED" w14:textId="77777777" w:rsidR="00967AE9" w:rsidRPr="00C37C0C" w:rsidRDefault="00967AE9" w:rsidP="00967AE9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14:paraId="4EE11F1E" w14:textId="77777777" w:rsidR="00967AE9" w:rsidRPr="00C37C0C" w:rsidRDefault="00967AE9" w:rsidP="00967AE9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C37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13.1%</w:t>
            </w:r>
          </w:p>
        </w:tc>
        <w:tc>
          <w:tcPr>
            <w:tcW w:w="10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D73A6D4" w14:textId="661D4EF4" w:rsidR="00967AE9" w:rsidRPr="00C37C0C" w:rsidRDefault="00967AE9" w:rsidP="00967AE9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3E031" w14:textId="0D6AC5E1" w:rsidR="00967AE9" w:rsidRPr="00C37C0C" w:rsidRDefault="00675C79" w:rsidP="00967AE9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37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10.8%</w:t>
            </w:r>
          </w:p>
        </w:tc>
      </w:tr>
    </w:tbl>
    <w:p w14:paraId="7013468C" w14:textId="4856671C" w:rsidR="008B3D2E" w:rsidRDefault="008B3D2E" w:rsidP="008B3D2E">
      <w:pPr>
        <w:pStyle w:val="Caption"/>
        <w:keepNext/>
      </w:pPr>
      <w:bookmarkStart w:id="10" w:name="_Ref97793808"/>
      <w:r>
        <w:t xml:space="preserve">Table </w:t>
      </w:r>
      <w:fldSimple w:instr=" SEQ Table \* ARABIC ">
        <w:r w:rsidR="00CE5DB1">
          <w:rPr>
            <w:noProof/>
          </w:rPr>
          <w:t>6</w:t>
        </w:r>
      </w:fldSimple>
      <w:r>
        <w:t>: The deviation of the cumulative proportions between the actual spend and the forecast spend for each year and each model</w:t>
      </w:r>
    </w:p>
    <w:p w14:paraId="79766314" w14:textId="77777777" w:rsidR="008B3D2E" w:rsidRDefault="008B3D2E" w:rsidP="008B3D2E"/>
    <w:p w14:paraId="673A06DF" w14:textId="38268F79" w:rsidR="008B3D2E" w:rsidRDefault="008B3D2E" w:rsidP="008B3D2E"/>
    <w:p w14:paraId="3A5AF577" w14:textId="4E87AE45" w:rsidR="008B3D2E" w:rsidRDefault="008B3D2E" w:rsidP="008B3D2E"/>
    <w:p w14:paraId="46357751" w14:textId="0C2F27A2" w:rsidR="008B3D2E" w:rsidRDefault="008B3D2E" w:rsidP="008B3D2E"/>
    <w:p w14:paraId="08103717" w14:textId="711E1A89" w:rsidR="008B3D2E" w:rsidRDefault="008B3D2E" w:rsidP="008B3D2E"/>
    <w:p w14:paraId="2AECE7EA" w14:textId="77777777" w:rsidR="008B3D2E" w:rsidRDefault="008B3D2E" w:rsidP="008B3D2E"/>
    <w:p w14:paraId="6349D464" w14:textId="77777777" w:rsidR="008B3D2E" w:rsidRDefault="008B3D2E" w:rsidP="008B3D2E">
      <w:pPr>
        <w:pStyle w:val="ListParagraph"/>
        <w:numPr>
          <w:ilvl w:val="0"/>
          <w:numId w:val="1"/>
        </w:numPr>
        <w:contextualSpacing w:val="0"/>
        <w:sectPr w:rsidR="008B3D2E" w:rsidSect="00BC165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2681D16" w14:textId="15992112" w:rsidR="00CE5DB1" w:rsidRPr="00F058C0" w:rsidRDefault="00CE5DB1" w:rsidP="00D03071">
      <w:pPr>
        <w:pStyle w:val="ListParagraph"/>
        <w:numPr>
          <w:ilvl w:val="0"/>
          <w:numId w:val="1"/>
        </w:numPr>
        <w:contextualSpacing w:val="0"/>
      </w:pPr>
      <w:r>
        <w:lastRenderedPageBreak/>
        <w:t xml:space="preserve">In </w:t>
      </w:r>
      <w:r>
        <w:fldChar w:fldCharType="begin"/>
      </w:r>
      <w:r>
        <w:instrText xml:space="preserve"> REF _Ref97794392 \h </w:instrText>
      </w:r>
      <w:r>
        <w:fldChar w:fldCharType="separate"/>
      </w:r>
      <w:r>
        <w:t xml:space="preserve">Table </w:t>
      </w:r>
      <w:r>
        <w:rPr>
          <w:noProof/>
        </w:rPr>
        <w:t>7</w:t>
      </w:r>
      <w:r>
        <w:fldChar w:fldCharType="end"/>
      </w:r>
      <w:r>
        <w:t xml:space="preserve"> we see the average deviation from 100% of the ratio between the forecast spend and the actual spend across all 3 years. This highlights the inaccuracy of both models at the beginning of the financial year</w:t>
      </w:r>
      <w:r w:rsidR="00356055">
        <w:t xml:space="preserve">. </w:t>
      </w:r>
      <w:r w:rsidR="00311934">
        <w:t>Slight i</w:t>
      </w:r>
      <w:r w:rsidR="00356055">
        <w:t xml:space="preserve">mprovements are seen from </w:t>
      </w:r>
      <w:r w:rsidR="00311934">
        <w:t>June onwards, with la</w:t>
      </w:r>
      <w:r w:rsidR="00C870DE">
        <w:t>rg</w:t>
      </w:r>
      <w:r w:rsidR="00311934">
        <w:t>er improvements from around September.</w:t>
      </w:r>
    </w:p>
    <w:tbl>
      <w:tblPr>
        <w:tblStyle w:val="TableGrid"/>
        <w:tblpPr w:leftFromText="180" w:rightFromText="180" w:vertAnchor="page" w:horzAnchor="margin" w:tblpXSpec="center" w:tblpY="3246"/>
        <w:tblW w:w="5443" w:type="dxa"/>
        <w:tblLook w:val="04A0" w:firstRow="1" w:lastRow="0" w:firstColumn="1" w:lastColumn="0" w:noHBand="0" w:noVBand="1"/>
      </w:tblPr>
      <w:tblGrid>
        <w:gridCol w:w="1592"/>
        <w:gridCol w:w="1938"/>
        <w:gridCol w:w="1913"/>
      </w:tblGrid>
      <w:tr w:rsidR="00311934" w14:paraId="57BF158D" w14:textId="77777777" w:rsidTr="00260AB3">
        <w:trPr>
          <w:trHeight w:val="83"/>
        </w:trPr>
        <w:tc>
          <w:tcPr>
            <w:tcW w:w="1592" w:type="dxa"/>
            <w:vMerge w:val="restart"/>
          </w:tcPr>
          <w:p w14:paraId="137A0E08" w14:textId="77777777" w:rsidR="00311934" w:rsidRPr="00CE5DB1" w:rsidRDefault="00311934" w:rsidP="00260AB3">
            <w:bookmarkStart w:id="11" w:name="_Ref97794392"/>
          </w:p>
        </w:tc>
        <w:tc>
          <w:tcPr>
            <w:tcW w:w="3851" w:type="dxa"/>
            <w:gridSpan w:val="2"/>
          </w:tcPr>
          <w:p w14:paraId="4C78F796" w14:textId="77777777" w:rsidR="00311934" w:rsidRPr="00CE5DB1" w:rsidRDefault="00311934" w:rsidP="00260AB3">
            <w:pPr>
              <w:jc w:val="center"/>
            </w:pPr>
            <w:r w:rsidRPr="00CE5DB1">
              <w:t>Average deviation from 100%</w:t>
            </w:r>
          </w:p>
        </w:tc>
      </w:tr>
      <w:tr w:rsidR="00311934" w14:paraId="55C0D9B8" w14:textId="77777777" w:rsidTr="00260AB3">
        <w:trPr>
          <w:trHeight w:val="132"/>
        </w:trPr>
        <w:tc>
          <w:tcPr>
            <w:tcW w:w="1592" w:type="dxa"/>
            <w:vMerge/>
          </w:tcPr>
          <w:p w14:paraId="58AA96D1" w14:textId="77777777" w:rsidR="00311934" w:rsidRPr="00CE5DB1" w:rsidRDefault="00311934" w:rsidP="00260AB3"/>
        </w:tc>
        <w:tc>
          <w:tcPr>
            <w:tcW w:w="1938" w:type="dxa"/>
          </w:tcPr>
          <w:p w14:paraId="2368AC8A" w14:textId="77777777" w:rsidR="00311934" w:rsidRPr="00CE5DB1" w:rsidRDefault="00311934" w:rsidP="00260AB3">
            <w:r w:rsidRPr="00CE5DB1">
              <w:t>Simple Model</w:t>
            </w:r>
          </w:p>
        </w:tc>
        <w:tc>
          <w:tcPr>
            <w:tcW w:w="1913" w:type="dxa"/>
          </w:tcPr>
          <w:p w14:paraId="01AFF118" w14:textId="77777777" w:rsidR="00311934" w:rsidRPr="00CE5DB1" w:rsidRDefault="00311934" w:rsidP="00260AB3">
            <w:r w:rsidRPr="00CE5DB1">
              <w:t>Linear Regression Model</w:t>
            </w:r>
          </w:p>
        </w:tc>
      </w:tr>
      <w:tr w:rsidR="00311934" w14:paraId="163F9E8A" w14:textId="77777777" w:rsidTr="00260AB3">
        <w:trPr>
          <w:trHeight w:val="258"/>
        </w:trPr>
        <w:tc>
          <w:tcPr>
            <w:tcW w:w="1592" w:type="dxa"/>
            <w:shd w:val="clear" w:color="auto" w:fill="DEEAF6" w:themeFill="accent5" w:themeFillTint="33"/>
          </w:tcPr>
          <w:p w14:paraId="626D43EE" w14:textId="77777777" w:rsidR="00311934" w:rsidRPr="00CE5DB1" w:rsidRDefault="00311934" w:rsidP="00260AB3">
            <w:r w:rsidRPr="00CE5DB1">
              <w:t>April</w:t>
            </w:r>
          </w:p>
        </w:tc>
        <w:tc>
          <w:tcPr>
            <w:tcW w:w="1938" w:type="dxa"/>
            <w:shd w:val="clear" w:color="auto" w:fill="DEEAF6" w:themeFill="accent5" w:themeFillTint="33"/>
          </w:tcPr>
          <w:p w14:paraId="14D3FB5F" w14:textId="77777777" w:rsidR="00311934" w:rsidRPr="00CE5DB1" w:rsidRDefault="00311934" w:rsidP="00260AB3">
            <w:pPr>
              <w:jc w:val="center"/>
            </w:pPr>
            <w:r w:rsidRPr="00CE5DB1">
              <w:t>3.4%</w:t>
            </w:r>
          </w:p>
        </w:tc>
        <w:tc>
          <w:tcPr>
            <w:tcW w:w="1913" w:type="dxa"/>
            <w:shd w:val="clear" w:color="auto" w:fill="DEEAF6" w:themeFill="accent5" w:themeFillTint="33"/>
          </w:tcPr>
          <w:p w14:paraId="235F334C" w14:textId="77777777" w:rsidR="00311934" w:rsidRPr="00CE5DB1" w:rsidRDefault="00311934" w:rsidP="00260AB3">
            <w:pPr>
              <w:jc w:val="center"/>
            </w:pPr>
            <w:r w:rsidRPr="00CE5DB1">
              <w:t>3.2%</w:t>
            </w:r>
          </w:p>
        </w:tc>
      </w:tr>
      <w:tr w:rsidR="00311934" w14:paraId="686444DF" w14:textId="77777777" w:rsidTr="00260AB3">
        <w:trPr>
          <w:trHeight w:val="97"/>
        </w:trPr>
        <w:tc>
          <w:tcPr>
            <w:tcW w:w="1592" w:type="dxa"/>
          </w:tcPr>
          <w:p w14:paraId="21B1C2E4" w14:textId="77777777" w:rsidR="00311934" w:rsidRPr="00CE5DB1" w:rsidRDefault="00311934" w:rsidP="00260AB3">
            <w:r w:rsidRPr="00CE5DB1">
              <w:t>May</w:t>
            </w:r>
          </w:p>
        </w:tc>
        <w:tc>
          <w:tcPr>
            <w:tcW w:w="1938" w:type="dxa"/>
          </w:tcPr>
          <w:p w14:paraId="3B8E657E" w14:textId="77777777" w:rsidR="00311934" w:rsidRPr="00CE5DB1" w:rsidRDefault="00311934" w:rsidP="00260AB3">
            <w:pPr>
              <w:jc w:val="center"/>
            </w:pPr>
            <w:r w:rsidRPr="00CE5DB1">
              <w:t>1.6%</w:t>
            </w:r>
          </w:p>
        </w:tc>
        <w:tc>
          <w:tcPr>
            <w:tcW w:w="1913" w:type="dxa"/>
          </w:tcPr>
          <w:p w14:paraId="60D8633F" w14:textId="77777777" w:rsidR="00311934" w:rsidRPr="00CE5DB1" w:rsidRDefault="00311934" w:rsidP="00260AB3">
            <w:pPr>
              <w:jc w:val="center"/>
            </w:pPr>
            <w:r w:rsidRPr="00CE5DB1">
              <w:t>1.2%</w:t>
            </w:r>
          </w:p>
        </w:tc>
      </w:tr>
      <w:tr w:rsidR="00311934" w14:paraId="4B43230C" w14:textId="77777777" w:rsidTr="00260AB3">
        <w:trPr>
          <w:trHeight w:val="166"/>
        </w:trPr>
        <w:tc>
          <w:tcPr>
            <w:tcW w:w="1592" w:type="dxa"/>
            <w:shd w:val="clear" w:color="auto" w:fill="DEEAF6" w:themeFill="accent5" w:themeFillTint="33"/>
          </w:tcPr>
          <w:p w14:paraId="69B308CF" w14:textId="77777777" w:rsidR="00311934" w:rsidRPr="00CE5DB1" w:rsidRDefault="00311934" w:rsidP="00260AB3">
            <w:r w:rsidRPr="00CE5DB1">
              <w:t>June</w:t>
            </w:r>
          </w:p>
        </w:tc>
        <w:tc>
          <w:tcPr>
            <w:tcW w:w="1938" w:type="dxa"/>
            <w:shd w:val="clear" w:color="auto" w:fill="DEEAF6" w:themeFill="accent5" w:themeFillTint="33"/>
          </w:tcPr>
          <w:p w14:paraId="1465D953" w14:textId="77777777" w:rsidR="00311934" w:rsidRPr="00CE5DB1" w:rsidRDefault="00311934" w:rsidP="00260AB3">
            <w:pPr>
              <w:jc w:val="center"/>
            </w:pPr>
            <w:r w:rsidRPr="00CE5DB1">
              <w:t>0.8%</w:t>
            </w:r>
          </w:p>
        </w:tc>
        <w:tc>
          <w:tcPr>
            <w:tcW w:w="1913" w:type="dxa"/>
            <w:shd w:val="clear" w:color="auto" w:fill="DEEAF6" w:themeFill="accent5" w:themeFillTint="33"/>
          </w:tcPr>
          <w:p w14:paraId="224EFCC0" w14:textId="77777777" w:rsidR="00311934" w:rsidRPr="00CE5DB1" w:rsidRDefault="00311934" w:rsidP="00260AB3">
            <w:pPr>
              <w:jc w:val="center"/>
            </w:pPr>
            <w:r w:rsidRPr="00CE5DB1">
              <w:t>1.0%</w:t>
            </w:r>
          </w:p>
        </w:tc>
      </w:tr>
      <w:tr w:rsidR="00311934" w14:paraId="0B74BDEA" w14:textId="77777777" w:rsidTr="00260AB3">
        <w:trPr>
          <w:trHeight w:val="83"/>
        </w:trPr>
        <w:tc>
          <w:tcPr>
            <w:tcW w:w="1592" w:type="dxa"/>
          </w:tcPr>
          <w:p w14:paraId="69A46045" w14:textId="77777777" w:rsidR="00311934" w:rsidRPr="00CE5DB1" w:rsidRDefault="00311934" w:rsidP="00260AB3">
            <w:r w:rsidRPr="00CE5DB1">
              <w:t>July</w:t>
            </w:r>
          </w:p>
        </w:tc>
        <w:tc>
          <w:tcPr>
            <w:tcW w:w="1938" w:type="dxa"/>
          </w:tcPr>
          <w:p w14:paraId="620E19E5" w14:textId="77777777" w:rsidR="00311934" w:rsidRPr="00CE5DB1" w:rsidRDefault="00311934" w:rsidP="00260AB3">
            <w:pPr>
              <w:jc w:val="center"/>
            </w:pPr>
            <w:r w:rsidRPr="00CE5DB1">
              <w:t>0.9%</w:t>
            </w:r>
          </w:p>
        </w:tc>
        <w:tc>
          <w:tcPr>
            <w:tcW w:w="1913" w:type="dxa"/>
          </w:tcPr>
          <w:p w14:paraId="5204566F" w14:textId="77777777" w:rsidR="00311934" w:rsidRPr="00CE5DB1" w:rsidRDefault="00311934" w:rsidP="00260AB3">
            <w:pPr>
              <w:jc w:val="center"/>
            </w:pPr>
            <w:r w:rsidRPr="00CE5DB1">
              <w:t>1.3%</w:t>
            </w:r>
          </w:p>
        </w:tc>
      </w:tr>
      <w:tr w:rsidR="00311934" w14:paraId="07314171" w14:textId="77777777" w:rsidTr="00260AB3">
        <w:trPr>
          <w:trHeight w:val="83"/>
        </w:trPr>
        <w:tc>
          <w:tcPr>
            <w:tcW w:w="1592" w:type="dxa"/>
            <w:shd w:val="clear" w:color="auto" w:fill="DEEAF6" w:themeFill="accent5" w:themeFillTint="33"/>
          </w:tcPr>
          <w:p w14:paraId="18A66877" w14:textId="77777777" w:rsidR="00311934" w:rsidRPr="00CE5DB1" w:rsidRDefault="00311934" w:rsidP="00260AB3">
            <w:r w:rsidRPr="00CE5DB1">
              <w:t>August</w:t>
            </w:r>
          </w:p>
        </w:tc>
        <w:tc>
          <w:tcPr>
            <w:tcW w:w="1938" w:type="dxa"/>
            <w:shd w:val="clear" w:color="auto" w:fill="DEEAF6" w:themeFill="accent5" w:themeFillTint="33"/>
          </w:tcPr>
          <w:p w14:paraId="43026862" w14:textId="77777777" w:rsidR="00311934" w:rsidRPr="00CE5DB1" w:rsidRDefault="00311934" w:rsidP="00260AB3">
            <w:pPr>
              <w:jc w:val="center"/>
            </w:pPr>
            <w:r w:rsidRPr="00CE5DB1">
              <w:t>0.8%</w:t>
            </w:r>
          </w:p>
        </w:tc>
        <w:tc>
          <w:tcPr>
            <w:tcW w:w="1913" w:type="dxa"/>
            <w:shd w:val="clear" w:color="auto" w:fill="DEEAF6" w:themeFill="accent5" w:themeFillTint="33"/>
          </w:tcPr>
          <w:p w14:paraId="4E6B588F" w14:textId="77777777" w:rsidR="00311934" w:rsidRPr="00CE5DB1" w:rsidRDefault="00311934" w:rsidP="00260AB3">
            <w:pPr>
              <w:jc w:val="center"/>
            </w:pPr>
            <w:r w:rsidRPr="00CE5DB1">
              <w:t>1.1%</w:t>
            </w:r>
          </w:p>
        </w:tc>
      </w:tr>
      <w:tr w:rsidR="00311934" w14:paraId="30462ABB" w14:textId="77777777" w:rsidTr="00260AB3">
        <w:trPr>
          <w:trHeight w:val="83"/>
        </w:trPr>
        <w:tc>
          <w:tcPr>
            <w:tcW w:w="1592" w:type="dxa"/>
          </w:tcPr>
          <w:p w14:paraId="07A83737" w14:textId="77777777" w:rsidR="00311934" w:rsidRPr="00CE5DB1" w:rsidRDefault="00311934" w:rsidP="00260AB3">
            <w:r w:rsidRPr="00CE5DB1">
              <w:t>September</w:t>
            </w:r>
          </w:p>
        </w:tc>
        <w:tc>
          <w:tcPr>
            <w:tcW w:w="1938" w:type="dxa"/>
          </w:tcPr>
          <w:p w14:paraId="5B5ADE12" w14:textId="77777777" w:rsidR="00311934" w:rsidRPr="00CE5DB1" w:rsidRDefault="00311934" w:rsidP="00260AB3">
            <w:pPr>
              <w:jc w:val="center"/>
            </w:pPr>
            <w:r w:rsidRPr="00CE5DB1">
              <w:t>0.5%</w:t>
            </w:r>
          </w:p>
        </w:tc>
        <w:tc>
          <w:tcPr>
            <w:tcW w:w="1913" w:type="dxa"/>
          </w:tcPr>
          <w:p w14:paraId="48062F02" w14:textId="77777777" w:rsidR="00311934" w:rsidRPr="00CE5DB1" w:rsidRDefault="00311934" w:rsidP="00260AB3">
            <w:pPr>
              <w:jc w:val="center"/>
            </w:pPr>
            <w:r w:rsidRPr="00CE5DB1">
              <w:t>1.0%</w:t>
            </w:r>
          </w:p>
        </w:tc>
      </w:tr>
      <w:tr w:rsidR="00311934" w14:paraId="3D0C1204" w14:textId="77777777" w:rsidTr="00260AB3">
        <w:trPr>
          <w:trHeight w:val="83"/>
        </w:trPr>
        <w:tc>
          <w:tcPr>
            <w:tcW w:w="1592" w:type="dxa"/>
            <w:shd w:val="clear" w:color="auto" w:fill="DEEAF6" w:themeFill="accent5" w:themeFillTint="33"/>
          </w:tcPr>
          <w:p w14:paraId="0EE21AF5" w14:textId="77777777" w:rsidR="00311934" w:rsidRPr="00CE5DB1" w:rsidRDefault="00311934" w:rsidP="00260AB3">
            <w:r w:rsidRPr="00CE5DB1">
              <w:t>October</w:t>
            </w:r>
          </w:p>
        </w:tc>
        <w:tc>
          <w:tcPr>
            <w:tcW w:w="1938" w:type="dxa"/>
            <w:shd w:val="clear" w:color="auto" w:fill="DEEAF6" w:themeFill="accent5" w:themeFillTint="33"/>
          </w:tcPr>
          <w:p w14:paraId="1330E660" w14:textId="77777777" w:rsidR="00311934" w:rsidRPr="00CE5DB1" w:rsidRDefault="00311934" w:rsidP="00260AB3">
            <w:pPr>
              <w:jc w:val="center"/>
            </w:pPr>
            <w:r w:rsidRPr="00CE5DB1">
              <w:t>0.3%</w:t>
            </w:r>
          </w:p>
        </w:tc>
        <w:tc>
          <w:tcPr>
            <w:tcW w:w="1913" w:type="dxa"/>
            <w:shd w:val="clear" w:color="auto" w:fill="DEEAF6" w:themeFill="accent5" w:themeFillTint="33"/>
          </w:tcPr>
          <w:p w14:paraId="56029B49" w14:textId="77777777" w:rsidR="00311934" w:rsidRPr="00CE5DB1" w:rsidRDefault="00311934" w:rsidP="00260AB3">
            <w:pPr>
              <w:jc w:val="center"/>
            </w:pPr>
            <w:r w:rsidRPr="00CE5DB1">
              <w:t>0.9%</w:t>
            </w:r>
          </w:p>
        </w:tc>
      </w:tr>
      <w:tr w:rsidR="00311934" w14:paraId="455694A5" w14:textId="77777777" w:rsidTr="00260AB3">
        <w:trPr>
          <w:trHeight w:val="83"/>
        </w:trPr>
        <w:tc>
          <w:tcPr>
            <w:tcW w:w="1592" w:type="dxa"/>
          </w:tcPr>
          <w:p w14:paraId="131BFCC5" w14:textId="77777777" w:rsidR="00311934" w:rsidRPr="00CE5DB1" w:rsidRDefault="00311934" w:rsidP="00260AB3">
            <w:r w:rsidRPr="00CE5DB1">
              <w:t>November</w:t>
            </w:r>
          </w:p>
        </w:tc>
        <w:tc>
          <w:tcPr>
            <w:tcW w:w="1938" w:type="dxa"/>
          </w:tcPr>
          <w:p w14:paraId="33BCD8D3" w14:textId="77777777" w:rsidR="00311934" w:rsidRPr="00CE5DB1" w:rsidRDefault="00311934" w:rsidP="00260AB3">
            <w:pPr>
              <w:jc w:val="center"/>
            </w:pPr>
            <w:r w:rsidRPr="00CE5DB1">
              <w:t>0.4%</w:t>
            </w:r>
          </w:p>
        </w:tc>
        <w:tc>
          <w:tcPr>
            <w:tcW w:w="1913" w:type="dxa"/>
          </w:tcPr>
          <w:p w14:paraId="6ED6E686" w14:textId="77777777" w:rsidR="00311934" w:rsidRPr="00CE5DB1" w:rsidRDefault="00311934" w:rsidP="00260AB3">
            <w:pPr>
              <w:jc w:val="center"/>
            </w:pPr>
            <w:r w:rsidRPr="00CE5DB1">
              <w:t>0.9%</w:t>
            </w:r>
          </w:p>
        </w:tc>
      </w:tr>
      <w:tr w:rsidR="00311934" w14:paraId="2CC4AF4D" w14:textId="77777777" w:rsidTr="00260AB3">
        <w:trPr>
          <w:trHeight w:val="83"/>
        </w:trPr>
        <w:tc>
          <w:tcPr>
            <w:tcW w:w="1592" w:type="dxa"/>
            <w:shd w:val="clear" w:color="auto" w:fill="DEEAF6" w:themeFill="accent5" w:themeFillTint="33"/>
          </w:tcPr>
          <w:p w14:paraId="2591626C" w14:textId="77777777" w:rsidR="00311934" w:rsidRPr="00CE5DB1" w:rsidRDefault="00311934" w:rsidP="00260AB3">
            <w:r w:rsidRPr="00CE5DB1">
              <w:t>December</w:t>
            </w:r>
          </w:p>
        </w:tc>
        <w:tc>
          <w:tcPr>
            <w:tcW w:w="1938" w:type="dxa"/>
            <w:shd w:val="clear" w:color="auto" w:fill="DEEAF6" w:themeFill="accent5" w:themeFillTint="33"/>
          </w:tcPr>
          <w:p w14:paraId="557992F6" w14:textId="77777777" w:rsidR="00311934" w:rsidRPr="00CE5DB1" w:rsidRDefault="00311934" w:rsidP="00260AB3">
            <w:pPr>
              <w:jc w:val="center"/>
            </w:pPr>
            <w:r w:rsidRPr="00CE5DB1">
              <w:t>0.4%</w:t>
            </w:r>
          </w:p>
        </w:tc>
        <w:tc>
          <w:tcPr>
            <w:tcW w:w="1913" w:type="dxa"/>
            <w:shd w:val="clear" w:color="auto" w:fill="DEEAF6" w:themeFill="accent5" w:themeFillTint="33"/>
          </w:tcPr>
          <w:p w14:paraId="3407DD61" w14:textId="77777777" w:rsidR="00311934" w:rsidRPr="00CE5DB1" w:rsidRDefault="00311934" w:rsidP="00260AB3">
            <w:pPr>
              <w:jc w:val="center"/>
            </w:pPr>
            <w:r w:rsidRPr="00CE5DB1">
              <w:t>0.6%</w:t>
            </w:r>
          </w:p>
        </w:tc>
      </w:tr>
      <w:tr w:rsidR="00311934" w14:paraId="57A503F7" w14:textId="77777777" w:rsidTr="00260AB3">
        <w:trPr>
          <w:trHeight w:val="83"/>
        </w:trPr>
        <w:tc>
          <w:tcPr>
            <w:tcW w:w="1592" w:type="dxa"/>
          </w:tcPr>
          <w:p w14:paraId="1085E761" w14:textId="77777777" w:rsidR="00311934" w:rsidRPr="00CE5DB1" w:rsidRDefault="00311934" w:rsidP="00260AB3">
            <w:r w:rsidRPr="00CE5DB1">
              <w:t>January</w:t>
            </w:r>
          </w:p>
        </w:tc>
        <w:tc>
          <w:tcPr>
            <w:tcW w:w="1938" w:type="dxa"/>
          </w:tcPr>
          <w:p w14:paraId="7C0A35DF" w14:textId="77777777" w:rsidR="00311934" w:rsidRPr="00CE5DB1" w:rsidRDefault="00311934" w:rsidP="00260AB3">
            <w:pPr>
              <w:jc w:val="center"/>
            </w:pPr>
            <w:r w:rsidRPr="00CE5DB1">
              <w:t>0.4%</w:t>
            </w:r>
          </w:p>
        </w:tc>
        <w:tc>
          <w:tcPr>
            <w:tcW w:w="1913" w:type="dxa"/>
          </w:tcPr>
          <w:p w14:paraId="2EC1B0B6" w14:textId="77777777" w:rsidR="00311934" w:rsidRPr="00CE5DB1" w:rsidRDefault="00311934" w:rsidP="00260AB3">
            <w:pPr>
              <w:jc w:val="center"/>
            </w:pPr>
            <w:r w:rsidRPr="00CE5DB1">
              <w:t>0.5%</w:t>
            </w:r>
          </w:p>
        </w:tc>
      </w:tr>
      <w:tr w:rsidR="00311934" w14:paraId="641E2D8C" w14:textId="77777777" w:rsidTr="00260AB3">
        <w:trPr>
          <w:trHeight w:val="83"/>
        </w:trPr>
        <w:tc>
          <w:tcPr>
            <w:tcW w:w="1592" w:type="dxa"/>
            <w:shd w:val="clear" w:color="auto" w:fill="DEEAF6" w:themeFill="accent5" w:themeFillTint="33"/>
          </w:tcPr>
          <w:p w14:paraId="7096105E" w14:textId="77777777" w:rsidR="00311934" w:rsidRPr="00CE5DB1" w:rsidRDefault="00311934" w:rsidP="00260AB3">
            <w:r w:rsidRPr="00CE5DB1">
              <w:t>February</w:t>
            </w:r>
          </w:p>
        </w:tc>
        <w:tc>
          <w:tcPr>
            <w:tcW w:w="1938" w:type="dxa"/>
            <w:shd w:val="clear" w:color="auto" w:fill="DEEAF6" w:themeFill="accent5" w:themeFillTint="33"/>
          </w:tcPr>
          <w:p w14:paraId="47FEC6BB" w14:textId="77777777" w:rsidR="00311934" w:rsidRPr="00CE5DB1" w:rsidRDefault="00311934" w:rsidP="00260AB3">
            <w:pPr>
              <w:jc w:val="center"/>
            </w:pPr>
            <w:r w:rsidRPr="00CE5DB1">
              <w:t>0.5%</w:t>
            </w:r>
          </w:p>
        </w:tc>
        <w:tc>
          <w:tcPr>
            <w:tcW w:w="1913" w:type="dxa"/>
            <w:shd w:val="clear" w:color="auto" w:fill="DEEAF6" w:themeFill="accent5" w:themeFillTint="33"/>
          </w:tcPr>
          <w:p w14:paraId="141AD305" w14:textId="77777777" w:rsidR="00311934" w:rsidRPr="00CE5DB1" w:rsidRDefault="00311934" w:rsidP="00260AB3">
            <w:pPr>
              <w:jc w:val="center"/>
            </w:pPr>
            <w:r w:rsidRPr="00CE5DB1">
              <w:t>0.5%</w:t>
            </w:r>
          </w:p>
        </w:tc>
      </w:tr>
      <w:tr w:rsidR="00311934" w14:paraId="17D9E894" w14:textId="77777777" w:rsidTr="00260AB3">
        <w:trPr>
          <w:trHeight w:val="97"/>
        </w:trPr>
        <w:tc>
          <w:tcPr>
            <w:tcW w:w="1592" w:type="dxa"/>
          </w:tcPr>
          <w:p w14:paraId="74C63FAE" w14:textId="77777777" w:rsidR="00311934" w:rsidRPr="00CE5DB1" w:rsidRDefault="00311934" w:rsidP="00260AB3">
            <w:r w:rsidRPr="00CE5DB1">
              <w:t>March</w:t>
            </w:r>
          </w:p>
        </w:tc>
        <w:tc>
          <w:tcPr>
            <w:tcW w:w="1938" w:type="dxa"/>
          </w:tcPr>
          <w:p w14:paraId="7485DEA8" w14:textId="77777777" w:rsidR="00311934" w:rsidRPr="00CE5DB1" w:rsidRDefault="00311934" w:rsidP="00260AB3">
            <w:pPr>
              <w:jc w:val="center"/>
            </w:pPr>
            <w:r w:rsidRPr="00CE5DB1">
              <w:t>0.0%</w:t>
            </w:r>
          </w:p>
        </w:tc>
        <w:tc>
          <w:tcPr>
            <w:tcW w:w="1913" w:type="dxa"/>
          </w:tcPr>
          <w:p w14:paraId="4EBBDB53" w14:textId="77777777" w:rsidR="00311934" w:rsidRPr="00CE5DB1" w:rsidRDefault="00311934" w:rsidP="00260AB3">
            <w:pPr>
              <w:jc w:val="center"/>
            </w:pPr>
            <w:r w:rsidRPr="00CE5DB1">
              <w:t>0.0%</w:t>
            </w:r>
          </w:p>
        </w:tc>
      </w:tr>
    </w:tbl>
    <w:p w14:paraId="4D02C475" w14:textId="58BC4271" w:rsidR="00CE5DB1" w:rsidRDefault="00CE5DB1" w:rsidP="00CE5DB1">
      <w:pPr>
        <w:pStyle w:val="Caption"/>
        <w:keepNext/>
      </w:pPr>
      <w:bookmarkStart w:id="12" w:name="_Ref97795045"/>
      <w:r>
        <w:t xml:space="preserve">Table </w:t>
      </w:r>
      <w:r w:rsidR="00D2351B">
        <w:fldChar w:fldCharType="begin"/>
      </w:r>
      <w:r w:rsidR="00D2351B">
        <w:instrText xml:space="preserve"> SEQ Table \* ARABIC </w:instrText>
      </w:r>
      <w:r w:rsidR="00D2351B">
        <w:fldChar w:fldCharType="separate"/>
      </w:r>
      <w:r>
        <w:rPr>
          <w:noProof/>
        </w:rPr>
        <w:t>7</w:t>
      </w:r>
      <w:r w:rsidR="00D2351B">
        <w:rPr>
          <w:noProof/>
        </w:rPr>
        <w:fldChar w:fldCharType="end"/>
      </w:r>
      <w:bookmarkEnd w:id="11"/>
      <w:bookmarkEnd w:id="12"/>
      <w:r>
        <w:t xml:space="preserve">: </w:t>
      </w:r>
      <w:r w:rsidRPr="004F5E16">
        <w:t>The average deviation from 100%</w:t>
      </w:r>
      <w:r w:rsidR="00F478E4">
        <w:t xml:space="preserve"> of the ratio </w:t>
      </w:r>
      <w:r w:rsidRPr="004F5E16">
        <w:t>between the forecast and actual monthly spend</w:t>
      </w:r>
      <w:r w:rsidR="00F478E4">
        <w:t xml:space="preserve"> for each month across </w:t>
      </w:r>
      <w:r w:rsidR="00260AB3">
        <w:t>the 3 years</w:t>
      </w:r>
    </w:p>
    <w:bookmarkEnd w:id="10"/>
    <w:p w14:paraId="70667810" w14:textId="656BB6E1" w:rsidR="00FC5FD9" w:rsidRDefault="00FC5FD9" w:rsidP="00CE5DB1"/>
    <w:bookmarkEnd w:id="9"/>
    <w:p w14:paraId="30957F10" w14:textId="77777777" w:rsidR="00260AB3" w:rsidRDefault="00260AB3" w:rsidP="00362F4B">
      <w:pPr>
        <w:pStyle w:val="Heading2"/>
      </w:pPr>
    </w:p>
    <w:p w14:paraId="76D761BA" w14:textId="77777777" w:rsidR="00260AB3" w:rsidRDefault="00260AB3" w:rsidP="00362F4B">
      <w:pPr>
        <w:pStyle w:val="Heading2"/>
      </w:pPr>
    </w:p>
    <w:p w14:paraId="398838AE" w14:textId="77777777" w:rsidR="00260AB3" w:rsidRDefault="00260AB3" w:rsidP="00362F4B">
      <w:pPr>
        <w:pStyle w:val="Heading2"/>
      </w:pPr>
    </w:p>
    <w:p w14:paraId="428D8DD6" w14:textId="77777777" w:rsidR="00260AB3" w:rsidRDefault="00260AB3" w:rsidP="00362F4B">
      <w:pPr>
        <w:pStyle w:val="Heading2"/>
      </w:pPr>
    </w:p>
    <w:p w14:paraId="1C3F8689" w14:textId="77777777" w:rsidR="00260AB3" w:rsidRDefault="00260AB3" w:rsidP="00362F4B">
      <w:pPr>
        <w:pStyle w:val="Heading2"/>
      </w:pPr>
    </w:p>
    <w:p w14:paraId="729F08B8" w14:textId="77777777" w:rsidR="00260AB3" w:rsidRDefault="00260AB3" w:rsidP="00362F4B">
      <w:pPr>
        <w:pStyle w:val="Heading2"/>
      </w:pPr>
    </w:p>
    <w:p w14:paraId="5E213001" w14:textId="77777777" w:rsidR="00260AB3" w:rsidRDefault="00260AB3" w:rsidP="00362F4B">
      <w:pPr>
        <w:pStyle w:val="Heading2"/>
      </w:pPr>
    </w:p>
    <w:p w14:paraId="17EFCE2C" w14:textId="77777777" w:rsidR="00260AB3" w:rsidRDefault="00260AB3" w:rsidP="00362F4B">
      <w:pPr>
        <w:pStyle w:val="Heading2"/>
      </w:pPr>
    </w:p>
    <w:p w14:paraId="5AE8AC44" w14:textId="77777777" w:rsidR="00260AB3" w:rsidRDefault="00260AB3" w:rsidP="00362F4B">
      <w:pPr>
        <w:pStyle w:val="Heading2"/>
      </w:pPr>
    </w:p>
    <w:p w14:paraId="5A007028" w14:textId="77777777" w:rsidR="00260AB3" w:rsidRDefault="00260AB3" w:rsidP="00362F4B">
      <w:pPr>
        <w:pStyle w:val="Heading2"/>
      </w:pPr>
    </w:p>
    <w:p w14:paraId="60B02B1B" w14:textId="2B2588DE" w:rsidR="00362F4B" w:rsidRDefault="00362F4B" w:rsidP="00362F4B">
      <w:pPr>
        <w:pStyle w:val="Heading2"/>
      </w:pPr>
      <w:r>
        <w:t>Caveats</w:t>
      </w:r>
    </w:p>
    <w:p w14:paraId="6172A551" w14:textId="1E5D9808" w:rsidR="00362F4B" w:rsidRDefault="00362F4B" w:rsidP="00362F4B">
      <w:pPr>
        <w:pStyle w:val="ListParagraph"/>
        <w:numPr>
          <w:ilvl w:val="0"/>
          <w:numId w:val="1"/>
        </w:numPr>
        <w:contextualSpacing w:val="0"/>
      </w:pPr>
      <w:r>
        <w:t xml:space="preserve">There are several caveats to this model </w:t>
      </w:r>
      <w:r w:rsidR="00F2320B">
        <w:t>which</w:t>
      </w:r>
      <w:r>
        <w:t xml:space="preserve"> should be considered when interpreting these results (though most would have also been the case for the linear regression model).</w:t>
      </w:r>
    </w:p>
    <w:p w14:paraId="4DEC6F9F" w14:textId="3830C903" w:rsidR="004C5E36" w:rsidRDefault="00ED36EC" w:rsidP="002C34D6">
      <w:pPr>
        <w:pStyle w:val="ListParagraph"/>
        <w:numPr>
          <w:ilvl w:val="0"/>
          <w:numId w:val="1"/>
        </w:numPr>
        <w:contextualSpacing w:val="0"/>
      </w:pPr>
      <w:r>
        <w:t xml:space="preserve">Forecasts are done based on the previous 5 </w:t>
      </w:r>
      <w:r w:rsidR="002952CE">
        <w:t>years’ worth</w:t>
      </w:r>
      <w:r>
        <w:t xml:space="preserve"> of data and hence </w:t>
      </w:r>
      <w:r w:rsidR="003B6C97">
        <w:t>the forecasts themselves will not change within a financial year</w:t>
      </w:r>
      <w:r w:rsidR="00686F19">
        <w:t xml:space="preserve"> (</w:t>
      </w:r>
      <w:proofErr w:type="gramStart"/>
      <w:r w:rsidR="00686F19">
        <w:t>i.e.</w:t>
      </w:r>
      <w:proofErr w:type="gramEnd"/>
      <w:r w:rsidR="00686F19">
        <w:t xml:space="preserve"> the forecasts are fixed at the beginning of a financial year)</w:t>
      </w:r>
      <w:r w:rsidR="003B6C97">
        <w:t xml:space="preserve">. However, as more data becomes available, the </w:t>
      </w:r>
      <w:r w:rsidR="00C03A67">
        <w:t>forecasted data is replaced with real data</w:t>
      </w:r>
      <w:r w:rsidR="002952CE">
        <w:t xml:space="preserve">, meaning the overall proportions </w:t>
      </w:r>
      <w:r w:rsidR="000F119C">
        <w:t>of spend will change</w:t>
      </w:r>
      <w:r w:rsidR="009C6B6B">
        <w:t xml:space="preserve"> throughout the year</w:t>
      </w:r>
      <w:r w:rsidR="000F119C">
        <w:t>.</w:t>
      </w:r>
    </w:p>
    <w:p w14:paraId="12A9AD84" w14:textId="1B2325DE" w:rsidR="000F119C" w:rsidRDefault="009C6B6B" w:rsidP="002C34D6">
      <w:pPr>
        <w:pStyle w:val="ListParagraph"/>
        <w:numPr>
          <w:ilvl w:val="0"/>
          <w:numId w:val="1"/>
        </w:numPr>
        <w:contextualSpacing w:val="0"/>
      </w:pPr>
      <w:r>
        <w:t xml:space="preserve">The proportion of spend is less accurate at the beginning of the financial year (as seen in </w:t>
      </w:r>
      <w:r>
        <w:fldChar w:fldCharType="begin"/>
      </w:r>
      <w:r>
        <w:instrText xml:space="preserve"> REF _Ref97795045 \h </w:instrText>
      </w:r>
      <w:r>
        <w:fldChar w:fldCharType="separate"/>
      </w:r>
      <w:r>
        <w:t xml:space="preserve">Table </w:t>
      </w:r>
      <w:r>
        <w:rPr>
          <w:noProof/>
        </w:rPr>
        <w:t>7</w:t>
      </w:r>
      <w:r>
        <w:fldChar w:fldCharType="end"/>
      </w:r>
      <w:r>
        <w:t>)</w:t>
      </w:r>
      <w:r w:rsidR="00E05679">
        <w:t xml:space="preserve"> and hence the outputs of the model should </w:t>
      </w:r>
      <w:r w:rsidR="0086609A">
        <w:t xml:space="preserve">be used with caution for the first </w:t>
      </w:r>
      <w:r w:rsidR="00DE4E28">
        <w:t>few months of any financial year.</w:t>
      </w:r>
      <w:r w:rsidR="00E05679">
        <w:t xml:space="preserve"> </w:t>
      </w:r>
    </w:p>
    <w:p w14:paraId="063CED98" w14:textId="0DBED8AC" w:rsidR="00362F4B" w:rsidRDefault="000628A1" w:rsidP="00362F4B">
      <w:pPr>
        <w:pStyle w:val="ListParagraph"/>
        <w:numPr>
          <w:ilvl w:val="0"/>
          <w:numId w:val="1"/>
        </w:numPr>
        <w:contextualSpacing w:val="0"/>
      </w:pPr>
      <w:r>
        <w:t>T</w:t>
      </w:r>
      <w:r w:rsidR="00362F4B">
        <w:t>he calculations done in this document rely on using National level data. However, there is likely to be a greater forecasting error when using smaller populations (</w:t>
      </w:r>
      <w:proofErr w:type="gramStart"/>
      <w:r w:rsidR="00362F4B">
        <w:t>e.g.</w:t>
      </w:r>
      <w:proofErr w:type="gramEnd"/>
      <w:r w:rsidR="00362F4B">
        <w:t xml:space="preserve"> when reducing the data down to </w:t>
      </w:r>
      <w:r w:rsidR="00BD0FA6">
        <w:t>SICBL</w:t>
      </w:r>
      <w:r w:rsidR="00362F4B">
        <w:t xml:space="preserve"> level). </w:t>
      </w:r>
    </w:p>
    <w:p w14:paraId="072CBBBA" w14:textId="1D6055AC" w:rsidR="00ED36EC" w:rsidRDefault="00B46FF2" w:rsidP="00C77E5B">
      <w:pPr>
        <w:pStyle w:val="ListParagraph"/>
        <w:numPr>
          <w:ilvl w:val="0"/>
          <w:numId w:val="1"/>
        </w:numPr>
        <w:contextualSpacing w:val="0"/>
      </w:pPr>
      <w:r>
        <w:t>This</w:t>
      </w:r>
      <w:r w:rsidR="00776D2A">
        <w:t xml:space="preserve"> is a simple</w:t>
      </w:r>
      <w:r>
        <w:t xml:space="preserve"> model</w:t>
      </w:r>
      <w:r w:rsidR="00274E12">
        <w:t xml:space="preserve"> and</w:t>
      </w:r>
      <w:r>
        <w:t xml:space="preserve"> does not include any risk monitoring </w:t>
      </w:r>
      <w:r w:rsidR="00776D2A">
        <w:t xml:space="preserve">when </w:t>
      </w:r>
      <w:r w:rsidR="00993908">
        <w:t>forecasting the prescription spend. In other words, this model should not be relied upon to account for changes including demographic changes; changes in morbidity;</w:t>
      </w:r>
      <w:r w:rsidR="004525D5">
        <w:t xml:space="preserve"> the emergence of new substitute or complementary technology; changes in prices</w:t>
      </w:r>
      <w:r w:rsidR="00D67A5A">
        <w:t>;</w:t>
      </w:r>
      <w:r w:rsidR="00D67A5A" w:rsidRPr="00D67A5A">
        <w:t xml:space="preserve"> local or international market or supply chain conditions; wider national or international policy changes; local, </w:t>
      </w:r>
      <w:proofErr w:type="gramStart"/>
      <w:r w:rsidR="00D67A5A" w:rsidRPr="00D67A5A">
        <w:t>national</w:t>
      </w:r>
      <w:proofErr w:type="gramEnd"/>
      <w:r w:rsidR="00D67A5A" w:rsidRPr="00D67A5A">
        <w:t xml:space="preserve"> or global events or circumstances that interrupt business as usual; new trends that are not represented in the source data</w:t>
      </w:r>
      <w:r w:rsidR="00DE2BAD">
        <w:t xml:space="preserve">. </w:t>
      </w:r>
    </w:p>
    <w:p w14:paraId="017AADEA" w14:textId="62B652CD" w:rsidR="00DD3571" w:rsidRDefault="00EE1CC0" w:rsidP="00C77E5B">
      <w:pPr>
        <w:pStyle w:val="ListParagraph"/>
        <w:numPr>
          <w:ilvl w:val="0"/>
          <w:numId w:val="1"/>
        </w:numPr>
        <w:contextualSpacing w:val="0"/>
      </w:pPr>
      <w:r>
        <w:t>Data are averaged over the previous 5 years and hence the total spend estimates may be an underestimate if growth</w:t>
      </w:r>
      <w:r w:rsidR="00E747FD">
        <w:t xml:space="preserve"> in spend has occurred over the last 5 years. </w:t>
      </w:r>
      <w:r w:rsidR="00844778">
        <w:t xml:space="preserve">This is unlikely to impact </w:t>
      </w:r>
      <w:r w:rsidR="00844778">
        <w:lastRenderedPageBreak/>
        <w:t xml:space="preserve">the </w:t>
      </w:r>
      <w:r w:rsidR="00454263">
        <w:t xml:space="preserve">initial </w:t>
      </w:r>
      <w:r w:rsidR="00844778">
        <w:t xml:space="preserve">proportions of </w:t>
      </w:r>
      <w:r w:rsidR="00454263">
        <w:t>spend</w:t>
      </w:r>
      <w:r w:rsidR="0041505D">
        <w:t xml:space="preserve"> (as it would affect all months equally) </w:t>
      </w:r>
      <w:r w:rsidR="00454263">
        <w:t>but</w:t>
      </w:r>
      <w:r w:rsidR="00844778">
        <w:t xml:space="preserve"> may have an effect as estimates are replaced by real data.</w:t>
      </w:r>
    </w:p>
    <w:p w14:paraId="7736770E" w14:textId="2DE21A0A" w:rsidR="00B95EEF" w:rsidRDefault="00B95EEF" w:rsidP="00C77E5B">
      <w:pPr>
        <w:pStyle w:val="ListParagraph"/>
        <w:numPr>
          <w:ilvl w:val="0"/>
          <w:numId w:val="1"/>
        </w:numPr>
        <w:contextualSpacing w:val="0"/>
      </w:pPr>
      <w:r>
        <w:t xml:space="preserve">This model </w:t>
      </w:r>
      <w:r w:rsidR="00C47A3B">
        <w:rPr>
          <w:rFonts w:ascii="Calibri" w:hAnsi="Calibri" w:cs="Calibri"/>
        </w:rPr>
        <w:t xml:space="preserve">is likely to be impacted by the effects of the COVID-19 pandemic on prescription spend data. However, the spend only shows a noticeable difference in March and April 2020 meaning averages are unlikely to be dramatically changed by the effects of the pandemic.  </w:t>
      </w:r>
    </w:p>
    <w:p w14:paraId="070997C2" w14:textId="77777777" w:rsidR="00A3353D" w:rsidRPr="0056122D" w:rsidRDefault="00A3353D" w:rsidP="00A3353D"/>
    <w:sectPr w:rsidR="00A3353D" w:rsidRPr="00561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193E" w14:textId="77777777" w:rsidR="00D2351B" w:rsidRDefault="00D2351B" w:rsidP="00AA3E3E">
      <w:pPr>
        <w:spacing w:after="0" w:line="240" w:lineRule="auto"/>
      </w:pPr>
      <w:r>
        <w:separator/>
      </w:r>
    </w:p>
  </w:endnote>
  <w:endnote w:type="continuationSeparator" w:id="0">
    <w:p w14:paraId="06512DDE" w14:textId="77777777" w:rsidR="00D2351B" w:rsidRDefault="00D2351B" w:rsidP="00AA3E3E">
      <w:pPr>
        <w:spacing w:after="0" w:line="240" w:lineRule="auto"/>
      </w:pPr>
      <w:r>
        <w:continuationSeparator/>
      </w:r>
    </w:p>
  </w:endnote>
  <w:endnote w:type="continuationNotice" w:id="1">
    <w:p w14:paraId="47054DB7" w14:textId="77777777" w:rsidR="00D2351B" w:rsidRDefault="00D235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92BB" w14:textId="77777777" w:rsidR="00D2351B" w:rsidRDefault="00D2351B" w:rsidP="00AA3E3E">
      <w:pPr>
        <w:spacing w:after="0" w:line="240" w:lineRule="auto"/>
      </w:pPr>
      <w:r>
        <w:separator/>
      </w:r>
    </w:p>
  </w:footnote>
  <w:footnote w:type="continuationSeparator" w:id="0">
    <w:p w14:paraId="43E5C63D" w14:textId="77777777" w:rsidR="00D2351B" w:rsidRDefault="00D2351B" w:rsidP="00AA3E3E">
      <w:pPr>
        <w:spacing w:after="0" w:line="240" w:lineRule="auto"/>
      </w:pPr>
      <w:r>
        <w:continuationSeparator/>
      </w:r>
    </w:p>
  </w:footnote>
  <w:footnote w:type="continuationNotice" w:id="1">
    <w:p w14:paraId="634EA26B" w14:textId="77777777" w:rsidR="00D2351B" w:rsidRDefault="00D2351B">
      <w:pPr>
        <w:spacing w:after="0" w:line="240" w:lineRule="auto"/>
      </w:pPr>
    </w:p>
  </w:footnote>
  <w:footnote w:id="2">
    <w:p w14:paraId="7D1FAF4E" w14:textId="4F0A657D" w:rsidR="00096C7F" w:rsidRDefault="00096C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468AF">
        <w:rPr>
          <w:rFonts w:ascii="Calibri" w:hAnsi="Calibri" w:cs="Calibri"/>
          <w:sz w:val="22"/>
          <w:szCs w:val="22"/>
        </w:rPr>
        <w:t>The community pharmacy sector receive money as retained buying margin, i.e. the profit pharmacies can earn on dispensing drugs through cost-effective purchasing. The margin element is a target that DHSC aim to deliver by adjusting the reimbursement price of drugs and the delivery of margin to pharmacy is carefully monitored by DHSC.</w:t>
      </w:r>
      <w:r w:rsidR="002F0DED">
        <w:rPr>
          <w:rFonts w:ascii="Calibri" w:hAnsi="Calibri" w:cs="Calibri"/>
          <w:sz w:val="22"/>
          <w:szCs w:val="22"/>
        </w:rPr>
        <w:t xml:space="preserve"> Averaging results may be very noisy without correcting for policy impacts as they may have occurred in any month of the year.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E5EA" w14:textId="0643E641" w:rsidR="00AA3E3E" w:rsidRDefault="00B319FD">
    <w:pPr>
      <w:pStyle w:val="Header"/>
    </w:pPr>
    <w:r>
      <w:t>April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6805"/>
    <w:multiLevelType w:val="hybridMultilevel"/>
    <w:tmpl w:val="F66A02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B540AA"/>
    <w:multiLevelType w:val="hybridMultilevel"/>
    <w:tmpl w:val="70D65CC8"/>
    <w:lvl w:ilvl="0" w:tplc="74F428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013182">
    <w:abstractNumId w:val="0"/>
  </w:num>
  <w:num w:numId="2" w16cid:durableId="1950771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2D"/>
    <w:rsid w:val="00007268"/>
    <w:rsid w:val="00013DC5"/>
    <w:rsid w:val="00015A6F"/>
    <w:rsid w:val="00023BBF"/>
    <w:rsid w:val="000303C5"/>
    <w:rsid w:val="00030F30"/>
    <w:rsid w:val="00030F83"/>
    <w:rsid w:val="00033BB8"/>
    <w:rsid w:val="00037699"/>
    <w:rsid w:val="00037B5C"/>
    <w:rsid w:val="000426AC"/>
    <w:rsid w:val="00045C32"/>
    <w:rsid w:val="00061A6C"/>
    <w:rsid w:val="000628A1"/>
    <w:rsid w:val="00062F10"/>
    <w:rsid w:val="000667DC"/>
    <w:rsid w:val="00066F74"/>
    <w:rsid w:val="00067148"/>
    <w:rsid w:val="00071F67"/>
    <w:rsid w:val="00075D6C"/>
    <w:rsid w:val="0008281A"/>
    <w:rsid w:val="000853FE"/>
    <w:rsid w:val="0008744E"/>
    <w:rsid w:val="000948AB"/>
    <w:rsid w:val="00096C7F"/>
    <w:rsid w:val="000A1F01"/>
    <w:rsid w:val="000A30B6"/>
    <w:rsid w:val="000A75B5"/>
    <w:rsid w:val="000A7F33"/>
    <w:rsid w:val="000B21F8"/>
    <w:rsid w:val="000B46DC"/>
    <w:rsid w:val="000B4C51"/>
    <w:rsid w:val="000B7F3E"/>
    <w:rsid w:val="000C2A29"/>
    <w:rsid w:val="000C50DB"/>
    <w:rsid w:val="000E306F"/>
    <w:rsid w:val="000E4640"/>
    <w:rsid w:val="000E46E0"/>
    <w:rsid w:val="000E5966"/>
    <w:rsid w:val="000F119C"/>
    <w:rsid w:val="000F4FBF"/>
    <w:rsid w:val="001031E5"/>
    <w:rsid w:val="00110E4A"/>
    <w:rsid w:val="00120124"/>
    <w:rsid w:val="001260BA"/>
    <w:rsid w:val="001405D2"/>
    <w:rsid w:val="00143711"/>
    <w:rsid w:val="00154A56"/>
    <w:rsid w:val="00162C6D"/>
    <w:rsid w:val="00166577"/>
    <w:rsid w:val="0016663F"/>
    <w:rsid w:val="00183A87"/>
    <w:rsid w:val="001A7C05"/>
    <w:rsid w:val="001C2D27"/>
    <w:rsid w:val="001D2F34"/>
    <w:rsid w:val="001D69E3"/>
    <w:rsid w:val="001E43D8"/>
    <w:rsid w:val="001F15C2"/>
    <w:rsid w:val="001F1E6C"/>
    <w:rsid w:val="001F3E2D"/>
    <w:rsid w:val="001F5517"/>
    <w:rsid w:val="0020208F"/>
    <w:rsid w:val="0020661C"/>
    <w:rsid w:val="00212954"/>
    <w:rsid w:val="00232608"/>
    <w:rsid w:val="0023447A"/>
    <w:rsid w:val="00240ACC"/>
    <w:rsid w:val="002447BB"/>
    <w:rsid w:val="00250987"/>
    <w:rsid w:val="00251750"/>
    <w:rsid w:val="00254696"/>
    <w:rsid w:val="00256926"/>
    <w:rsid w:val="00260AB3"/>
    <w:rsid w:val="00263E57"/>
    <w:rsid w:val="002651ED"/>
    <w:rsid w:val="00267C43"/>
    <w:rsid w:val="00274E12"/>
    <w:rsid w:val="00275E16"/>
    <w:rsid w:val="00276E69"/>
    <w:rsid w:val="002813BE"/>
    <w:rsid w:val="00281C09"/>
    <w:rsid w:val="00284B20"/>
    <w:rsid w:val="002873D2"/>
    <w:rsid w:val="002952CE"/>
    <w:rsid w:val="002B1E8E"/>
    <w:rsid w:val="002B597A"/>
    <w:rsid w:val="002B7582"/>
    <w:rsid w:val="002C1E64"/>
    <w:rsid w:val="002D122C"/>
    <w:rsid w:val="002D2FEA"/>
    <w:rsid w:val="002D5617"/>
    <w:rsid w:val="002E2677"/>
    <w:rsid w:val="002E33F2"/>
    <w:rsid w:val="002F0DED"/>
    <w:rsid w:val="002F4C77"/>
    <w:rsid w:val="00302AD1"/>
    <w:rsid w:val="00303583"/>
    <w:rsid w:val="00304BB6"/>
    <w:rsid w:val="00311934"/>
    <w:rsid w:val="00324D84"/>
    <w:rsid w:val="0032640C"/>
    <w:rsid w:val="00356055"/>
    <w:rsid w:val="00362F4B"/>
    <w:rsid w:val="00380486"/>
    <w:rsid w:val="003805C1"/>
    <w:rsid w:val="00381C9D"/>
    <w:rsid w:val="0039323C"/>
    <w:rsid w:val="003973E6"/>
    <w:rsid w:val="003A17A6"/>
    <w:rsid w:val="003A57DF"/>
    <w:rsid w:val="003B32AB"/>
    <w:rsid w:val="003B56C6"/>
    <w:rsid w:val="003B6C97"/>
    <w:rsid w:val="003C6F52"/>
    <w:rsid w:val="003C7828"/>
    <w:rsid w:val="003D5FB6"/>
    <w:rsid w:val="003E09EB"/>
    <w:rsid w:val="003E136E"/>
    <w:rsid w:val="003E4161"/>
    <w:rsid w:val="003E607E"/>
    <w:rsid w:val="004012D6"/>
    <w:rsid w:val="0041504E"/>
    <w:rsid w:val="0041505D"/>
    <w:rsid w:val="0042394F"/>
    <w:rsid w:val="00435D61"/>
    <w:rsid w:val="004415A1"/>
    <w:rsid w:val="00441B8D"/>
    <w:rsid w:val="004421BC"/>
    <w:rsid w:val="00443A78"/>
    <w:rsid w:val="0044678D"/>
    <w:rsid w:val="00447DEA"/>
    <w:rsid w:val="00451A25"/>
    <w:rsid w:val="004525D5"/>
    <w:rsid w:val="00452F01"/>
    <w:rsid w:val="00454263"/>
    <w:rsid w:val="004551DA"/>
    <w:rsid w:val="00465939"/>
    <w:rsid w:val="00470376"/>
    <w:rsid w:val="0047623A"/>
    <w:rsid w:val="00485A92"/>
    <w:rsid w:val="00487209"/>
    <w:rsid w:val="00491F7F"/>
    <w:rsid w:val="00493520"/>
    <w:rsid w:val="0049572A"/>
    <w:rsid w:val="00496051"/>
    <w:rsid w:val="004A22E9"/>
    <w:rsid w:val="004A50D8"/>
    <w:rsid w:val="004B1768"/>
    <w:rsid w:val="004B3A36"/>
    <w:rsid w:val="004B5B1B"/>
    <w:rsid w:val="004B6547"/>
    <w:rsid w:val="004C4DDB"/>
    <w:rsid w:val="004C5E36"/>
    <w:rsid w:val="004D04CA"/>
    <w:rsid w:val="004F11A3"/>
    <w:rsid w:val="004F2077"/>
    <w:rsid w:val="004F34D7"/>
    <w:rsid w:val="004F508D"/>
    <w:rsid w:val="0050313E"/>
    <w:rsid w:val="00505C83"/>
    <w:rsid w:val="005078CC"/>
    <w:rsid w:val="00507D6F"/>
    <w:rsid w:val="0052021F"/>
    <w:rsid w:val="00522F4B"/>
    <w:rsid w:val="00525FA5"/>
    <w:rsid w:val="005262A7"/>
    <w:rsid w:val="00543C9F"/>
    <w:rsid w:val="005468AF"/>
    <w:rsid w:val="005470B1"/>
    <w:rsid w:val="00553645"/>
    <w:rsid w:val="005548F6"/>
    <w:rsid w:val="0056122D"/>
    <w:rsid w:val="0056215A"/>
    <w:rsid w:val="00571401"/>
    <w:rsid w:val="00572E99"/>
    <w:rsid w:val="00573A17"/>
    <w:rsid w:val="00575E72"/>
    <w:rsid w:val="00586C71"/>
    <w:rsid w:val="00590682"/>
    <w:rsid w:val="005A47F6"/>
    <w:rsid w:val="005B2E60"/>
    <w:rsid w:val="005B4666"/>
    <w:rsid w:val="005B5BFC"/>
    <w:rsid w:val="005B641F"/>
    <w:rsid w:val="005B7D4C"/>
    <w:rsid w:val="005C1EA7"/>
    <w:rsid w:val="005E1235"/>
    <w:rsid w:val="005E1F79"/>
    <w:rsid w:val="005E3F2F"/>
    <w:rsid w:val="005E7BBA"/>
    <w:rsid w:val="005F020D"/>
    <w:rsid w:val="005F1C7E"/>
    <w:rsid w:val="005F3609"/>
    <w:rsid w:val="006142CB"/>
    <w:rsid w:val="00620657"/>
    <w:rsid w:val="00623C44"/>
    <w:rsid w:val="00631055"/>
    <w:rsid w:val="00640390"/>
    <w:rsid w:val="00640A04"/>
    <w:rsid w:val="0065348B"/>
    <w:rsid w:val="00655FD5"/>
    <w:rsid w:val="00657F8A"/>
    <w:rsid w:val="006609B0"/>
    <w:rsid w:val="006736E2"/>
    <w:rsid w:val="0067484D"/>
    <w:rsid w:val="00675C79"/>
    <w:rsid w:val="00680279"/>
    <w:rsid w:val="00686F19"/>
    <w:rsid w:val="00692EC4"/>
    <w:rsid w:val="00695D4A"/>
    <w:rsid w:val="006A35EF"/>
    <w:rsid w:val="006A454A"/>
    <w:rsid w:val="006A52F4"/>
    <w:rsid w:val="006B59C0"/>
    <w:rsid w:val="006C707F"/>
    <w:rsid w:val="006D7DF3"/>
    <w:rsid w:val="006E01F5"/>
    <w:rsid w:val="006E350E"/>
    <w:rsid w:val="006E36B1"/>
    <w:rsid w:val="006E6778"/>
    <w:rsid w:val="006E6C9F"/>
    <w:rsid w:val="006E72A4"/>
    <w:rsid w:val="00701C47"/>
    <w:rsid w:val="0071580A"/>
    <w:rsid w:val="00717523"/>
    <w:rsid w:val="00727423"/>
    <w:rsid w:val="00732EEA"/>
    <w:rsid w:val="00733C3A"/>
    <w:rsid w:val="00734589"/>
    <w:rsid w:val="007361D9"/>
    <w:rsid w:val="0074233E"/>
    <w:rsid w:val="00752232"/>
    <w:rsid w:val="0076292F"/>
    <w:rsid w:val="00776D2A"/>
    <w:rsid w:val="00785140"/>
    <w:rsid w:val="00790D90"/>
    <w:rsid w:val="007A003D"/>
    <w:rsid w:val="007A1CC0"/>
    <w:rsid w:val="007A1F05"/>
    <w:rsid w:val="007A6399"/>
    <w:rsid w:val="007C7051"/>
    <w:rsid w:val="007D396C"/>
    <w:rsid w:val="007D4512"/>
    <w:rsid w:val="007D596F"/>
    <w:rsid w:val="007D5B37"/>
    <w:rsid w:val="007E3B0E"/>
    <w:rsid w:val="007F52F1"/>
    <w:rsid w:val="007F6315"/>
    <w:rsid w:val="007F6533"/>
    <w:rsid w:val="007F6AD7"/>
    <w:rsid w:val="00802990"/>
    <w:rsid w:val="00803CB1"/>
    <w:rsid w:val="008076C2"/>
    <w:rsid w:val="0081012F"/>
    <w:rsid w:val="00810F9B"/>
    <w:rsid w:val="00815E75"/>
    <w:rsid w:val="008323F0"/>
    <w:rsid w:val="008342E3"/>
    <w:rsid w:val="00844778"/>
    <w:rsid w:val="0085039E"/>
    <w:rsid w:val="008538D9"/>
    <w:rsid w:val="00863E1A"/>
    <w:rsid w:val="00865C0D"/>
    <w:rsid w:val="0086609A"/>
    <w:rsid w:val="00870F26"/>
    <w:rsid w:val="00871808"/>
    <w:rsid w:val="008801E7"/>
    <w:rsid w:val="00880ED1"/>
    <w:rsid w:val="008902E6"/>
    <w:rsid w:val="00892EF4"/>
    <w:rsid w:val="008A0C93"/>
    <w:rsid w:val="008B3D2E"/>
    <w:rsid w:val="008B6FF1"/>
    <w:rsid w:val="008C07D7"/>
    <w:rsid w:val="008D07CF"/>
    <w:rsid w:val="008D2AAA"/>
    <w:rsid w:val="008E3EFC"/>
    <w:rsid w:val="008F3AFA"/>
    <w:rsid w:val="0091788A"/>
    <w:rsid w:val="009209FF"/>
    <w:rsid w:val="009322E5"/>
    <w:rsid w:val="009377CD"/>
    <w:rsid w:val="009408D6"/>
    <w:rsid w:val="009533CC"/>
    <w:rsid w:val="009540A5"/>
    <w:rsid w:val="00962088"/>
    <w:rsid w:val="009639DA"/>
    <w:rsid w:val="00965262"/>
    <w:rsid w:val="00965D1C"/>
    <w:rsid w:val="00967727"/>
    <w:rsid w:val="00967AE9"/>
    <w:rsid w:val="009709D7"/>
    <w:rsid w:val="0097114A"/>
    <w:rsid w:val="009768F8"/>
    <w:rsid w:val="00977BEA"/>
    <w:rsid w:val="00993908"/>
    <w:rsid w:val="00996ED4"/>
    <w:rsid w:val="00997565"/>
    <w:rsid w:val="009A1B1A"/>
    <w:rsid w:val="009A5D0D"/>
    <w:rsid w:val="009C09C6"/>
    <w:rsid w:val="009C316C"/>
    <w:rsid w:val="009C6B6B"/>
    <w:rsid w:val="009C76F2"/>
    <w:rsid w:val="009D37CC"/>
    <w:rsid w:val="009D7999"/>
    <w:rsid w:val="009F09A9"/>
    <w:rsid w:val="009F34A9"/>
    <w:rsid w:val="009F6C8D"/>
    <w:rsid w:val="00A12860"/>
    <w:rsid w:val="00A226FD"/>
    <w:rsid w:val="00A2587B"/>
    <w:rsid w:val="00A26A8E"/>
    <w:rsid w:val="00A3353D"/>
    <w:rsid w:val="00A33EC0"/>
    <w:rsid w:val="00A40798"/>
    <w:rsid w:val="00A41083"/>
    <w:rsid w:val="00A52C28"/>
    <w:rsid w:val="00A53606"/>
    <w:rsid w:val="00A55E01"/>
    <w:rsid w:val="00A57F4E"/>
    <w:rsid w:val="00A6281E"/>
    <w:rsid w:val="00A824F8"/>
    <w:rsid w:val="00A950F6"/>
    <w:rsid w:val="00AA3E3E"/>
    <w:rsid w:val="00AA6666"/>
    <w:rsid w:val="00AD1F1E"/>
    <w:rsid w:val="00AD4A82"/>
    <w:rsid w:val="00AD7337"/>
    <w:rsid w:val="00AE02A3"/>
    <w:rsid w:val="00AE42B5"/>
    <w:rsid w:val="00AF4BEE"/>
    <w:rsid w:val="00B00EA2"/>
    <w:rsid w:val="00B03CE3"/>
    <w:rsid w:val="00B14FDC"/>
    <w:rsid w:val="00B159DE"/>
    <w:rsid w:val="00B224F7"/>
    <w:rsid w:val="00B2329D"/>
    <w:rsid w:val="00B24B82"/>
    <w:rsid w:val="00B319FD"/>
    <w:rsid w:val="00B41B51"/>
    <w:rsid w:val="00B44A6E"/>
    <w:rsid w:val="00B4696F"/>
    <w:rsid w:val="00B46FF2"/>
    <w:rsid w:val="00B50834"/>
    <w:rsid w:val="00B56B91"/>
    <w:rsid w:val="00B6041D"/>
    <w:rsid w:val="00B62171"/>
    <w:rsid w:val="00B634A4"/>
    <w:rsid w:val="00B65AA6"/>
    <w:rsid w:val="00B85AB1"/>
    <w:rsid w:val="00B95EEF"/>
    <w:rsid w:val="00B97FE3"/>
    <w:rsid w:val="00BA39B9"/>
    <w:rsid w:val="00BB2DCC"/>
    <w:rsid w:val="00BB3772"/>
    <w:rsid w:val="00BC1654"/>
    <w:rsid w:val="00BC2F89"/>
    <w:rsid w:val="00BC4DAC"/>
    <w:rsid w:val="00BC553D"/>
    <w:rsid w:val="00BC58DD"/>
    <w:rsid w:val="00BC7661"/>
    <w:rsid w:val="00BD0FA6"/>
    <w:rsid w:val="00BD5F31"/>
    <w:rsid w:val="00BE1023"/>
    <w:rsid w:val="00BE2C4D"/>
    <w:rsid w:val="00BE5DF0"/>
    <w:rsid w:val="00BE7EAB"/>
    <w:rsid w:val="00BF0A4D"/>
    <w:rsid w:val="00BF2840"/>
    <w:rsid w:val="00BF4DB8"/>
    <w:rsid w:val="00C00B06"/>
    <w:rsid w:val="00C03A67"/>
    <w:rsid w:val="00C101C9"/>
    <w:rsid w:val="00C11134"/>
    <w:rsid w:val="00C13842"/>
    <w:rsid w:val="00C14860"/>
    <w:rsid w:val="00C24EAD"/>
    <w:rsid w:val="00C30E20"/>
    <w:rsid w:val="00C3280E"/>
    <w:rsid w:val="00C37C0C"/>
    <w:rsid w:val="00C41BB4"/>
    <w:rsid w:val="00C45B25"/>
    <w:rsid w:val="00C463F9"/>
    <w:rsid w:val="00C47A3B"/>
    <w:rsid w:val="00C50D57"/>
    <w:rsid w:val="00C60269"/>
    <w:rsid w:val="00C60EE0"/>
    <w:rsid w:val="00C632E8"/>
    <w:rsid w:val="00C63CCB"/>
    <w:rsid w:val="00C64186"/>
    <w:rsid w:val="00C70877"/>
    <w:rsid w:val="00C77E5B"/>
    <w:rsid w:val="00C824E7"/>
    <w:rsid w:val="00C870DE"/>
    <w:rsid w:val="00C9266E"/>
    <w:rsid w:val="00CA0665"/>
    <w:rsid w:val="00CA1EC5"/>
    <w:rsid w:val="00CC1A8A"/>
    <w:rsid w:val="00CC219B"/>
    <w:rsid w:val="00CC2A1D"/>
    <w:rsid w:val="00CE29C4"/>
    <w:rsid w:val="00CE4C7F"/>
    <w:rsid w:val="00CE5DB1"/>
    <w:rsid w:val="00D04717"/>
    <w:rsid w:val="00D11F67"/>
    <w:rsid w:val="00D15609"/>
    <w:rsid w:val="00D2351B"/>
    <w:rsid w:val="00D24AF5"/>
    <w:rsid w:val="00D67A5A"/>
    <w:rsid w:val="00D7028D"/>
    <w:rsid w:val="00D7281D"/>
    <w:rsid w:val="00D732F0"/>
    <w:rsid w:val="00D74B61"/>
    <w:rsid w:val="00D76290"/>
    <w:rsid w:val="00D84C34"/>
    <w:rsid w:val="00D861C3"/>
    <w:rsid w:val="00D95B04"/>
    <w:rsid w:val="00D9795D"/>
    <w:rsid w:val="00D97DC3"/>
    <w:rsid w:val="00DA7C3F"/>
    <w:rsid w:val="00DC24C8"/>
    <w:rsid w:val="00DC530E"/>
    <w:rsid w:val="00DC7158"/>
    <w:rsid w:val="00DD257F"/>
    <w:rsid w:val="00DD3571"/>
    <w:rsid w:val="00DE2BAD"/>
    <w:rsid w:val="00DE390F"/>
    <w:rsid w:val="00DE4E28"/>
    <w:rsid w:val="00DF05A0"/>
    <w:rsid w:val="00DF5401"/>
    <w:rsid w:val="00DF6D77"/>
    <w:rsid w:val="00DF7612"/>
    <w:rsid w:val="00E01DCC"/>
    <w:rsid w:val="00E05679"/>
    <w:rsid w:val="00E05D47"/>
    <w:rsid w:val="00E20649"/>
    <w:rsid w:val="00E2400B"/>
    <w:rsid w:val="00E35D6F"/>
    <w:rsid w:val="00E41A30"/>
    <w:rsid w:val="00E51300"/>
    <w:rsid w:val="00E515A6"/>
    <w:rsid w:val="00E516DA"/>
    <w:rsid w:val="00E62920"/>
    <w:rsid w:val="00E63B00"/>
    <w:rsid w:val="00E747FD"/>
    <w:rsid w:val="00E75601"/>
    <w:rsid w:val="00E821B9"/>
    <w:rsid w:val="00E87B70"/>
    <w:rsid w:val="00E92BDC"/>
    <w:rsid w:val="00E97A19"/>
    <w:rsid w:val="00EA2602"/>
    <w:rsid w:val="00EA3AE2"/>
    <w:rsid w:val="00EB7E6F"/>
    <w:rsid w:val="00EC2017"/>
    <w:rsid w:val="00EC4701"/>
    <w:rsid w:val="00EC4A3D"/>
    <w:rsid w:val="00EC53BE"/>
    <w:rsid w:val="00ED0F32"/>
    <w:rsid w:val="00ED31F0"/>
    <w:rsid w:val="00ED36EC"/>
    <w:rsid w:val="00ED40DB"/>
    <w:rsid w:val="00ED45B8"/>
    <w:rsid w:val="00EE0A6D"/>
    <w:rsid w:val="00EE1CC0"/>
    <w:rsid w:val="00EE3627"/>
    <w:rsid w:val="00EF1FFE"/>
    <w:rsid w:val="00F058C0"/>
    <w:rsid w:val="00F216F7"/>
    <w:rsid w:val="00F2320B"/>
    <w:rsid w:val="00F23C2E"/>
    <w:rsid w:val="00F24E36"/>
    <w:rsid w:val="00F30F7C"/>
    <w:rsid w:val="00F41B4E"/>
    <w:rsid w:val="00F478E4"/>
    <w:rsid w:val="00F5598A"/>
    <w:rsid w:val="00F63034"/>
    <w:rsid w:val="00F63261"/>
    <w:rsid w:val="00F70E2D"/>
    <w:rsid w:val="00F72D82"/>
    <w:rsid w:val="00F7472E"/>
    <w:rsid w:val="00F7732F"/>
    <w:rsid w:val="00F77A15"/>
    <w:rsid w:val="00F83BB9"/>
    <w:rsid w:val="00F962E1"/>
    <w:rsid w:val="00FA0117"/>
    <w:rsid w:val="00FA63CB"/>
    <w:rsid w:val="00FA71A1"/>
    <w:rsid w:val="00FB6038"/>
    <w:rsid w:val="00FC5FD9"/>
    <w:rsid w:val="00FD0157"/>
    <w:rsid w:val="00FD21A8"/>
    <w:rsid w:val="00FD3846"/>
    <w:rsid w:val="00FD468C"/>
    <w:rsid w:val="00FD6CD7"/>
    <w:rsid w:val="00FD7AF7"/>
    <w:rsid w:val="00FE13E8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C49D"/>
  <w15:chartTrackingRefBased/>
  <w15:docId w15:val="{2D1BF838-9DB5-4855-9D32-216658BC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2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12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6122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A3E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E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3E3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3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3E"/>
  </w:style>
  <w:style w:type="paragraph" w:styleId="Footer">
    <w:name w:val="footer"/>
    <w:basedOn w:val="Normal"/>
    <w:link w:val="FooterChar"/>
    <w:uiPriority w:val="99"/>
    <w:unhideWhenUsed/>
    <w:rsid w:val="00AA3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E3E"/>
  </w:style>
  <w:style w:type="paragraph" w:styleId="Caption">
    <w:name w:val="caption"/>
    <w:basedOn w:val="Normal"/>
    <w:next w:val="Normal"/>
    <w:uiPriority w:val="35"/>
    <w:unhideWhenUsed/>
    <w:qFormat/>
    <w:rsid w:val="001201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D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4A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healthsharedservice.sharepoint.com/sites/sr-gf-f/planma/Drugs/In-year%20forecasting/NewModel/TestForecastingMethod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healthsharedservice.sharepoint.com/sites/sr-gf-f/planma/Drugs/In-year%20forecasting/NewModel/TestForecastingMethod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healthsharedservice.sharepoint.com/sites/sr-gf-f/planma/Drugs/In-year%20forecasting/NewModel/TestForecastingMethod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healthsharedservice.sharepoint.com/sites/sr-gf-f/planma/Drugs/In-year%20forecasting/NewModel/TestForecastingMethod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Prescription Spend / Dispensing</a:t>
            </a:r>
            <a:r>
              <a:rPr lang="en-GB" baseline="0"/>
              <a:t> Days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HistoricalData!$AE$15</c:f>
              <c:strCache>
                <c:ptCount val="1"/>
                <c:pt idx="0">
                  <c:v>2013/14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HistoricalData!$AD$16:$AD$27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HistoricalData!$AE$16:$AE$27</c:f>
              <c:numCache>
                <c:formatCode>"£"#,##0</c:formatCode>
                <c:ptCount val="12"/>
                <c:pt idx="0">
                  <c:v>25908618.559999999</c:v>
                </c:pt>
                <c:pt idx="1">
                  <c:v>26542123.84</c:v>
                </c:pt>
                <c:pt idx="2">
                  <c:v>24765771.399999999</c:v>
                </c:pt>
                <c:pt idx="3">
                  <c:v>25140852.629629631</c:v>
                </c:pt>
                <c:pt idx="4">
                  <c:v>24826303.846153848</c:v>
                </c:pt>
                <c:pt idx="5">
                  <c:v>25489996.199999999</c:v>
                </c:pt>
                <c:pt idx="6">
                  <c:v>25929863.407407407</c:v>
                </c:pt>
                <c:pt idx="7">
                  <c:v>25233829.53846154</c:v>
                </c:pt>
                <c:pt idx="8">
                  <c:v>28058528.541666668</c:v>
                </c:pt>
                <c:pt idx="9">
                  <c:v>25840551.384615384</c:v>
                </c:pt>
                <c:pt idx="10">
                  <c:v>25240628.041666668</c:v>
                </c:pt>
                <c:pt idx="11">
                  <c:v>25103222.653846152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89-4A7B-BF23-08666F10D163}"/>
            </c:ext>
          </c:extLst>
        </c:ser>
        <c:ser>
          <c:idx val="1"/>
          <c:order val="1"/>
          <c:tx>
            <c:strRef>
              <c:f>HistoricalData!$AF$15</c:f>
              <c:strCache>
                <c:ptCount val="1"/>
                <c:pt idx="0">
                  <c:v>2014/15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HistoricalData!$AD$16:$AD$27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HistoricalData!$AF$16:$AF$27</c:f>
              <c:numCache>
                <c:formatCode>"£"#,##0</c:formatCode>
                <c:ptCount val="12"/>
                <c:pt idx="0">
                  <c:v>26459381.666666668</c:v>
                </c:pt>
                <c:pt idx="1">
                  <c:v>26602497.359999999</c:v>
                </c:pt>
                <c:pt idx="2">
                  <c:v>25843104.48</c:v>
                </c:pt>
                <c:pt idx="3">
                  <c:v>25627115.444444444</c:v>
                </c:pt>
                <c:pt idx="4">
                  <c:v>25351411.640000001</c:v>
                </c:pt>
                <c:pt idx="5">
                  <c:v>26061118.5</c:v>
                </c:pt>
                <c:pt idx="6">
                  <c:v>27405482.740740743</c:v>
                </c:pt>
                <c:pt idx="7">
                  <c:v>26154014.52</c:v>
                </c:pt>
                <c:pt idx="8">
                  <c:v>29049985</c:v>
                </c:pt>
                <c:pt idx="9">
                  <c:v>26250397.153846152</c:v>
                </c:pt>
                <c:pt idx="10">
                  <c:v>26301917.166666668</c:v>
                </c:pt>
                <c:pt idx="11">
                  <c:v>26913600.576923076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89-4A7B-BF23-08666F10D163}"/>
            </c:ext>
          </c:extLst>
        </c:ser>
        <c:ser>
          <c:idx val="2"/>
          <c:order val="2"/>
          <c:tx>
            <c:strRef>
              <c:f>HistoricalData!$AG$15</c:f>
              <c:strCache>
                <c:ptCount val="1"/>
                <c:pt idx="0">
                  <c:v>2015/16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HistoricalData!$AD$16:$AD$27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HistoricalData!$AG$16:$AG$27</c:f>
              <c:numCache>
                <c:formatCode>"£"#,##0</c:formatCode>
                <c:ptCount val="12"/>
                <c:pt idx="0">
                  <c:v>28354123.833333332</c:v>
                </c:pt>
                <c:pt idx="1">
                  <c:v>27913096.5</c:v>
                </c:pt>
                <c:pt idx="2">
                  <c:v>27168959.346153848</c:v>
                </c:pt>
                <c:pt idx="3">
                  <c:v>27135206</c:v>
                </c:pt>
                <c:pt idx="4">
                  <c:v>26234408.960000001</c:v>
                </c:pt>
                <c:pt idx="5">
                  <c:v>27490996.730769232</c:v>
                </c:pt>
                <c:pt idx="6">
                  <c:v>27567188.740740743</c:v>
                </c:pt>
                <c:pt idx="7">
                  <c:v>28040085.719999999</c:v>
                </c:pt>
                <c:pt idx="8">
                  <c:v>31928942.458333332</c:v>
                </c:pt>
                <c:pt idx="9">
                  <c:v>26788959.199999999</c:v>
                </c:pt>
                <c:pt idx="10">
                  <c:v>26655337.68</c:v>
                </c:pt>
                <c:pt idx="11">
                  <c:v>27992611.920000002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D89-4A7B-BF23-08666F10D163}"/>
            </c:ext>
          </c:extLst>
        </c:ser>
        <c:ser>
          <c:idx val="3"/>
          <c:order val="3"/>
          <c:tx>
            <c:strRef>
              <c:f>HistoricalData!$AH$15</c:f>
              <c:strCache>
                <c:ptCount val="1"/>
                <c:pt idx="0">
                  <c:v>2016/17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HistoricalData!$AD$16:$AD$27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HistoricalData!$AH$16:$AH$27</c:f>
              <c:numCache>
                <c:formatCode>"£"#,##0</c:formatCode>
                <c:ptCount val="12"/>
                <c:pt idx="0">
                  <c:v>27276650.230769232</c:v>
                </c:pt>
                <c:pt idx="1">
                  <c:v>28292480</c:v>
                </c:pt>
                <c:pt idx="2">
                  <c:v>26918912.769230768</c:v>
                </c:pt>
                <c:pt idx="3">
                  <c:v>26374252.384615384</c:v>
                </c:pt>
                <c:pt idx="4">
                  <c:v>26338518.230769232</c:v>
                </c:pt>
                <c:pt idx="5">
                  <c:v>27344980.192307692</c:v>
                </c:pt>
                <c:pt idx="6">
                  <c:v>27031816.807692308</c:v>
                </c:pt>
                <c:pt idx="7">
                  <c:v>27481561.576923076</c:v>
                </c:pt>
                <c:pt idx="8">
                  <c:v>28931202.32</c:v>
                </c:pt>
                <c:pt idx="9">
                  <c:v>27010826.760000002</c:v>
                </c:pt>
                <c:pt idx="10">
                  <c:v>26274543.666666668</c:v>
                </c:pt>
                <c:pt idx="11">
                  <c:v>26869117.481481481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D89-4A7B-BF23-08666F10D163}"/>
            </c:ext>
          </c:extLst>
        </c:ser>
        <c:ser>
          <c:idx val="4"/>
          <c:order val="4"/>
          <c:tx>
            <c:strRef>
              <c:f>HistoricalData!$AI$15</c:f>
              <c:strCache>
                <c:ptCount val="1"/>
                <c:pt idx="0">
                  <c:v>2017/18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HistoricalData!$AD$16:$AD$27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HistoricalData!$AI$16:$AI$27</c:f>
              <c:numCache>
                <c:formatCode>"£"#,##0</c:formatCode>
                <c:ptCount val="12"/>
                <c:pt idx="0">
                  <c:v>27479410</c:v>
                </c:pt>
                <c:pt idx="1">
                  <c:v>28040883.48</c:v>
                </c:pt>
                <c:pt idx="2">
                  <c:v>28020543.53846154</c:v>
                </c:pt>
                <c:pt idx="3">
                  <c:v>27233906.384615384</c:v>
                </c:pt>
                <c:pt idx="4">
                  <c:v>26551386.230769232</c:v>
                </c:pt>
                <c:pt idx="5">
                  <c:v>27041834.653846152</c:v>
                </c:pt>
                <c:pt idx="6">
                  <c:v>28164603.346153848</c:v>
                </c:pt>
                <c:pt idx="7">
                  <c:v>27249526.846153848</c:v>
                </c:pt>
                <c:pt idx="8">
                  <c:v>28454744</c:v>
                </c:pt>
                <c:pt idx="9">
                  <c:v>26452620.423076924</c:v>
                </c:pt>
                <c:pt idx="10">
                  <c:v>25484748.583333332</c:v>
                </c:pt>
                <c:pt idx="11">
                  <c:v>25766563.230769232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D89-4A7B-BF23-08666F10D163}"/>
            </c:ext>
          </c:extLst>
        </c:ser>
        <c:ser>
          <c:idx val="5"/>
          <c:order val="5"/>
          <c:tx>
            <c:strRef>
              <c:f>HistoricalData!$AJ$15</c:f>
              <c:strCache>
                <c:ptCount val="1"/>
                <c:pt idx="0">
                  <c:v>2018/19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HistoricalData!$AD$16:$AD$27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HistoricalData!$AJ$16:$AJ$27</c:f>
              <c:numCache>
                <c:formatCode>"£"#,##0</c:formatCode>
                <c:ptCount val="12"/>
                <c:pt idx="0">
                  <c:v>26822062.625</c:v>
                </c:pt>
                <c:pt idx="1">
                  <c:v>27044251</c:v>
                </c:pt>
                <c:pt idx="2">
                  <c:v>25660991.692307692</c:v>
                </c:pt>
                <c:pt idx="3">
                  <c:v>25395322.846153848</c:v>
                </c:pt>
                <c:pt idx="4">
                  <c:v>26176499.96153846</c:v>
                </c:pt>
                <c:pt idx="5">
                  <c:v>26226345.800000001</c:v>
                </c:pt>
                <c:pt idx="6">
                  <c:v>26667947.518518519</c:v>
                </c:pt>
                <c:pt idx="7">
                  <c:v>26696542.346153848</c:v>
                </c:pt>
                <c:pt idx="8">
                  <c:v>27944103.625</c:v>
                </c:pt>
                <c:pt idx="9">
                  <c:v>26495427.307692308</c:v>
                </c:pt>
                <c:pt idx="10">
                  <c:v>25698568.25</c:v>
                </c:pt>
                <c:pt idx="11">
                  <c:v>25877631.384615384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D89-4A7B-BF23-08666F10D163}"/>
            </c:ext>
          </c:extLst>
        </c:ser>
        <c:ser>
          <c:idx val="6"/>
          <c:order val="6"/>
          <c:tx>
            <c:strRef>
              <c:f>HistoricalData!$AK$15</c:f>
              <c:strCache>
                <c:ptCount val="1"/>
                <c:pt idx="0">
                  <c:v>2019/20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HistoricalData!$AD$16:$AD$27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HistoricalData!$AK$16:$AK$27</c:f>
              <c:numCache>
                <c:formatCode>"£"#,##0</c:formatCode>
                <c:ptCount val="12"/>
                <c:pt idx="0">
                  <c:v>27217241.416666668</c:v>
                </c:pt>
                <c:pt idx="1">
                  <c:v>28055309.68</c:v>
                </c:pt>
                <c:pt idx="2">
                  <c:v>26409201.359999999</c:v>
                </c:pt>
                <c:pt idx="3">
                  <c:v>25369552.185185187</c:v>
                </c:pt>
                <c:pt idx="4">
                  <c:v>27873919.423076924</c:v>
                </c:pt>
                <c:pt idx="5">
                  <c:v>28096158.960000001</c:v>
                </c:pt>
                <c:pt idx="6">
                  <c:v>28120115.962962963</c:v>
                </c:pt>
                <c:pt idx="7">
                  <c:v>27262875.923076924</c:v>
                </c:pt>
                <c:pt idx="8">
                  <c:v>29651447.125</c:v>
                </c:pt>
                <c:pt idx="9">
                  <c:v>27682296.269230768</c:v>
                </c:pt>
                <c:pt idx="10">
                  <c:v>26327312.600000001</c:v>
                </c:pt>
                <c:pt idx="11">
                  <c:v>30434294.53846154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D89-4A7B-BF23-08666F10D163}"/>
            </c:ext>
          </c:extLst>
        </c:ser>
        <c:ser>
          <c:idx val="7"/>
          <c:order val="7"/>
          <c:tx>
            <c:strRef>
              <c:f>HistoricalData!$AL$15</c:f>
              <c:strCache>
                <c:ptCount val="1"/>
                <c:pt idx="0">
                  <c:v>2020/21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HistoricalData!$AD$16:$AD$27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HistoricalData!$AL$16:$AL$27</c:f>
              <c:numCache>
                <c:formatCode>"£"#,##0</c:formatCode>
                <c:ptCount val="12"/>
                <c:pt idx="0">
                  <c:v>30584145.75</c:v>
                </c:pt>
                <c:pt idx="1">
                  <c:v>28688569.666666668</c:v>
                </c:pt>
                <c:pt idx="2">
                  <c:v>27842227.46153846</c:v>
                </c:pt>
                <c:pt idx="3">
                  <c:v>27714698.888888888</c:v>
                </c:pt>
                <c:pt idx="4">
                  <c:v>27074705.280000001</c:v>
                </c:pt>
                <c:pt idx="5">
                  <c:v>29227185.192307692</c:v>
                </c:pt>
                <c:pt idx="6">
                  <c:v>29039925.703703705</c:v>
                </c:pt>
                <c:pt idx="7">
                  <c:v>29333512.719999999</c:v>
                </c:pt>
                <c:pt idx="8">
                  <c:v>32245266.041666668</c:v>
                </c:pt>
                <c:pt idx="9">
                  <c:v>29185059.800000001</c:v>
                </c:pt>
                <c:pt idx="10">
                  <c:v>28432512.333333332</c:v>
                </c:pt>
                <c:pt idx="11">
                  <c:v>28307566.111111112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D89-4A7B-BF23-08666F10D163}"/>
            </c:ext>
          </c:extLst>
        </c:ser>
        <c:ser>
          <c:idx val="8"/>
          <c:order val="8"/>
          <c:tx>
            <c:strRef>
              <c:f>HistoricalData!$AM$15</c:f>
              <c:strCache>
                <c:ptCount val="1"/>
                <c:pt idx="0">
                  <c:v>Average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HistoricalData!$AD$16:$AD$27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HistoricalData!$AM$16:$AM$27</c:f>
              <c:numCache>
                <c:formatCode>"£"#,##0</c:formatCode>
                <c:ptCount val="12"/>
                <c:pt idx="0">
                  <c:v>27512704.260304485</c:v>
                </c:pt>
                <c:pt idx="1">
                  <c:v>27647401.440833334</c:v>
                </c:pt>
                <c:pt idx="2">
                  <c:v>26578714.005961541</c:v>
                </c:pt>
                <c:pt idx="3">
                  <c:v>26248863.345441598</c:v>
                </c:pt>
                <c:pt idx="4">
                  <c:v>26303394.196538463</c:v>
                </c:pt>
                <c:pt idx="5">
                  <c:v>27122327.028653849</c:v>
                </c:pt>
                <c:pt idx="6">
                  <c:v>27490868.028490026</c:v>
                </c:pt>
                <c:pt idx="7">
                  <c:v>27181493.648846157</c:v>
                </c:pt>
                <c:pt idx="8">
                  <c:v>29533027.388958331</c:v>
                </c:pt>
                <c:pt idx="9">
                  <c:v>26963267.287307695</c:v>
                </c:pt>
                <c:pt idx="10">
                  <c:v>26301946.040208332</c:v>
                </c:pt>
                <c:pt idx="11">
                  <c:v>27158075.987150997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7D89-4A7B-BF23-08666F10D1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5530296"/>
        <c:axId val="694739936"/>
      </c:lineChart>
      <c:catAx>
        <c:axId val="695530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739936"/>
        <c:crosses val="autoZero"/>
        <c:auto val="1"/>
        <c:lblAlgn val="ctr"/>
        <c:lblOffset val="100"/>
        <c:noMultiLvlLbl val="0"/>
      </c:catAx>
      <c:valAx>
        <c:axId val="694739936"/>
        <c:scaling>
          <c:orientation val="minMax"/>
          <c:max val="33000000"/>
          <c:min val="23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£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5530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Prescription Spend vs Dispensing</a:t>
            </a:r>
            <a:r>
              <a:rPr lang="en-GB" baseline="0"/>
              <a:t> Days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HistoricalData!$C$2</c:f>
              <c:strCache>
                <c:ptCount val="1"/>
                <c:pt idx="0">
                  <c:v>Presciption Spend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HistoricalData!$A$3:$B$98</c:f>
              <c:multiLvlStrCache>
                <c:ptCount val="96"/>
                <c:lvl>
                  <c:pt idx="0">
                    <c:v>April</c:v>
                  </c:pt>
                  <c:pt idx="1">
                    <c:v>May</c:v>
                  </c:pt>
                  <c:pt idx="2">
                    <c:v>June</c:v>
                  </c:pt>
                  <c:pt idx="3">
                    <c:v>July</c:v>
                  </c:pt>
                  <c:pt idx="4">
                    <c:v>August</c:v>
                  </c:pt>
                  <c:pt idx="5">
                    <c:v>September</c:v>
                  </c:pt>
                  <c:pt idx="6">
                    <c:v>October</c:v>
                  </c:pt>
                  <c:pt idx="7">
                    <c:v>November</c:v>
                  </c:pt>
                  <c:pt idx="8">
                    <c:v>December</c:v>
                  </c:pt>
                  <c:pt idx="9">
                    <c:v>January</c:v>
                  </c:pt>
                  <c:pt idx="10">
                    <c:v>February</c:v>
                  </c:pt>
                  <c:pt idx="11">
                    <c:v>March</c:v>
                  </c:pt>
                  <c:pt idx="12">
                    <c:v>April</c:v>
                  </c:pt>
                  <c:pt idx="13">
                    <c:v>May</c:v>
                  </c:pt>
                  <c:pt idx="14">
                    <c:v>June</c:v>
                  </c:pt>
                  <c:pt idx="15">
                    <c:v>July</c:v>
                  </c:pt>
                  <c:pt idx="16">
                    <c:v>August</c:v>
                  </c:pt>
                  <c:pt idx="17">
                    <c:v>September</c:v>
                  </c:pt>
                  <c:pt idx="18">
                    <c:v>October</c:v>
                  </c:pt>
                  <c:pt idx="19">
                    <c:v>November</c:v>
                  </c:pt>
                  <c:pt idx="20">
                    <c:v>December</c:v>
                  </c:pt>
                  <c:pt idx="21">
                    <c:v>January</c:v>
                  </c:pt>
                  <c:pt idx="22">
                    <c:v>February</c:v>
                  </c:pt>
                  <c:pt idx="23">
                    <c:v>March</c:v>
                  </c:pt>
                  <c:pt idx="24">
                    <c:v>April</c:v>
                  </c:pt>
                  <c:pt idx="25">
                    <c:v>May</c:v>
                  </c:pt>
                  <c:pt idx="26">
                    <c:v>June</c:v>
                  </c:pt>
                  <c:pt idx="27">
                    <c:v>July</c:v>
                  </c:pt>
                  <c:pt idx="28">
                    <c:v>August</c:v>
                  </c:pt>
                  <c:pt idx="29">
                    <c:v>September</c:v>
                  </c:pt>
                  <c:pt idx="30">
                    <c:v>October</c:v>
                  </c:pt>
                  <c:pt idx="31">
                    <c:v>November</c:v>
                  </c:pt>
                  <c:pt idx="32">
                    <c:v>December</c:v>
                  </c:pt>
                  <c:pt idx="33">
                    <c:v>January</c:v>
                  </c:pt>
                  <c:pt idx="34">
                    <c:v>February</c:v>
                  </c:pt>
                  <c:pt idx="35">
                    <c:v>March</c:v>
                  </c:pt>
                  <c:pt idx="36">
                    <c:v>April</c:v>
                  </c:pt>
                  <c:pt idx="37">
                    <c:v>May</c:v>
                  </c:pt>
                  <c:pt idx="38">
                    <c:v>June</c:v>
                  </c:pt>
                  <c:pt idx="39">
                    <c:v>July</c:v>
                  </c:pt>
                  <c:pt idx="40">
                    <c:v>August</c:v>
                  </c:pt>
                  <c:pt idx="41">
                    <c:v>September</c:v>
                  </c:pt>
                  <c:pt idx="42">
                    <c:v>October</c:v>
                  </c:pt>
                  <c:pt idx="43">
                    <c:v>November</c:v>
                  </c:pt>
                  <c:pt idx="44">
                    <c:v>December</c:v>
                  </c:pt>
                  <c:pt idx="45">
                    <c:v>January</c:v>
                  </c:pt>
                  <c:pt idx="46">
                    <c:v>February</c:v>
                  </c:pt>
                  <c:pt idx="47">
                    <c:v>March</c:v>
                  </c:pt>
                  <c:pt idx="48">
                    <c:v>April</c:v>
                  </c:pt>
                  <c:pt idx="49">
                    <c:v>May</c:v>
                  </c:pt>
                  <c:pt idx="50">
                    <c:v>June</c:v>
                  </c:pt>
                  <c:pt idx="51">
                    <c:v>July</c:v>
                  </c:pt>
                  <c:pt idx="52">
                    <c:v>August</c:v>
                  </c:pt>
                  <c:pt idx="53">
                    <c:v>September</c:v>
                  </c:pt>
                  <c:pt idx="54">
                    <c:v>October</c:v>
                  </c:pt>
                  <c:pt idx="55">
                    <c:v>November</c:v>
                  </c:pt>
                  <c:pt idx="56">
                    <c:v>December</c:v>
                  </c:pt>
                  <c:pt idx="57">
                    <c:v>January</c:v>
                  </c:pt>
                  <c:pt idx="58">
                    <c:v>February</c:v>
                  </c:pt>
                  <c:pt idx="59">
                    <c:v>March</c:v>
                  </c:pt>
                  <c:pt idx="60">
                    <c:v>April</c:v>
                  </c:pt>
                  <c:pt idx="61">
                    <c:v>May</c:v>
                  </c:pt>
                  <c:pt idx="62">
                    <c:v>June</c:v>
                  </c:pt>
                  <c:pt idx="63">
                    <c:v>July</c:v>
                  </c:pt>
                  <c:pt idx="64">
                    <c:v>August</c:v>
                  </c:pt>
                  <c:pt idx="65">
                    <c:v>September</c:v>
                  </c:pt>
                  <c:pt idx="66">
                    <c:v>October</c:v>
                  </c:pt>
                  <c:pt idx="67">
                    <c:v>November</c:v>
                  </c:pt>
                  <c:pt idx="68">
                    <c:v>December</c:v>
                  </c:pt>
                  <c:pt idx="69">
                    <c:v>January</c:v>
                  </c:pt>
                  <c:pt idx="70">
                    <c:v>February</c:v>
                  </c:pt>
                  <c:pt idx="71">
                    <c:v>March</c:v>
                  </c:pt>
                  <c:pt idx="72">
                    <c:v>April</c:v>
                  </c:pt>
                  <c:pt idx="73">
                    <c:v>May</c:v>
                  </c:pt>
                  <c:pt idx="74">
                    <c:v>June</c:v>
                  </c:pt>
                  <c:pt idx="75">
                    <c:v>July</c:v>
                  </c:pt>
                  <c:pt idx="76">
                    <c:v>August</c:v>
                  </c:pt>
                  <c:pt idx="77">
                    <c:v>September</c:v>
                  </c:pt>
                  <c:pt idx="78">
                    <c:v>October</c:v>
                  </c:pt>
                  <c:pt idx="79">
                    <c:v>November</c:v>
                  </c:pt>
                  <c:pt idx="80">
                    <c:v>December</c:v>
                  </c:pt>
                  <c:pt idx="81">
                    <c:v>January</c:v>
                  </c:pt>
                  <c:pt idx="82">
                    <c:v>February</c:v>
                  </c:pt>
                  <c:pt idx="83">
                    <c:v>March</c:v>
                  </c:pt>
                  <c:pt idx="84">
                    <c:v>April</c:v>
                  </c:pt>
                  <c:pt idx="85">
                    <c:v>May</c:v>
                  </c:pt>
                  <c:pt idx="86">
                    <c:v>June</c:v>
                  </c:pt>
                  <c:pt idx="87">
                    <c:v>July</c:v>
                  </c:pt>
                  <c:pt idx="88">
                    <c:v>August</c:v>
                  </c:pt>
                  <c:pt idx="89">
                    <c:v>September</c:v>
                  </c:pt>
                  <c:pt idx="90">
                    <c:v>October</c:v>
                  </c:pt>
                  <c:pt idx="91">
                    <c:v>November</c:v>
                  </c:pt>
                  <c:pt idx="92">
                    <c:v>December</c:v>
                  </c:pt>
                  <c:pt idx="93">
                    <c:v>January</c:v>
                  </c:pt>
                  <c:pt idx="94">
                    <c:v>February</c:v>
                  </c:pt>
                  <c:pt idx="95">
                    <c:v>March</c:v>
                  </c:pt>
                </c:lvl>
                <c:lvl>
                  <c:pt idx="0">
                    <c:v>2013/14</c:v>
                  </c:pt>
                  <c:pt idx="12">
                    <c:v>2014/15</c:v>
                  </c:pt>
                  <c:pt idx="24">
                    <c:v>2015/16</c:v>
                  </c:pt>
                  <c:pt idx="36">
                    <c:v>2016/17</c:v>
                  </c:pt>
                  <c:pt idx="48">
                    <c:v>2017/18</c:v>
                  </c:pt>
                  <c:pt idx="60">
                    <c:v>2018/19</c:v>
                  </c:pt>
                  <c:pt idx="72">
                    <c:v>2019/20</c:v>
                  </c:pt>
                  <c:pt idx="84">
                    <c:v>2020/21</c:v>
                  </c:pt>
                </c:lvl>
              </c:multiLvlStrCache>
            </c:multiLvlStrRef>
          </c:cat>
          <c:val>
            <c:numRef>
              <c:f>HistoricalData!$C$3:$C$98</c:f>
              <c:numCache>
                <c:formatCode>"£"#,##0</c:formatCode>
                <c:ptCount val="96"/>
                <c:pt idx="0">
                  <c:v>647715464</c:v>
                </c:pt>
                <c:pt idx="1">
                  <c:v>663553096</c:v>
                </c:pt>
                <c:pt idx="2">
                  <c:v>619144285</c:v>
                </c:pt>
                <c:pt idx="3">
                  <c:v>678803021</c:v>
                </c:pt>
                <c:pt idx="4">
                  <c:v>645483900</c:v>
                </c:pt>
                <c:pt idx="5">
                  <c:v>637249905</c:v>
                </c:pt>
                <c:pt idx="6">
                  <c:v>700106312</c:v>
                </c:pt>
                <c:pt idx="7">
                  <c:v>656079568</c:v>
                </c:pt>
                <c:pt idx="8">
                  <c:v>673404685</c:v>
                </c:pt>
                <c:pt idx="9">
                  <c:v>671854336</c:v>
                </c:pt>
                <c:pt idx="10">
                  <c:v>605775073</c:v>
                </c:pt>
                <c:pt idx="11">
                  <c:v>652683789</c:v>
                </c:pt>
                <c:pt idx="12">
                  <c:v>635025160</c:v>
                </c:pt>
                <c:pt idx="13">
                  <c:v>665062434</c:v>
                </c:pt>
                <c:pt idx="14">
                  <c:v>646077612</c:v>
                </c:pt>
                <c:pt idx="15">
                  <c:v>691932117</c:v>
                </c:pt>
                <c:pt idx="16">
                  <c:v>633785291</c:v>
                </c:pt>
                <c:pt idx="17">
                  <c:v>677589081</c:v>
                </c:pt>
                <c:pt idx="18">
                  <c:v>739948034</c:v>
                </c:pt>
                <c:pt idx="19">
                  <c:v>653850363</c:v>
                </c:pt>
                <c:pt idx="20">
                  <c:v>726249625</c:v>
                </c:pt>
                <c:pt idx="21">
                  <c:v>682510326</c:v>
                </c:pt>
                <c:pt idx="22">
                  <c:v>631246012</c:v>
                </c:pt>
                <c:pt idx="23">
                  <c:v>699753615</c:v>
                </c:pt>
                <c:pt idx="24">
                  <c:v>680498972</c:v>
                </c:pt>
                <c:pt idx="25">
                  <c:v>669914316</c:v>
                </c:pt>
                <c:pt idx="26">
                  <c:v>706392943</c:v>
                </c:pt>
                <c:pt idx="27">
                  <c:v>732650562</c:v>
                </c:pt>
                <c:pt idx="28">
                  <c:v>655860224</c:v>
                </c:pt>
                <c:pt idx="29">
                  <c:v>714765915</c:v>
                </c:pt>
                <c:pt idx="30">
                  <c:v>744314096</c:v>
                </c:pt>
                <c:pt idx="31">
                  <c:v>701002143</c:v>
                </c:pt>
                <c:pt idx="32">
                  <c:v>766294619</c:v>
                </c:pt>
                <c:pt idx="33">
                  <c:v>669723980</c:v>
                </c:pt>
                <c:pt idx="34">
                  <c:v>666383442</c:v>
                </c:pt>
                <c:pt idx="35">
                  <c:v>699815298</c:v>
                </c:pt>
                <c:pt idx="36">
                  <c:v>709192906</c:v>
                </c:pt>
                <c:pt idx="37">
                  <c:v>679019520</c:v>
                </c:pt>
                <c:pt idx="38">
                  <c:v>699891732</c:v>
                </c:pt>
                <c:pt idx="39">
                  <c:v>685730562</c:v>
                </c:pt>
                <c:pt idx="40">
                  <c:v>684801474</c:v>
                </c:pt>
                <c:pt idx="41">
                  <c:v>710969485</c:v>
                </c:pt>
                <c:pt idx="42">
                  <c:v>702827237</c:v>
                </c:pt>
                <c:pt idx="43">
                  <c:v>714520601</c:v>
                </c:pt>
                <c:pt idx="44">
                  <c:v>723280058</c:v>
                </c:pt>
                <c:pt idx="45">
                  <c:v>675270669</c:v>
                </c:pt>
                <c:pt idx="46">
                  <c:v>630589048</c:v>
                </c:pt>
                <c:pt idx="47">
                  <c:v>725466172</c:v>
                </c:pt>
                <c:pt idx="48">
                  <c:v>632026430</c:v>
                </c:pt>
                <c:pt idx="49">
                  <c:v>701022087</c:v>
                </c:pt>
                <c:pt idx="50">
                  <c:v>728534132</c:v>
                </c:pt>
                <c:pt idx="51">
                  <c:v>708081566</c:v>
                </c:pt>
                <c:pt idx="52">
                  <c:v>690336042</c:v>
                </c:pt>
                <c:pt idx="53">
                  <c:v>703087701</c:v>
                </c:pt>
                <c:pt idx="54">
                  <c:v>732279687</c:v>
                </c:pt>
                <c:pt idx="55">
                  <c:v>708487698</c:v>
                </c:pt>
                <c:pt idx="56">
                  <c:v>682913856</c:v>
                </c:pt>
                <c:pt idx="57">
                  <c:v>687768131</c:v>
                </c:pt>
                <c:pt idx="58">
                  <c:v>611633966</c:v>
                </c:pt>
                <c:pt idx="59">
                  <c:v>669930644</c:v>
                </c:pt>
                <c:pt idx="60">
                  <c:v>643729503</c:v>
                </c:pt>
                <c:pt idx="61">
                  <c:v>676106275</c:v>
                </c:pt>
                <c:pt idx="62">
                  <c:v>667185784</c:v>
                </c:pt>
                <c:pt idx="63">
                  <c:v>660278394</c:v>
                </c:pt>
                <c:pt idx="64">
                  <c:v>680588999</c:v>
                </c:pt>
                <c:pt idx="65">
                  <c:v>655658645</c:v>
                </c:pt>
                <c:pt idx="66">
                  <c:v>720034583</c:v>
                </c:pt>
                <c:pt idx="67">
                  <c:v>694110101</c:v>
                </c:pt>
                <c:pt idx="68">
                  <c:v>670658487</c:v>
                </c:pt>
                <c:pt idx="69">
                  <c:v>688881110</c:v>
                </c:pt>
                <c:pt idx="70">
                  <c:v>616765638</c:v>
                </c:pt>
                <c:pt idx="71">
                  <c:v>672818416</c:v>
                </c:pt>
                <c:pt idx="72">
                  <c:v>653213794</c:v>
                </c:pt>
                <c:pt idx="73">
                  <c:v>701382742</c:v>
                </c:pt>
                <c:pt idx="74">
                  <c:v>660230034</c:v>
                </c:pt>
                <c:pt idx="75">
                  <c:v>684977909</c:v>
                </c:pt>
                <c:pt idx="76">
                  <c:v>724721905</c:v>
                </c:pt>
                <c:pt idx="77">
                  <c:v>702403974</c:v>
                </c:pt>
                <c:pt idx="78">
                  <c:v>759243131</c:v>
                </c:pt>
                <c:pt idx="79">
                  <c:v>708834774</c:v>
                </c:pt>
                <c:pt idx="80">
                  <c:v>711634731</c:v>
                </c:pt>
                <c:pt idx="81">
                  <c:v>719739703</c:v>
                </c:pt>
                <c:pt idx="82">
                  <c:v>658182815</c:v>
                </c:pt>
                <c:pt idx="83">
                  <c:v>791291658</c:v>
                </c:pt>
                <c:pt idx="84">
                  <c:v>734019498</c:v>
                </c:pt>
                <c:pt idx="85">
                  <c:v>688525672</c:v>
                </c:pt>
                <c:pt idx="86">
                  <c:v>723897914</c:v>
                </c:pt>
                <c:pt idx="87">
                  <c:v>748296870</c:v>
                </c:pt>
                <c:pt idx="88">
                  <c:v>676867632</c:v>
                </c:pt>
                <c:pt idx="89">
                  <c:v>759906815</c:v>
                </c:pt>
                <c:pt idx="90">
                  <c:v>784077994</c:v>
                </c:pt>
                <c:pt idx="91">
                  <c:v>733337818</c:v>
                </c:pt>
                <c:pt idx="92">
                  <c:v>773886385</c:v>
                </c:pt>
                <c:pt idx="93">
                  <c:v>729626495</c:v>
                </c:pt>
                <c:pt idx="94">
                  <c:v>682380296</c:v>
                </c:pt>
                <c:pt idx="95">
                  <c:v>764304285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743-425E-A1D4-9BF217695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1793824"/>
        <c:axId val="691791856"/>
      </c:lineChart>
      <c:lineChart>
        <c:grouping val="standard"/>
        <c:varyColors val="0"/>
        <c:ser>
          <c:idx val="1"/>
          <c:order val="1"/>
          <c:tx>
            <c:strRef>
              <c:f>HistoricalData!$E$2</c:f>
              <c:strCache>
                <c:ptCount val="1"/>
                <c:pt idx="0">
                  <c:v>Dispensing days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HistoricalData!$A$3:$B$98</c:f>
              <c:multiLvlStrCache>
                <c:ptCount val="96"/>
                <c:lvl>
                  <c:pt idx="0">
                    <c:v>April</c:v>
                  </c:pt>
                  <c:pt idx="1">
                    <c:v>May</c:v>
                  </c:pt>
                  <c:pt idx="2">
                    <c:v>June</c:v>
                  </c:pt>
                  <c:pt idx="3">
                    <c:v>July</c:v>
                  </c:pt>
                  <c:pt idx="4">
                    <c:v>August</c:v>
                  </c:pt>
                  <c:pt idx="5">
                    <c:v>September</c:v>
                  </c:pt>
                  <c:pt idx="6">
                    <c:v>October</c:v>
                  </c:pt>
                  <c:pt idx="7">
                    <c:v>November</c:v>
                  </c:pt>
                  <c:pt idx="8">
                    <c:v>December</c:v>
                  </c:pt>
                  <c:pt idx="9">
                    <c:v>January</c:v>
                  </c:pt>
                  <c:pt idx="10">
                    <c:v>February</c:v>
                  </c:pt>
                  <c:pt idx="11">
                    <c:v>March</c:v>
                  </c:pt>
                  <c:pt idx="12">
                    <c:v>April</c:v>
                  </c:pt>
                  <c:pt idx="13">
                    <c:v>May</c:v>
                  </c:pt>
                  <c:pt idx="14">
                    <c:v>June</c:v>
                  </c:pt>
                  <c:pt idx="15">
                    <c:v>July</c:v>
                  </c:pt>
                  <c:pt idx="16">
                    <c:v>August</c:v>
                  </c:pt>
                  <c:pt idx="17">
                    <c:v>September</c:v>
                  </c:pt>
                  <c:pt idx="18">
                    <c:v>October</c:v>
                  </c:pt>
                  <c:pt idx="19">
                    <c:v>November</c:v>
                  </c:pt>
                  <c:pt idx="20">
                    <c:v>December</c:v>
                  </c:pt>
                  <c:pt idx="21">
                    <c:v>January</c:v>
                  </c:pt>
                  <c:pt idx="22">
                    <c:v>February</c:v>
                  </c:pt>
                  <c:pt idx="23">
                    <c:v>March</c:v>
                  </c:pt>
                  <c:pt idx="24">
                    <c:v>April</c:v>
                  </c:pt>
                  <c:pt idx="25">
                    <c:v>May</c:v>
                  </c:pt>
                  <c:pt idx="26">
                    <c:v>June</c:v>
                  </c:pt>
                  <c:pt idx="27">
                    <c:v>July</c:v>
                  </c:pt>
                  <c:pt idx="28">
                    <c:v>August</c:v>
                  </c:pt>
                  <c:pt idx="29">
                    <c:v>September</c:v>
                  </c:pt>
                  <c:pt idx="30">
                    <c:v>October</c:v>
                  </c:pt>
                  <c:pt idx="31">
                    <c:v>November</c:v>
                  </c:pt>
                  <c:pt idx="32">
                    <c:v>December</c:v>
                  </c:pt>
                  <c:pt idx="33">
                    <c:v>January</c:v>
                  </c:pt>
                  <c:pt idx="34">
                    <c:v>February</c:v>
                  </c:pt>
                  <c:pt idx="35">
                    <c:v>March</c:v>
                  </c:pt>
                  <c:pt idx="36">
                    <c:v>April</c:v>
                  </c:pt>
                  <c:pt idx="37">
                    <c:v>May</c:v>
                  </c:pt>
                  <c:pt idx="38">
                    <c:v>June</c:v>
                  </c:pt>
                  <c:pt idx="39">
                    <c:v>July</c:v>
                  </c:pt>
                  <c:pt idx="40">
                    <c:v>August</c:v>
                  </c:pt>
                  <c:pt idx="41">
                    <c:v>September</c:v>
                  </c:pt>
                  <c:pt idx="42">
                    <c:v>October</c:v>
                  </c:pt>
                  <c:pt idx="43">
                    <c:v>November</c:v>
                  </c:pt>
                  <c:pt idx="44">
                    <c:v>December</c:v>
                  </c:pt>
                  <c:pt idx="45">
                    <c:v>January</c:v>
                  </c:pt>
                  <c:pt idx="46">
                    <c:v>February</c:v>
                  </c:pt>
                  <c:pt idx="47">
                    <c:v>March</c:v>
                  </c:pt>
                  <c:pt idx="48">
                    <c:v>April</c:v>
                  </c:pt>
                  <c:pt idx="49">
                    <c:v>May</c:v>
                  </c:pt>
                  <c:pt idx="50">
                    <c:v>June</c:v>
                  </c:pt>
                  <c:pt idx="51">
                    <c:v>July</c:v>
                  </c:pt>
                  <c:pt idx="52">
                    <c:v>August</c:v>
                  </c:pt>
                  <c:pt idx="53">
                    <c:v>September</c:v>
                  </c:pt>
                  <c:pt idx="54">
                    <c:v>October</c:v>
                  </c:pt>
                  <c:pt idx="55">
                    <c:v>November</c:v>
                  </c:pt>
                  <c:pt idx="56">
                    <c:v>December</c:v>
                  </c:pt>
                  <c:pt idx="57">
                    <c:v>January</c:v>
                  </c:pt>
                  <c:pt idx="58">
                    <c:v>February</c:v>
                  </c:pt>
                  <c:pt idx="59">
                    <c:v>March</c:v>
                  </c:pt>
                  <c:pt idx="60">
                    <c:v>April</c:v>
                  </c:pt>
                  <c:pt idx="61">
                    <c:v>May</c:v>
                  </c:pt>
                  <c:pt idx="62">
                    <c:v>June</c:v>
                  </c:pt>
                  <c:pt idx="63">
                    <c:v>July</c:v>
                  </c:pt>
                  <c:pt idx="64">
                    <c:v>August</c:v>
                  </c:pt>
                  <c:pt idx="65">
                    <c:v>September</c:v>
                  </c:pt>
                  <c:pt idx="66">
                    <c:v>October</c:v>
                  </c:pt>
                  <c:pt idx="67">
                    <c:v>November</c:v>
                  </c:pt>
                  <c:pt idx="68">
                    <c:v>December</c:v>
                  </c:pt>
                  <c:pt idx="69">
                    <c:v>January</c:v>
                  </c:pt>
                  <c:pt idx="70">
                    <c:v>February</c:v>
                  </c:pt>
                  <c:pt idx="71">
                    <c:v>March</c:v>
                  </c:pt>
                  <c:pt idx="72">
                    <c:v>April</c:v>
                  </c:pt>
                  <c:pt idx="73">
                    <c:v>May</c:v>
                  </c:pt>
                  <c:pt idx="74">
                    <c:v>June</c:v>
                  </c:pt>
                  <c:pt idx="75">
                    <c:v>July</c:v>
                  </c:pt>
                  <c:pt idx="76">
                    <c:v>August</c:v>
                  </c:pt>
                  <c:pt idx="77">
                    <c:v>September</c:v>
                  </c:pt>
                  <c:pt idx="78">
                    <c:v>October</c:v>
                  </c:pt>
                  <c:pt idx="79">
                    <c:v>November</c:v>
                  </c:pt>
                  <c:pt idx="80">
                    <c:v>December</c:v>
                  </c:pt>
                  <c:pt idx="81">
                    <c:v>January</c:v>
                  </c:pt>
                  <c:pt idx="82">
                    <c:v>February</c:v>
                  </c:pt>
                  <c:pt idx="83">
                    <c:v>March</c:v>
                  </c:pt>
                  <c:pt idx="84">
                    <c:v>April</c:v>
                  </c:pt>
                  <c:pt idx="85">
                    <c:v>May</c:v>
                  </c:pt>
                  <c:pt idx="86">
                    <c:v>June</c:v>
                  </c:pt>
                  <c:pt idx="87">
                    <c:v>July</c:v>
                  </c:pt>
                  <c:pt idx="88">
                    <c:v>August</c:v>
                  </c:pt>
                  <c:pt idx="89">
                    <c:v>September</c:v>
                  </c:pt>
                  <c:pt idx="90">
                    <c:v>October</c:v>
                  </c:pt>
                  <c:pt idx="91">
                    <c:v>November</c:v>
                  </c:pt>
                  <c:pt idx="92">
                    <c:v>December</c:v>
                  </c:pt>
                  <c:pt idx="93">
                    <c:v>January</c:v>
                  </c:pt>
                  <c:pt idx="94">
                    <c:v>February</c:v>
                  </c:pt>
                  <c:pt idx="95">
                    <c:v>March</c:v>
                  </c:pt>
                </c:lvl>
                <c:lvl>
                  <c:pt idx="0">
                    <c:v>2013/14</c:v>
                  </c:pt>
                  <c:pt idx="12">
                    <c:v>2014/15</c:v>
                  </c:pt>
                  <c:pt idx="24">
                    <c:v>2015/16</c:v>
                  </c:pt>
                  <c:pt idx="36">
                    <c:v>2016/17</c:v>
                  </c:pt>
                  <c:pt idx="48">
                    <c:v>2017/18</c:v>
                  </c:pt>
                  <c:pt idx="60">
                    <c:v>2018/19</c:v>
                  </c:pt>
                  <c:pt idx="72">
                    <c:v>2019/20</c:v>
                  </c:pt>
                  <c:pt idx="84">
                    <c:v>2020/21</c:v>
                  </c:pt>
                </c:lvl>
              </c:multiLvlStrCache>
            </c:multiLvlStrRef>
          </c:cat>
          <c:val>
            <c:numRef>
              <c:f>HistoricalData!$E$3:$E$98</c:f>
              <c:numCache>
                <c:formatCode>General</c:formatCode>
                <c:ptCount val="96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27</c:v>
                </c:pt>
                <c:pt idx="4">
                  <c:v>26</c:v>
                </c:pt>
                <c:pt idx="5">
                  <c:v>25</c:v>
                </c:pt>
                <c:pt idx="6">
                  <c:v>27</c:v>
                </c:pt>
                <c:pt idx="7">
                  <c:v>26</c:v>
                </c:pt>
                <c:pt idx="8">
                  <c:v>24</c:v>
                </c:pt>
                <c:pt idx="9">
                  <c:v>26</c:v>
                </c:pt>
                <c:pt idx="10">
                  <c:v>24</c:v>
                </c:pt>
                <c:pt idx="11">
                  <c:v>26</c:v>
                </c:pt>
                <c:pt idx="12">
                  <c:v>24</c:v>
                </c:pt>
                <c:pt idx="13">
                  <c:v>25</c:v>
                </c:pt>
                <c:pt idx="14">
                  <c:v>25</c:v>
                </c:pt>
                <c:pt idx="15">
                  <c:v>27</c:v>
                </c:pt>
                <c:pt idx="16">
                  <c:v>25</c:v>
                </c:pt>
                <c:pt idx="17">
                  <c:v>26</c:v>
                </c:pt>
                <c:pt idx="18">
                  <c:v>27</c:v>
                </c:pt>
                <c:pt idx="19">
                  <c:v>25</c:v>
                </c:pt>
                <c:pt idx="20">
                  <c:v>25</c:v>
                </c:pt>
                <c:pt idx="21">
                  <c:v>26</c:v>
                </c:pt>
                <c:pt idx="22">
                  <c:v>24</c:v>
                </c:pt>
                <c:pt idx="23">
                  <c:v>26</c:v>
                </c:pt>
                <c:pt idx="24">
                  <c:v>24</c:v>
                </c:pt>
                <c:pt idx="25">
                  <c:v>24</c:v>
                </c:pt>
                <c:pt idx="26">
                  <c:v>26</c:v>
                </c:pt>
                <c:pt idx="27">
                  <c:v>27</c:v>
                </c:pt>
                <c:pt idx="28">
                  <c:v>25</c:v>
                </c:pt>
                <c:pt idx="29">
                  <c:v>26</c:v>
                </c:pt>
                <c:pt idx="30">
                  <c:v>27</c:v>
                </c:pt>
                <c:pt idx="31">
                  <c:v>25</c:v>
                </c:pt>
                <c:pt idx="32">
                  <c:v>24</c:v>
                </c:pt>
                <c:pt idx="33">
                  <c:v>25</c:v>
                </c:pt>
                <c:pt idx="34">
                  <c:v>25</c:v>
                </c:pt>
                <c:pt idx="35">
                  <c:v>25</c:v>
                </c:pt>
                <c:pt idx="36">
                  <c:v>26</c:v>
                </c:pt>
                <c:pt idx="37">
                  <c:v>24</c:v>
                </c:pt>
                <c:pt idx="38">
                  <c:v>26</c:v>
                </c:pt>
                <c:pt idx="39">
                  <c:v>26</c:v>
                </c:pt>
                <c:pt idx="40">
                  <c:v>26</c:v>
                </c:pt>
                <c:pt idx="41">
                  <c:v>26</c:v>
                </c:pt>
                <c:pt idx="42">
                  <c:v>26</c:v>
                </c:pt>
                <c:pt idx="43">
                  <c:v>26</c:v>
                </c:pt>
                <c:pt idx="44">
                  <c:v>25</c:v>
                </c:pt>
                <c:pt idx="45">
                  <c:v>25</c:v>
                </c:pt>
                <c:pt idx="46">
                  <c:v>24</c:v>
                </c:pt>
                <c:pt idx="47">
                  <c:v>27</c:v>
                </c:pt>
                <c:pt idx="48">
                  <c:v>23</c:v>
                </c:pt>
                <c:pt idx="49">
                  <c:v>25</c:v>
                </c:pt>
                <c:pt idx="50">
                  <c:v>26</c:v>
                </c:pt>
                <c:pt idx="51">
                  <c:v>26</c:v>
                </c:pt>
                <c:pt idx="52">
                  <c:v>26</c:v>
                </c:pt>
                <c:pt idx="53">
                  <c:v>26</c:v>
                </c:pt>
                <c:pt idx="54">
                  <c:v>26</c:v>
                </c:pt>
                <c:pt idx="55">
                  <c:v>26</c:v>
                </c:pt>
                <c:pt idx="56">
                  <c:v>24</c:v>
                </c:pt>
                <c:pt idx="57">
                  <c:v>26</c:v>
                </c:pt>
                <c:pt idx="58">
                  <c:v>24</c:v>
                </c:pt>
                <c:pt idx="59">
                  <c:v>26</c:v>
                </c:pt>
                <c:pt idx="60">
                  <c:v>24</c:v>
                </c:pt>
                <c:pt idx="61">
                  <c:v>25</c:v>
                </c:pt>
                <c:pt idx="62">
                  <c:v>26</c:v>
                </c:pt>
                <c:pt idx="63">
                  <c:v>26</c:v>
                </c:pt>
                <c:pt idx="64">
                  <c:v>26</c:v>
                </c:pt>
                <c:pt idx="65">
                  <c:v>25</c:v>
                </c:pt>
                <c:pt idx="66">
                  <c:v>27</c:v>
                </c:pt>
                <c:pt idx="67">
                  <c:v>26</c:v>
                </c:pt>
                <c:pt idx="68">
                  <c:v>24</c:v>
                </c:pt>
                <c:pt idx="69">
                  <c:v>26</c:v>
                </c:pt>
                <c:pt idx="70">
                  <c:v>24</c:v>
                </c:pt>
                <c:pt idx="71">
                  <c:v>26</c:v>
                </c:pt>
                <c:pt idx="72">
                  <c:v>24</c:v>
                </c:pt>
                <c:pt idx="73">
                  <c:v>25</c:v>
                </c:pt>
                <c:pt idx="74">
                  <c:v>25</c:v>
                </c:pt>
                <c:pt idx="75">
                  <c:v>27</c:v>
                </c:pt>
                <c:pt idx="76">
                  <c:v>26</c:v>
                </c:pt>
                <c:pt idx="77">
                  <c:v>25</c:v>
                </c:pt>
                <c:pt idx="78">
                  <c:v>27</c:v>
                </c:pt>
                <c:pt idx="79">
                  <c:v>26</c:v>
                </c:pt>
                <c:pt idx="80">
                  <c:v>24</c:v>
                </c:pt>
                <c:pt idx="81">
                  <c:v>26</c:v>
                </c:pt>
                <c:pt idx="82">
                  <c:v>25</c:v>
                </c:pt>
                <c:pt idx="83">
                  <c:v>26</c:v>
                </c:pt>
                <c:pt idx="84">
                  <c:v>24</c:v>
                </c:pt>
                <c:pt idx="85">
                  <c:v>24</c:v>
                </c:pt>
                <c:pt idx="86">
                  <c:v>26</c:v>
                </c:pt>
                <c:pt idx="87">
                  <c:v>27</c:v>
                </c:pt>
                <c:pt idx="88">
                  <c:v>25</c:v>
                </c:pt>
                <c:pt idx="89">
                  <c:v>26</c:v>
                </c:pt>
                <c:pt idx="90">
                  <c:v>27</c:v>
                </c:pt>
                <c:pt idx="91">
                  <c:v>25</c:v>
                </c:pt>
                <c:pt idx="92">
                  <c:v>24</c:v>
                </c:pt>
                <c:pt idx="93">
                  <c:v>25</c:v>
                </c:pt>
                <c:pt idx="94">
                  <c:v>24</c:v>
                </c:pt>
                <c:pt idx="95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743-425E-A1D4-9BF217695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9404288"/>
        <c:axId val="759401008"/>
      </c:lineChart>
      <c:catAx>
        <c:axId val="69179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791856"/>
        <c:crosses val="autoZero"/>
        <c:auto val="1"/>
        <c:lblAlgn val="ctr"/>
        <c:lblOffset val="100"/>
        <c:noMultiLvlLbl val="0"/>
      </c:catAx>
      <c:valAx>
        <c:axId val="691791856"/>
        <c:scaling>
          <c:orientation val="minMax"/>
          <c:max val="800000000"/>
          <c:min val="60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Prescription Spend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&quot;£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793824"/>
        <c:crosses val="autoZero"/>
        <c:crossBetween val="between"/>
      </c:valAx>
      <c:valAx>
        <c:axId val="759401008"/>
        <c:scaling>
          <c:orientation val="minMax"/>
          <c:min val="23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Dispensing 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9404288"/>
        <c:crosses val="max"/>
        <c:crossBetween val="between"/>
      </c:valAx>
      <c:catAx>
        <c:axId val="7594042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94010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0" i="0" baseline="0">
                <a:effectLst/>
              </a:rPr>
              <a:t>Average Spend on Prescriptions</a:t>
            </a:r>
            <a:endParaRPr lang="en-GB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Averages_noCOVID!$B$28:$B$32</c:f>
              <c:numCache>
                <c:formatCode>General</c:formatCode>
                <c:ptCount val="5"/>
                <c:pt idx="0">
                  <c:v>23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27</c:v>
                </c:pt>
              </c:numCache>
            </c:numRef>
          </c:cat>
          <c:val>
            <c:numRef>
              <c:f>Averages_noCOVID!$C$28:$C$32</c:f>
              <c:numCache>
                <c:formatCode>"£"#,##0</c:formatCode>
                <c:ptCount val="5"/>
                <c:pt idx="0">
                  <c:v>632026430</c:v>
                </c:pt>
                <c:pt idx="1">
                  <c:v>660574111.5454545</c:v>
                </c:pt>
                <c:pt idx="2">
                  <c:v>669708586.82352936</c:v>
                </c:pt>
                <c:pt idx="3">
                  <c:v>693481377.95833337</c:v>
                </c:pt>
                <c:pt idx="4">
                  <c:v>716174330.57142854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6C-47C8-AB61-029A7D2AD3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5075880"/>
        <c:axId val="715071616"/>
      </c:barChart>
      <c:catAx>
        <c:axId val="7150758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Number of Dispensing 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5071616"/>
        <c:crosses val="autoZero"/>
        <c:auto val="1"/>
        <c:lblAlgn val="ctr"/>
        <c:lblOffset val="100"/>
        <c:noMultiLvlLbl val="0"/>
      </c:catAx>
      <c:valAx>
        <c:axId val="71507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£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5075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/>
              <a:t>Predicting</a:t>
            </a:r>
            <a:r>
              <a:rPr lang="en-GB" sz="1200" baseline="0"/>
              <a:t> 2018/19</a:t>
            </a:r>
            <a:endParaRPr lang="en-GB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3340180088757538E-2"/>
          <c:y val="0.1008761899402945"/>
          <c:w val="0.88720523347267211"/>
          <c:h val="0.68640463941085916"/>
        </c:manualLayout>
      </c:layout>
      <c:lineChart>
        <c:grouping val="standard"/>
        <c:varyColors val="0"/>
        <c:ser>
          <c:idx val="0"/>
          <c:order val="0"/>
          <c:tx>
            <c:strRef>
              <c:f>SimpleForecasting!$C$3</c:f>
              <c:strCache>
                <c:ptCount val="1"/>
                <c:pt idx="0">
                  <c:v>Actual Data</c:v>
                </c:pt>
              </c:strCache>
            </c:strRef>
          </c:tx>
          <c:spPr>
            <a:ln w="508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SimpleForecasting!$B$4:$B$15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SimpleForecasting!$C$4:$C$15</c:f>
              <c:numCache>
                <c:formatCode>"£"#,##0</c:formatCode>
                <c:ptCount val="12"/>
                <c:pt idx="0">
                  <c:v>643729503</c:v>
                </c:pt>
                <c:pt idx="1">
                  <c:v>676106275</c:v>
                </c:pt>
                <c:pt idx="2">
                  <c:v>667185784</c:v>
                </c:pt>
                <c:pt idx="3">
                  <c:v>660278394</c:v>
                </c:pt>
                <c:pt idx="4">
                  <c:v>680588999</c:v>
                </c:pt>
                <c:pt idx="5">
                  <c:v>655658645</c:v>
                </c:pt>
                <c:pt idx="6">
                  <c:v>720034583</c:v>
                </c:pt>
                <c:pt idx="7">
                  <c:v>694110101</c:v>
                </c:pt>
                <c:pt idx="8">
                  <c:v>670658487</c:v>
                </c:pt>
                <c:pt idx="9">
                  <c:v>688881110</c:v>
                </c:pt>
                <c:pt idx="10">
                  <c:v>616765638</c:v>
                </c:pt>
                <c:pt idx="11">
                  <c:v>672818416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862-4A2D-96A8-CB1D47F2728F}"/>
            </c:ext>
          </c:extLst>
        </c:ser>
        <c:ser>
          <c:idx val="1"/>
          <c:order val="1"/>
          <c:tx>
            <c:strRef>
              <c:f>SimpleForecasting!$G$3</c:f>
              <c:strCache>
                <c:ptCount val="1"/>
                <c:pt idx="0">
                  <c:v>Forecast (average of month and dispensing day)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SimpleForecasting!$G$4:$G$15</c:f>
              <c:numCache>
                <c:formatCode>"£"#,##0</c:formatCode>
                <c:ptCount val="12"/>
                <c:pt idx="0">
                  <c:v>630720827.76060605</c:v>
                </c:pt>
                <c:pt idx="1">
                  <c:v>640499674.00588238</c:v>
                </c:pt>
                <c:pt idx="2">
                  <c:v>661832259.3791666</c:v>
                </c:pt>
                <c:pt idx="3">
                  <c:v>671547971.7791667</c:v>
                </c:pt>
                <c:pt idx="4">
                  <c:v>669354882.07916665</c:v>
                </c:pt>
                <c:pt idx="5">
                  <c:v>664708737.40588236</c:v>
                </c:pt>
                <c:pt idx="6">
                  <c:v>703720416.17142844</c:v>
                </c:pt>
                <c:pt idx="7">
                  <c:v>671388892.94583333</c:v>
                </c:pt>
                <c:pt idx="8">
                  <c:v>664855885.5272727</c:v>
                </c:pt>
                <c:pt idx="9">
                  <c:v>668207599.8458333</c:v>
                </c:pt>
                <c:pt idx="10">
                  <c:v>623704355.32727265</c:v>
                </c:pt>
                <c:pt idx="11">
                  <c:v>674259807.44583333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862-4A2D-96A8-CB1D47F2728F}"/>
            </c:ext>
          </c:extLst>
        </c:ser>
        <c:ser>
          <c:idx val="2"/>
          <c:order val="2"/>
          <c:tx>
            <c:strRef>
              <c:f>SimpleForecasting!$E$3</c:f>
              <c:strCache>
                <c:ptCount val="1"/>
                <c:pt idx="0">
                  <c:v>Forecast Value (Month)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SimpleForecasting!$E$4:$E$15</c:f>
              <c:numCache>
                <c:formatCode>"£"#,##0</c:formatCode>
                <c:ptCount val="12"/>
                <c:pt idx="0">
                  <c:v>629291786.39999998</c:v>
                </c:pt>
                <c:pt idx="1">
                  <c:v>644114290.60000002</c:v>
                </c:pt>
                <c:pt idx="2">
                  <c:v>650808140.79999995</c:v>
                </c:pt>
                <c:pt idx="3">
                  <c:v>670239565.60000002</c:v>
                </c:pt>
                <c:pt idx="4">
                  <c:v>650853386.20000005</c:v>
                </c:pt>
                <c:pt idx="5">
                  <c:v>677532417.39999998</c:v>
                </c:pt>
                <c:pt idx="6">
                  <c:v>712028406.5333333</c:v>
                </c:pt>
                <c:pt idx="7">
                  <c:v>664921407.93333328</c:v>
                </c:pt>
                <c:pt idx="8">
                  <c:v>692561901.93333328</c:v>
                </c:pt>
                <c:pt idx="9">
                  <c:v>658558821.73333335</c:v>
                </c:pt>
                <c:pt idx="10">
                  <c:v>610258841.5333333</c:v>
                </c:pt>
                <c:pt idx="11">
                  <c:v>670663236.93333328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862-4A2D-96A8-CB1D47F2728F}"/>
            </c:ext>
          </c:extLst>
        </c:ser>
        <c:ser>
          <c:idx val="3"/>
          <c:order val="3"/>
          <c:tx>
            <c:strRef>
              <c:f>SimpleForecasting!$F$3</c:f>
              <c:strCache>
                <c:ptCount val="1"/>
                <c:pt idx="0">
                  <c:v>Forecast Value (Dispensing Days)</c:v>
                </c:pt>
              </c:strCache>
            </c:strRef>
          </c:tx>
          <c:spPr>
            <a:ln w="28575" cap="rnd">
              <a:solidFill>
                <a:schemeClr val="accent4">
                  <a:alpha val="60000"/>
                </a:schemeClr>
              </a:solidFill>
              <a:round/>
            </a:ln>
            <a:effectLst/>
          </c:spPr>
          <c:marker>
            <c:symbol val="none"/>
          </c:marker>
          <c:dPt>
            <c:idx val="8"/>
            <c:marker>
              <c:symbol val="none"/>
            </c:marker>
            <c:bubble3D val="0"/>
            <c:spPr>
              <a:ln w="28575" cap="rnd">
                <a:solidFill>
                  <a:schemeClr val="accent4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4-E862-4A2D-96A8-CB1D47F2728F}"/>
              </c:ext>
            </c:extLst>
          </c:dPt>
          <c:val>
            <c:numRef>
              <c:f>SimpleForecasting!$F$4:$F$15</c:f>
              <c:numCache>
                <c:formatCode>"£"#,##0</c:formatCode>
                <c:ptCount val="12"/>
                <c:pt idx="0">
                  <c:v>632149869.12121212</c:v>
                </c:pt>
                <c:pt idx="1">
                  <c:v>636885057.41176474</c:v>
                </c:pt>
                <c:pt idx="2">
                  <c:v>672856377.95833337</c:v>
                </c:pt>
                <c:pt idx="3">
                  <c:v>672856377.95833337</c:v>
                </c:pt>
                <c:pt idx="4">
                  <c:v>687856377.95833337</c:v>
                </c:pt>
                <c:pt idx="5">
                  <c:v>651885057.41176474</c:v>
                </c:pt>
                <c:pt idx="6">
                  <c:v>695412425.8095237</c:v>
                </c:pt>
                <c:pt idx="7">
                  <c:v>677856377.95833337</c:v>
                </c:pt>
                <c:pt idx="8">
                  <c:v>637149869.12121212</c:v>
                </c:pt>
                <c:pt idx="9">
                  <c:v>677856377.95833337</c:v>
                </c:pt>
                <c:pt idx="10">
                  <c:v>637149869.12121212</c:v>
                </c:pt>
                <c:pt idx="11">
                  <c:v>677856377.95833337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862-4A2D-96A8-CB1D47F2728F}"/>
            </c:ext>
          </c:extLst>
        </c:ser>
        <c:ser>
          <c:idx val="4"/>
          <c:order val="4"/>
          <c:tx>
            <c:strRef>
              <c:f>SimpleForecasting!$H$3</c:f>
              <c:strCache>
                <c:ptCount val="1"/>
                <c:pt idx="0">
                  <c:v>Forecast (Multiply average per dispensing day by number of dispensing days)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SimpleForecasting!$H$4:$H$15</c:f>
              <c:numCache>
                <c:formatCode>"£"#,##0</c:formatCode>
                <c:ptCount val="12"/>
                <c:pt idx="0">
                  <c:v>618699297.97361875</c:v>
                </c:pt>
                <c:pt idx="1">
                  <c:v>655480405.9000001</c:v>
                </c:pt>
                <c:pt idx="2">
                  <c:v>661009915.97600007</c:v>
                </c:pt>
                <c:pt idx="3">
                  <c:v>654584856.71111119</c:v>
                </c:pt>
                <c:pt idx="4">
                  <c:v>661250550.32000005</c:v>
                </c:pt>
                <c:pt idx="5">
                  <c:v>655336939.07692313</c:v>
                </c:pt>
                <c:pt idx="6">
                  <c:v>723598459.79487181</c:v>
                </c:pt>
                <c:pt idx="7">
                  <c:v>675760227.98133326</c:v>
                </c:pt>
                <c:pt idx="8">
                  <c:v>680749664.46933341</c:v>
                </c:pt>
                <c:pt idx="9">
                  <c:v>669654778.9253335</c:v>
                </c:pt>
                <c:pt idx="10">
                  <c:v>604807773.99733329</c:v>
                </c:pt>
                <c:pt idx="11">
                  <c:v>670807935.82103705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862-4A2D-96A8-CB1D47F272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0209080"/>
        <c:axId val="660896400"/>
        <c:extLst>
          <c:ext xmlns:c15="http://schemas.microsoft.com/office/drawing/2012/chart" uri="{02D57815-91ED-43cb-92C2-25804820EDAC}">
            <c15:filteredLineSeries>
              <c15:ser>
                <c:idx val="5"/>
                <c:order val="5"/>
                <c:tx>
                  <c:strRef>
                    <c:extLst>
                      <c:ext uri="{02D57815-91ED-43cb-92C2-25804820EDAC}">
                        <c15:formulaRef>
                          <c15:sqref>SimpleForecasting!$J$3</c15:sqref>
                        </c15:formulaRef>
                      </c:ext>
                    </c:extLst>
                    <c:strCache>
                      <c:ptCount val="1"/>
                      <c:pt idx="0">
                        <c:v>Linear Regression Model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>
                      <c:ext uri="{02D57815-91ED-43cb-92C2-25804820EDAC}">
                        <c15:formulaRef>
                          <c15:sqref>SimpleForecasting!$J$4:$J$15</c15:sqref>
                        </c15:formulaRef>
                      </c:ext>
                    </c:extLst>
                    <c:numCache>
                      <c:formatCode>"£"#,##0</c:formatCode>
                      <c:ptCount val="12"/>
                      <c:pt idx="0">
                        <c:v>692151565.687361</c:v>
                      </c:pt>
                      <c:pt idx="1">
                        <c:v>720361593.3399049</c:v>
                      </c:pt>
                      <c:pt idx="2">
                        <c:v>706634857.85631073</c:v>
                      </c:pt>
                      <c:pt idx="3">
                        <c:v>715954138.55323029</c:v>
                      </c:pt>
                      <c:pt idx="4">
                        <c:v>712315577.15939116</c:v>
                      </c:pt>
                      <c:pt idx="5">
                        <c:v>716723031.94606578</c:v>
                      </c:pt>
                      <c:pt idx="6">
                        <c:v>773143087.25115347</c:v>
                      </c:pt>
                      <c:pt idx="7">
                        <c:v>734933059.59860969</c:v>
                      </c:pt>
                      <c:pt idx="8">
                        <c:v>706470846.38428056</c:v>
                      </c:pt>
                      <c:pt idx="9">
                        <c:v>716294498.20477057</c:v>
                      </c:pt>
                      <c:pt idx="10">
                        <c:v>659874442.89968288</c:v>
                      </c:pt>
                      <c:pt idx="11">
                        <c:v>725613778.90169013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7-E862-4A2D-96A8-CB1D47F2728F}"/>
                  </c:ext>
                </c:extLst>
              </c15:ser>
            </c15:filteredLineSeries>
          </c:ext>
        </c:extLst>
      </c:lineChart>
      <c:catAx>
        <c:axId val="690209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896400"/>
        <c:crosses val="autoZero"/>
        <c:auto val="1"/>
        <c:lblAlgn val="ctr"/>
        <c:lblOffset val="100"/>
        <c:noMultiLvlLbl val="0"/>
      </c:catAx>
      <c:valAx>
        <c:axId val="660896400"/>
        <c:scaling>
          <c:orientation val="minMax"/>
          <c:max val="730000000"/>
          <c:min val="60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£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0209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500" b="0" i="0" baseline="0">
                <a:effectLst/>
              </a:rPr>
              <a:t>Prescription Spend (2019/20)</a:t>
            </a:r>
            <a:endParaRPr lang="en-GB" sz="15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6240381261632773"/>
          <c:y val="0.17686000918813236"/>
          <c:w val="0.72529346219021706"/>
          <c:h val="0.65267171657816858"/>
        </c:manualLayout>
      </c:layout>
      <c:lineChart>
        <c:grouping val="standard"/>
        <c:varyColors val="0"/>
        <c:ser>
          <c:idx val="0"/>
          <c:order val="0"/>
          <c:tx>
            <c:strRef>
              <c:f>SimpleForecasting_1920!$C$3</c:f>
              <c:strCache>
                <c:ptCount val="1"/>
                <c:pt idx="0">
                  <c:v>Actual Data</c:v>
                </c:pt>
              </c:strCache>
            </c:strRef>
          </c:tx>
          <c:spPr>
            <a:ln w="508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SimpleForecasting_1920!$B$4:$B$15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SimpleForecasting_1920!$C$4:$C$15</c:f>
              <c:numCache>
                <c:formatCode>"£"#,##0</c:formatCode>
                <c:ptCount val="12"/>
                <c:pt idx="0">
                  <c:v>653213794</c:v>
                </c:pt>
                <c:pt idx="1">
                  <c:v>701382742</c:v>
                </c:pt>
                <c:pt idx="2">
                  <c:v>660230034</c:v>
                </c:pt>
                <c:pt idx="3">
                  <c:v>684977909</c:v>
                </c:pt>
                <c:pt idx="4">
                  <c:v>724721905</c:v>
                </c:pt>
                <c:pt idx="5">
                  <c:v>702403974</c:v>
                </c:pt>
                <c:pt idx="6">
                  <c:v>759243131</c:v>
                </c:pt>
                <c:pt idx="7">
                  <c:v>708834774</c:v>
                </c:pt>
                <c:pt idx="8">
                  <c:v>711634731</c:v>
                </c:pt>
                <c:pt idx="9">
                  <c:v>719739703</c:v>
                </c:pt>
                <c:pt idx="10">
                  <c:v>658182815</c:v>
                </c:pt>
                <c:pt idx="11">
                  <c:v>791291658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5E-4E05-BCB8-BC0936844D5F}"/>
            </c:ext>
          </c:extLst>
        </c:ser>
        <c:ser>
          <c:idx val="4"/>
          <c:order val="4"/>
          <c:tx>
            <c:strRef>
              <c:f>SimpleForecasting_1920!$H$3</c:f>
              <c:strCache>
                <c:ptCount val="1"/>
                <c:pt idx="0">
                  <c:v>Simple Model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SimpleForecasting_1920!$H$4:$H$15</c:f>
              <c:numCache>
                <c:formatCode>"£"#,##0</c:formatCode>
                <c:ptCount val="12"/>
                <c:pt idx="0">
                  <c:v>646483829.48561859</c:v>
                </c:pt>
                <c:pt idx="1">
                  <c:v>681391041.70000005</c:v>
                </c:pt>
                <c:pt idx="2">
                  <c:v>661524097.59230757</c:v>
                </c:pt>
                <c:pt idx="3">
                  <c:v>706473798.06153846</c:v>
                </c:pt>
                <c:pt idx="4">
                  <c:v>688671570.12</c:v>
                </c:pt>
                <c:pt idx="5">
                  <c:v>679418687.07692301</c:v>
                </c:pt>
                <c:pt idx="6">
                  <c:v>746650780.6615386</c:v>
                </c:pt>
                <c:pt idx="7">
                  <c:v>714433001.24800003</c:v>
                </c:pt>
                <c:pt idx="8">
                  <c:v>711267091.53600001</c:v>
                </c:pt>
                <c:pt idx="9">
                  <c:v>704126800.39199984</c:v>
                </c:pt>
                <c:pt idx="10">
                  <c:v>665158910.0666666</c:v>
                </c:pt>
                <c:pt idx="11">
                  <c:v>705901527.88770378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D5E-4E05-BCB8-BC0936844D5F}"/>
            </c:ext>
          </c:extLst>
        </c:ser>
        <c:ser>
          <c:idx val="5"/>
          <c:order val="5"/>
          <c:tx>
            <c:strRef>
              <c:f>SimpleForecasting_1920!$J$3</c:f>
              <c:strCache>
                <c:ptCount val="1"/>
                <c:pt idx="0">
                  <c:v>Linear Regression Model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SimpleForecasting_1920!$J$4:$J$15</c:f>
              <c:numCache>
                <c:formatCode>"£"#,##0</c:formatCode>
                <c:ptCount val="12"/>
                <c:pt idx="0">
                  <c:v>666133358.28901494</c:v>
                </c:pt>
                <c:pt idx="1">
                  <c:v>699006482.0382601</c:v>
                </c:pt>
                <c:pt idx="2">
                  <c:v>675705187.35132313</c:v>
                </c:pt>
                <c:pt idx="3">
                  <c:v>708829622.28810143</c:v>
                </c:pt>
                <c:pt idx="4">
                  <c:v>695616757.47624373</c:v>
                </c:pt>
                <c:pt idx="5">
                  <c:v>695365446.28871047</c:v>
                </c:pt>
                <c:pt idx="6">
                  <c:v>756451434.84981322</c:v>
                </c:pt>
                <c:pt idx="7">
                  <c:v>713578311.10056818</c:v>
                </c:pt>
                <c:pt idx="8">
                  <c:v>685114135.1011771</c:v>
                </c:pt>
                <c:pt idx="9">
                  <c:v>694937275.35101855</c:v>
                </c:pt>
                <c:pt idx="10">
                  <c:v>657403892.66438603</c:v>
                </c:pt>
                <c:pt idx="11">
                  <c:v>699597534.2884059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D5E-4E05-BCB8-BC0936844D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0209080"/>
        <c:axId val="660896400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SimpleForecasting_1920!$G$3</c15:sqref>
                        </c15:formulaRef>
                      </c:ext>
                    </c:extLst>
                    <c:strCache>
                      <c:ptCount val="1"/>
                      <c:pt idx="0">
                        <c:v>Forecast (average of month and dispensing day)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>
                      <c:ext uri="{02D57815-91ED-43cb-92C2-25804820EDAC}">
                        <c15:formulaRef>
                          <c15:sqref>SimpleForecasting_1920!$G$4:$G$15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9D5E-4E05-BCB8-BC0936844D5F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SimpleForecasting_1920!$E$3</c15:sqref>
                        </c15:formulaRef>
                      </c:ext>
                    </c:extLst>
                    <c:strCache>
                      <c:ptCount val="1"/>
                      <c:pt idx="0">
                        <c:v>Forecast Value (Month)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SimpleForecasting_1920!$E$4:$E$15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9D5E-4E05-BCB8-BC0936844D5F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SimpleForecasting_1920!$F$3</c15:sqref>
                        </c15:formulaRef>
                      </c:ext>
                    </c:extLst>
                    <c:strCache>
                      <c:ptCount val="1"/>
                      <c:pt idx="0">
                        <c:v>Forecast Value (Dispensing Days)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alpha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dPt>
                  <c:idx val="8"/>
                  <c:marker>
                    <c:symbol val="none"/>
                  </c:marker>
                  <c:bubble3D val="0"/>
                  <c:spPr>
                    <a:ln w="28575" cap="rnd">
                      <a:solidFill>
                        <a:schemeClr val="accent4"/>
                      </a:solidFill>
                      <a:round/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6-9D5E-4E05-BCB8-BC0936844D5F}"/>
                    </c:ext>
                  </c:extLst>
                </c:dP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SimpleForecasting_1920!$F$4:$F$15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9D5E-4E05-BCB8-BC0936844D5F}"/>
                  </c:ext>
                </c:extLst>
              </c15:ser>
            </c15:filteredLineSeries>
          </c:ext>
        </c:extLst>
      </c:lineChart>
      <c:catAx>
        <c:axId val="690209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896400"/>
        <c:crosses val="autoZero"/>
        <c:auto val="1"/>
        <c:lblAlgn val="ctr"/>
        <c:lblOffset val="100"/>
        <c:noMultiLvlLbl val="0"/>
      </c:catAx>
      <c:valAx>
        <c:axId val="660896400"/>
        <c:scaling>
          <c:orientation val="minMax"/>
          <c:min val="64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£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0209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500"/>
              <a:t>Prescription Spend (2018/19)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491516197302284"/>
          <c:y val="0.17553751225520639"/>
          <c:w val="0.80735827033364682"/>
          <c:h val="0.65435280137789908"/>
        </c:manualLayout>
      </c:layout>
      <c:lineChart>
        <c:grouping val="standard"/>
        <c:varyColors val="0"/>
        <c:ser>
          <c:idx val="0"/>
          <c:order val="0"/>
          <c:tx>
            <c:strRef>
              <c:f>SimpleForecasting!$C$3</c:f>
              <c:strCache>
                <c:ptCount val="1"/>
                <c:pt idx="0">
                  <c:v>Actual Data</c:v>
                </c:pt>
              </c:strCache>
            </c:strRef>
          </c:tx>
          <c:spPr>
            <a:ln w="508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SimpleForecasting!$B$4:$B$15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SimpleForecasting!$C$4:$C$15</c:f>
              <c:numCache>
                <c:formatCode>"£"#,##0</c:formatCode>
                <c:ptCount val="12"/>
                <c:pt idx="0">
                  <c:v>643729503</c:v>
                </c:pt>
                <c:pt idx="1">
                  <c:v>676106275</c:v>
                </c:pt>
                <c:pt idx="2">
                  <c:v>667185784</c:v>
                </c:pt>
                <c:pt idx="3">
                  <c:v>660278394</c:v>
                </c:pt>
                <c:pt idx="4">
                  <c:v>680588999</c:v>
                </c:pt>
                <c:pt idx="5">
                  <c:v>655658645</c:v>
                </c:pt>
                <c:pt idx="6">
                  <c:v>720034583</c:v>
                </c:pt>
                <c:pt idx="7">
                  <c:v>694110101</c:v>
                </c:pt>
                <c:pt idx="8">
                  <c:v>670658487</c:v>
                </c:pt>
                <c:pt idx="9">
                  <c:v>688881110</c:v>
                </c:pt>
                <c:pt idx="10">
                  <c:v>616765638</c:v>
                </c:pt>
                <c:pt idx="11">
                  <c:v>672818416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83-49E9-BB69-E8AF596CD75D}"/>
            </c:ext>
          </c:extLst>
        </c:ser>
        <c:ser>
          <c:idx val="4"/>
          <c:order val="4"/>
          <c:tx>
            <c:v>Simple Model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SimpleForecasting!$H$4:$H$15</c:f>
              <c:numCache>
                <c:formatCode>"£"#,##0</c:formatCode>
                <c:ptCount val="12"/>
                <c:pt idx="0">
                  <c:v>618699297.97361875</c:v>
                </c:pt>
                <c:pt idx="1">
                  <c:v>655480405.9000001</c:v>
                </c:pt>
                <c:pt idx="2">
                  <c:v>661009915.97600007</c:v>
                </c:pt>
                <c:pt idx="3">
                  <c:v>654584856.71111119</c:v>
                </c:pt>
                <c:pt idx="4">
                  <c:v>661250550.32000005</c:v>
                </c:pt>
                <c:pt idx="5">
                  <c:v>655336939.07692313</c:v>
                </c:pt>
                <c:pt idx="6">
                  <c:v>723598459.79487181</c:v>
                </c:pt>
                <c:pt idx="7">
                  <c:v>675760227.98133326</c:v>
                </c:pt>
                <c:pt idx="8">
                  <c:v>680749664.46933341</c:v>
                </c:pt>
                <c:pt idx="9">
                  <c:v>669654778.9253335</c:v>
                </c:pt>
                <c:pt idx="10">
                  <c:v>604807773.99733329</c:v>
                </c:pt>
                <c:pt idx="11">
                  <c:v>670807935.82103705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783-49E9-BB69-E8AF596CD75D}"/>
            </c:ext>
          </c:extLst>
        </c:ser>
        <c:ser>
          <c:idx val="5"/>
          <c:order val="5"/>
          <c:tx>
            <c:strRef>
              <c:f>SimpleForecasting!$J$3</c:f>
              <c:strCache>
                <c:ptCount val="1"/>
                <c:pt idx="0">
                  <c:v>Linear Regression Model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SimpleForecasting!$J$4:$J$15</c:f>
              <c:numCache>
                <c:formatCode>"£"#,##0</c:formatCode>
                <c:ptCount val="12"/>
                <c:pt idx="0">
                  <c:v>692151565.687361</c:v>
                </c:pt>
                <c:pt idx="1">
                  <c:v>720361593.3399049</c:v>
                </c:pt>
                <c:pt idx="2">
                  <c:v>706634857.85631073</c:v>
                </c:pt>
                <c:pt idx="3">
                  <c:v>715954138.55323029</c:v>
                </c:pt>
                <c:pt idx="4">
                  <c:v>712315577.15939116</c:v>
                </c:pt>
                <c:pt idx="5">
                  <c:v>716723031.94606578</c:v>
                </c:pt>
                <c:pt idx="6">
                  <c:v>773143087.25115347</c:v>
                </c:pt>
                <c:pt idx="7">
                  <c:v>734933059.59860969</c:v>
                </c:pt>
                <c:pt idx="8">
                  <c:v>706470846.38428056</c:v>
                </c:pt>
                <c:pt idx="9">
                  <c:v>716294498.20477057</c:v>
                </c:pt>
                <c:pt idx="10">
                  <c:v>659874442.89968288</c:v>
                </c:pt>
                <c:pt idx="11">
                  <c:v>725613778.90169013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783-49E9-BB69-E8AF596CD7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0209080"/>
        <c:axId val="660896400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SimpleForecasting!$G$3</c15:sqref>
                        </c15:formulaRef>
                      </c:ext>
                    </c:extLst>
                    <c:strCache>
                      <c:ptCount val="1"/>
                      <c:pt idx="0">
                        <c:v>Forecast (average of month and dispensing day)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>
                      <c:ext uri="{02D57815-91ED-43cb-92C2-25804820EDAC}">
                        <c15:formulaRef>
                          <c15:sqref>SimpleForecasting!$G$4:$G$15</c15:sqref>
                        </c15:formulaRef>
                      </c:ext>
                    </c:extLst>
                    <c:numCache>
                      <c:formatCode>"£"#,##0</c:formatCode>
                      <c:ptCount val="12"/>
                      <c:pt idx="0">
                        <c:v>630720827.76060605</c:v>
                      </c:pt>
                      <c:pt idx="1">
                        <c:v>640499674.00588238</c:v>
                      </c:pt>
                      <c:pt idx="2">
                        <c:v>661832259.3791666</c:v>
                      </c:pt>
                      <c:pt idx="3">
                        <c:v>671547971.7791667</c:v>
                      </c:pt>
                      <c:pt idx="4">
                        <c:v>669354882.07916665</c:v>
                      </c:pt>
                      <c:pt idx="5">
                        <c:v>664708737.40588236</c:v>
                      </c:pt>
                      <c:pt idx="6">
                        <c:v>703720416.17142844</c:v>
                      </c:pt>
                      <c:pt idx="7">
                        <c:v>671388892.94583333</c:v>
                      </c:pt>
                      <c:pt idx="8">
                        <c:v>664855885.5272727</c:v>
                      </c:pt>
                      <c:pt idx="9">
                        <c:v>668207599.8458333</c:v>
                      </c:pt>
                      <c:pt idx="10">
                        <c:v>623704355.32727265</c:v>
                      </c:pt>
                      <c:pt idx="11">
                        <c:v>674259807.44583333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0783-49E9-BB69-E8AF596CD75D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SimpleForecasting!$E$3</c15:sqref>
                        </c15:formulaRef>
                      </c:ext>
                    </c:extLst>
                    <c:strCache>
                      <c:ptCount val="1"/>
                      <c:pt idx="0">
                        <c:v>Forecast Value (Month)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SimpleForecasting!$E$4:$E$15</c15:sqref>
                        </c15:formulaRef>
                      </c:ext>
                    </c:extLst>
                    <c:numCache>
                      <c:formatCode>"£"#,##0</c:formatCode>
                      <c:ptCount val="12"/>
                      <c:pt idx="0">
                        <c:v>629291786.39999998</c:v>
                      </c:pt>
                      <c:pt idx="1">
                        <c:v>644114290.60000002</c:v>
                      </c:pt>
                      <c:pt idx="2">
                        <c:v>650808140.79999995</c:v>
                      </c:pt>
                      <c:pt idx="3">
                        <c:v>670239565.60000002</c:v>
                      </c:pt>
                      <c:pt idx="4">
                        <c:v>650853386.20000005</c:v>
                      </c:pt>
                      <c:pt idx="5">
                        <c:v>677532417.39999998</c:v>
                      </c:pt>
                      <c:pt idx="6">
                        <c:v>712028406.5333333</c:v>
                      </c:pt>
                      <c:pt idx="7">
                        <c:v>664921407.93333328</c:v>
                      </c:pt>
                      <c:pt idx="8">
                        <c:v>692561901.93333328</c:v>
                      </c:pt>
                      <c:pt idx="9">
                        <c:v>658558821.73333335</c:v>
                      </c:pt>
                      <c:pt idx="10">
                        <c:v>610258841.5333333</c:v>
                      </c:pt>
                      <c:pt idx="11">
                        <c:v>670663236.93333328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0783-49E9-BB69-E8AF596CD75D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SimpleForecasting!$F$3</c15:sqref>
                        </c15:formulaRef>
                      </c:ext>
                    </c:extLst>
                    <c:strCache>
                      <c:ptCount val="1"/>
                      <c:pt idx="0">
                        <c:v>Forecast Value (Dispensing Days)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alpha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dPt>
                  <c:idx val="8"/>
                  <c:marker>
                    <c:symbol val="none"/>
                  </c:marker>
                  <c:bubble3D val="0"/>
                  <c:spPr>
                    <a:ln w="28575" cap="rnd">
                      <a:solidFill>
                        <a:schemeClr val="accent4"/>
                      </a:solidFill>
                      <a:round/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6-0783-49E9-BB69-E8AF596CD75D}"/>
                    </c:ext>
                  </c:extLst>
                </c:dP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SimpleForecasting!$F$4:$F$15</c15:sqref>
                        </c15:formulaRef>
                      </c:ext>
                    </c:extLst>
                    <c:numCache>
                      <c:formatCode>"£"#,##0</c:formatCode>
                      <c:ptCount val="12"/>
                      <c:pt idx="0">
                        <c:v>632149869.12121212</c:v>
                      </c:pt>
                      <c:pt idx="1">
                        <c:v>636885057.41176474</c:v>
                      </c:pt>
                      <c:pt idx="2">
                        <c:v>672856377.95833337</c:v>
                      </c:pt>
                      <c:pt idx="3">
                        <c:v>672856377.95833337</c:v>
                      </c:pt>
                      <c:pt idx="4">
                        <c:v>687856377.95833337</c:v>
                      </c:pt>
                      <c:pt idx="5">
                        <c:v>651885057.41176474</c:v>
                      </c:pt>
                      <c:pt idx="6">
                        <c:v>695412425.8095237</c:v>
                      </c:pt>
                      <c:pt idx="7">
                        <c:v>677856377.95833337</c:v>
                      </c:pt>
                      <c:pt idx="8">
                        <c:v>637149869.12121212</c:v>
                      </c:pt>
                      <c:pt idx="9">
                        <c:v>677856377.95833337</c:v>
                      </c:pt>
                      <c:pt idx="10">
                        <c:v>637149869.12121212</c:v>
                      </c:pt>
                      <c:pt idx="11">
                        <c:v>677856377.95833337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0783-49E9-BB69-E8AF596CD75D}"/>
                  </c:ext>
                </c:extLst>
              </c15:ser>
            </c15:filteredLineSeries>
          </c:ext>
        </c:extLst>
      </c:lineChart>
      <c:catAx>
        <c:axId val="690209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896400"/>
        <c:crosses val="autoZero"/>
        <c:auto val="1"/>
        <c:lblAlgn val="ctr"/>
        <c:lblOffset val="100"/>
        <c:noMultiLvlLbl val="0"/>
      </c:catAx>
      <c:valAx>
        <c:axId val="660896400"/>
        <c:scaling>
          <c:orientation val="minMax"/>
          <c:min val="60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£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0209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500"/>
              <a:t>Prescription Spend (20/21)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496359309457152"/>
          <c:y val="0.10087629360633962"/>
          <c:w val="0.88720523347267211"/>
          <c:h val="0.75876814923236358"/>
        </c:manualLayout>
      </c:layout>
      <c:lineChart>
        <c:grouping val="standard"/>
        <c:varyColors val="0"/>
        <c:ser>
          <c:idx val="0"/>
          <c:order val="0"/>
          <c:tx>
            <c:strRef>
              <c:f>SimpleForecasting_2021!$C$3</c:f>
              <c:strCache>
                <c:ptCount val="1"/>
                <c:pt idx="0">
                  <c:v>Actual Data</c:v>
                </c:pt>
              </c:strCache>
            </c:strRef>
          </c:tx>
          <c:spPr>
            <a:ln w="508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SimpleForecasting_2021!$B$4:$B$15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SimpleForecasting_2021!$C$4:$C$15</c:f>
              <c:numCache>
                <c:formatCode>"£"#,##0</c:formatCode>
                <c:ptCount val="12"/>
                <c:pt idx="0">
                  <c:v>734019498</c:v>
                </c:pt>
                <c:pt idx="1">
                  <c:v>688525672</c:v>
                </c:pt>
                <c:pt idx="2">
                  <c:v>723897914</c:v>
                </c:pt>
                <c:pt idx="3">
                  <c:v>748296870</c:v>
                </c:pt>
                <c:pt idx="4">
                  <c:v>676867632</c:v>
                </c:pt>
                <c:pt idx="5">
                  <c:v>759906815</c:v>
                </c:pt>
                <c:pt idx="6">
                  <c:v>784077994</c:v>
                </c:pt>
                <c:pt idx="7">
                  <c:v>733337818</c:v>
                </c:pt>
                <c:pt idx="8">
                  <c:v>773886385</c:v>
                </c:pt>
                <c:pt idx="9">
                  <c:v>729626495</c:v>
                </c:pt>
                <c:pt idx="10">
                  <c:v>682380296</c:v>
                </c:pt>
                <c:pt idx="11">
                  <c:v>764304285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937-45C8-8463-5DC48F4C678E}"/>
            </c:ext>
          </c:extLst>
        </c:ser>
        <c:ser>
          <c:idx val="4"/>
          <c:order val="4"/>
          <c:tx>
            <c:strRef>
              <c:f>SimpleForecasting_2021!$H$3</c:f>
              <c:strCache>
                <c:ptCount val="1"/>
                <c:pt idx="0">
                  <c:v>Forecast (Multiply average per dispensing day by number of dispensing days)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SimpleForecasting_2021!$H$4:$H$15</c:f>
              <c:numCache>
                <c:formatCode>"£"#,##0</c:formatCode>
                <c:ptCount val="12"/>
                <c:pt idx="0">
                  <c:v>668521556.28561878</c:v>
                </c:pt>
                <c:pt idx="1">
                  <c:v>678292899.16799998</c:v>
                </c:pt>
                <c:pt idx="2">
                  <c:v>725544765.27199984</c:v>
                </c:pt>
                <c:pt idx="3">
                  <c:v>738482956.46153855</c:v>
                </c:pt>
                <c:pt idx="4">
                  <c:v>689642894.80000007</c:v>
                </c:pt>
                <c:pt idx="5">
                  <c:v>733153644.95200002</c:v>
                </c:pt>
                <c:pt idx="6">
                  <c:v>760143133.39487183</c:v>
                </c:pt>
                <c:pt idx="7">
                  <c:v>701578603.08717942</c:v>
                </c:pt>
                <c:pt idx="8">
                  <c:v>723787443.06933343</c:v>
                </c:pt>
                <c:pt idx="9">
                  <c:v>702350649.80000007</c:v>
                </c:pt>
                <c:pt idx="10">
                  <c:v>656798451.74399996</c:v>
                </c:pt>
                <c:pt idx="11">
                  <c:v>771317180.19876933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937-45C8-8463-5DC48F4C678E}"/>
            </c:ext>
          </c:extLst>
        </c:ser>
        <c:ser>
          <c:idx val="5"/>
          <c:order val="5"/>
          <c:tx>
            <c:strRef>
              <c:f>SimpleForecasting_2021!$J$3</c:f>
              <c:strCache>
                <c:ptCount val="1"/>
                <c:pt idx="0">
                  <c:v>Linear Regression Model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SimpleForecasting_2021!$J$4:$J$15</c:f>
              <c:numCache>
                <c:formatCode>"£"#,##0</c:formatCode>
                <c:ptCount val="12"/>
                <c:pt idx="0">
                  <c:v>681349466.04158735</c:v>
                </c:pt>
                <c:pt idx="1">
                  <c:v>695710310.0680697</c:v>
                </c:pt>
                <c:pt idx="2">
                  <c:v>726111895.18867826</c:v>
                </c:pt>
                <c:pt idx="3">
                  <c:v>736206161.75339615</c:v>
                </c:pt>
                <c:pt idx="4">
                  <c:v>696869836.58865047</c:v>
                </c:pt>
                <c:pt idx="5">
                  <c:v>735685791.20633304</c:v>
                </c:pt>
                <c:pt idx="6">
                  <c:v>766735079.15734899</c:v>
                </c:pt>
                <c:pt idx="7">
                  <c:v>722611805.98377585</c:v>
                </c:pt>
                <c:pt idx="8">
                  <c:v>707730591.41023052</c:v>
                </c:pt>
                <c:pt idx="9">
                  <c:v>707743732.60630536</c:v>
                </c:pt>
                <c:pt idx="10">
                  <c:v>668927777.98862278</c:v>
                </c:pt>
                <c:pt idx="11">
                  <c:v>766227849.80636072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937-45C8-8463-5DC48F4C67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0209080"/>
        <c:axId val="660896400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SimpleForecasting_2021!$G$3</c15:sqref>
                        </c15:formulaRef>
                      </c:ext>
                    </c:extLst>
                    <c:strCache>
                      <c:ptCount val="1"/>
                      <c:pt idx="0">
                        <c:v>Forecast (average of month and dispensing day)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>
                      <c:ext uri="{02D57815-91ED-43cb-92C2-25804820EDAC}">
                        <c15:formulaRef>
                          <c15:sqref>SimpleForecasting_2021!$G$4:$G$15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9937-45C8-8463-5DC48F4C678E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SimpleForecasting_2021!$E$3</c15:sqref>
                        </c15:formulaRef>
                      </c:ext>
                    </c:extLst>
                    <c:strCache>
                      <c:ptCount val="1"/>
                      <c:pt idx="0">
                        <c:v>Forecast Value (Month)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SimpleForecasting_2021!$E$4:$E$15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9937-45C8-8463-5DC48F4C678E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SimpleForecasting_2021!$F$3</c15:sqref>
                        </c15:formulaRef>
                      </c:ext>
                    </c:extLst>
                    <c:strCache>
                      <c:ptCount val="1"/>
                      <c:pt idx="0">
                        <c:v>Forecast Value (Dispensing Days)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alpha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dPt>
                  <c:idx val="8"/>
                  <c:marker>
                    <c:symbol val="none"/>
                  </c:marker>
                  <c:bubble3D val="0"/>
                  <c:spPr>
                    <a:ln w="28575" cap="rnd">
                      <a:solidFill>
                        <a:schemeClr val="accent4"/>
                      </a:solidFill>
                      <a:round/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6-9937-45C8-8463-5DC48F4C678E}"/>
                    </c:ext>
                  </c:extLst>
                </c:dP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SimpleForecasting_2021!$F$4:$F$15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9937-45C8-8463-5DC48F4C678E}"/>
                  </c:ext>
                </c:extLst>
              </c15:ser>
            </c15:filteredLineSeries>
          </c:ext>
        </c:extLst>
      </c:lineChart>
      <c:catAx>
        <c:axId val="690209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896400"/>
        <c:crosses val="autoZero"/>
        <c:auto val="1"/>
        <c:lblAlgn val="ctr"/>
        <c:lblOffset val="100"/>
        <c:noMultiLvlLbl val="0"/>
      </c:catAx>
      <c:valAx>
        <c:axId val="660896400"/>
        <c:scaling>
          <c:orientation val="minMax"/>
          <c:min val="64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£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0209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4795C3E65564C9995FF23442B81AB" ma:contentTypeVersion="1" ma:contentTypeDescription="Create a new document." ma:contentTypeScope="" ma:versionID="59b15f384a0e5e7ee04ea8faf7e31f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9AF2E-7EEF-4540-944D-AC79345AD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1FE952-30CE-415B-8072-5AE754EE05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F1775C-AB6D-4802-9401-73D9B4AC4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F92BE9-C9D5-4095-B0F2-0C6D7158E0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15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Eleanor</dc:creator>
  <cp:keywords/>
  <dc:description/>
  <cp:lastModifiedBy>Kate Nordstrom</cp:lastModifiedBy>
  <cp:revision>473</cp:revision>
  <dcterms:created xsi:type="dcterms:W3CDTF">2022-01-27T09:48:00Z</dcterms:created>
  <dcterms:modified xsi:type="dcterms:W3CDTF">2022-08-23T16:11:00Z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0x01010022E4795C3E65564C9995FF23442B81AB</vt:lpwstr>
  </property>
</Properties>
</file>