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DF4EC3" w14:textId="1AB5CC7F" w:rsidR="00500E11" w:rsidRDefault="00352181" w:rsidP="000D062A">
      <w:pPr>
        <w:pStyle w:val="Heading1"/>
      </w:pPr>
      <w:r>
        <w:t>SICBL</w:t>
      </w:r>
      <w:r w:rsidR="000D062A">
        <w:t xml:space="preserve"> Prescribing Model – Methodology</w:t>
      </w:r>
    </w:p>
    <w:p w14:paraId="4139C90F" w14:textId="7CE9736F" w:rsidR="000D062A" w:rsidRDefault="000D062A" w:rsidP="000D062A"/>
    <w:p w14:paraId="22FE5AFE" w14:textId="0D225A24" w:rsidR="000D062A" w:rsidRDefault="000D062A" w:rsidP="000D062A">
      <w:pPr>
        <w:pStyle w:val="Heading2"/>
      </w:pPr>
      <w:r>
        <w:t>Overview</w:t>
      </w:r>
    </w:p>
    <w:p w14:paraId="79E8D018" w14:textId="12A93279" w:rsidR="000D062A" w:rsidRDefault="000D062A" w:rsidP="000D062A">
      <w:pPr>
        <w:pStyle w:val="ListParagraph"/>
        <w:numPr>
          <w:ilvl w:val="0"/>
          <w:numId w:val="1"/>
        </w:numPr>
      </w:pPr>
      <w:r>
        <w:t xml:space="preserve">This paper provides an overview of the methodology used in the </w:t>
      </w:r>
      <w:r w:rsidR="00352181">
        <w:t>SICBL</w:t>
      </w:r>
      <w:r>
        <w:t xml:space="preserve"> Prescribing Model to forecast the monthly spend on prescriptions.</w:t>
      </w:r>
      <w:r w:rsidR="00AE17C6">
        <w:t xml:space="preserve"> </w:t>
      </w:r>
    </w:p>
    <w:p w14:paraId="3D6F97F6" w14:textId="0422A7C2" w:rsidR="000D062A" w:rsidRDefault="000D062A" w:rsidP="000D062A">
      <w:pPr>
        <w:pStyle w:val="ListParagraph"/>
        <w:numPr>
          <w:ilvl w:val="0"/>
          <w:numId w:val="1"/>
        </w:numPr>
      </w:pPr>
      <w:r>
        <w:t>This model relies on a simple averaging methodology and replaces the previous model which used linear regression.</w:t>
      </w:r>
    </w:p>
    <w:p w14:paraId="408A6ABC" w14:textId="7919C229" w:rsidR="007800F4" w:rsidRDefault="00975C1F" w:rsidP="000D062A">
      <w:pPr>
        <w:pStyle w:val="ListParagraph"/>
        <w:numPr>
          <w:ilvl w:val="0"/>
          <w:numId w:val="1"/>
        </w:numPr>
      </w:pPr>
      <w:r>
        <w:t xml:space="preserve">A brief overview of the model’s caveats and technical considerations are included along with a comparison </w:t>
      </w:r>
      <w:r w:rsidR="00DC4627">
        <w:t>to</w:t>
      </w:r>
      <w:r>
        <w:t xml:space="preserve"> the previous model</w:t>
      </w:r>
      <w:r w:rsidR="00DC4627">
        <w:t>.</w:t>
      </w:r>
    </w:p>
    <w:p w14:paraId="642E473F" w14:textId="69E19DC6" w:rsidR="000D062A" w:rsidRDefault="000D062A" w:rsidP="000D062A">
      <w:pPr>
        <w:pStyle w:val="ListParagraph"/>
        <w:numPr>
          <w:ilvl w:val="0"/>
          <w:numId w:val="1"/>
        </w:numPr>
      </w:pPr>
      <w:r>
        <w:t xml:space="preserve">A full write up of the comparisons between these models can be found in the document titled </w:t>
      </w:r>
      <w:r w:rsidR="00352181">
        <w:t>SICBL</w:t>
      </w:r>
      <w:r w:rsidR="006E176C">
        <w:t>PrescribingModel_FullWriteUp</w:t>
      </w:r>
      <w:r>
        <w:t>.docx.</w:t>
      </w:r>
    </w:p>
    <w:p w14:paraId="2CD0ED40" w14:textId="15AF755D" w:rsidR="000D062A" w:rsidRDefault="000D062A" w:rsidP="000D062A">
      <w:pPr>
        <w:pStyle w:val="Heading2"/>
      </w:pPr>
      <w:r>
        <w:t xml:space="preserve">Introduction </w:t>
      </w:r>
    </w:p>
    <w:p w14:paraId="395927D6" w14:textId="7A046F4B" w:rsidR="005E69F4" w:rsidRPr="005E69F4" w:rsidRDefault="000D062A" w:rsidP="005E69F4">
      <w:pPr>
        <w:pStyle w:val="ListParagraph"/>
        <w:numPr>
          <w:ilvl w:val="0"/>
          <w:numId w:val="2"/>
        </w:numPr>
        <w:spacing w:after="100"/>
        <w:ind w:left="414" w:hanging="357"/>
        <w:contextualSpacing w:val="0"/>
      </w:pPr>
      <w:r>
        <w:t xml:space="preserve">This paper provides an overview for the </w:t>
      </w:r>
      <w:r w:rsidR="00352181">
        <w:t>SICBL</w:t>
      </w:r>
      <w:r>
        <w:t xml:space="preserve"> prescribing model which can be used to </w:t>
      </w:r>
      <w:r w:rsidR="005E69F4" w:rsidRPr="005E69F4">
        <w:t xml:space="preserve">forecast the spend on prescriptions for the </w:t>
      </w:r>
      <w:r w:rsidR="00AF6F86">
        <w:t>remaining months of the year</w:t>
      </w:r>
      <w:r w:rsidR="005E69F4" w:rsidRPr="005E69F4">
        <w:t>. From th</w:t>
      </w:r>
      <w:r w:rsidR="00C9185C">
        <w:t xml:space="preserve">is, </w:t>
      </w:r>
      <w:r w:rsidR="005E69F4" w:rsidRPr="005E69F4">
        <w:t xml:space="preserve">a cumulative </w:t>
      </w:r>
      <w:r w:rsidR="00592414" w:rsidRPr="005E69F4">
        <w:t xml:space="preserve">profile </w:t>
      </w:r>
      <w:r w:rsidR="00592414">
        <w:t>is</w:t>
      </w:r>
      <w:r w:rsidR="00C9185C">
        <w:t xml:space="preserve"> generated </w:t>
      </w:r>
      <w:r w:rsidR="005E69F4" w:rsidRPr="005E69F4">
        <w:t xml:space="preserve">allowing </w:t>
      </w:r>
      <w:r w:rsidR="00352181">
        <w:t>SICBL</w:t>
      </w:r>
      <w:r w:rsidR="005E69F4" w:rsidRPr="005E69F4">
        <w:t>s to consider how their spend looks so far and the potential spend on prescriptions for the remainder of the year.</w:t>
      </w:r>
    </w:p>
    <w:p w14:paraId="3174D697" w14:textId="54EF23AB" w:rsidR="005E69F4" w:rsidRDefault="005E69F4" w:rsidP="005E69F4">
      <w:pPr>
        <w:pStyle w:val="ListParagraph"/>
        <w:numPr>
          <w:ilvl w:val="0"/>
          <w:numId w:val="2"/>
        </w:numPr>
        <w:spacing w:after="100"/>
        <w:ind w:left="414" w:hanging="357"/>
        <w:contextualSpacing w:val="0"/>
      </w:pPr>
      <w:r>
        <w:t xml:space="preserve">The forecasting model relies on a simple averaging technique based on the month of the year and number of dispensing days which have a relationship with prescription </w:t>
      </w:r>
      <w:r w:rsidR="00AF6F86">
        <w:t>expenditure</w:t>
      </w:r>
      <w:r>
        <w:t xml:space="preserve">. For example, there is often a </w:t>
      </w:r>
      <w:r w:rsidR="00AF6F86">
        <w:t>higher spend per dispensing day</w:t>
      </w:r>
      <w:r>
        <w:t xml:space="preserve"> in December because of patients picking up extra supplies before the Christmas public holidays. However, </w:t>
      </w:r>
      <w:r w:rsidR="00CE4C9E">
        <w:t>t</w:t>
      </w:r>
      <w:r w:rsidR="00D051E1">
        <w:t xml:space="preserve">here is typically </w:t>
      </w:r>
      <w:r w:rsidR="00BB1609">
        <w:t>lower spend</w:t>
      </w:r>
      <w:r>
        <w:t xml:space="preserve"> in February due to the low number of dispensing</w:t>
      </w:r>
      <w:r w:rsidR="00D051E1">
        <w:t xml:space="preserve"> and calendar</w:t>
      </w:r>
      <w:r>
        <w:t xml:space="preserve"> days in this shorter month.</w:t>
      </w:r>
    </w:p>
    <w:p w14:paraId="07363F04" w14:textId="74939D67" w:rsidR="000D062A" w:rsidRDefault="005E69F4" w:rsidP="005E69F4">
      <w:pPr>
        <w:pStyle w:val="ListParagraph"/>
        <w:numPr>
          <w:ilvl w:val="0"/>
          <w:numId w:val="2"/>
        </w:numPr>
        <w:spacing w:after="100"/>
        <w:ind w:left="414" w:hanging="357"/>
        <w:contextualSpacing w:val="0"/>
      </w:pPr>
      <w:r>
        <w:t xml:space="preserve">Keeping the methodology of this model </w:t>
      </w:r>
      <w:proofErr w:type="gramStart"/>
      <w:r>
        <w:t>simple</w:t>
      </w:r>
      <w:proofErr w:type="gramEnd"/>
      <w:r>
        <w:t xml:space="preserve"> </w:t>
      </w:r>
      <w:r w:rsidR="00AF6F86">
        <w:t>makes it</w:t>
      </w:r>
      <w:r>
        <w:t xml:space="preserve"> transparent and </w:t>
      </w:r>
      <w:r w:rsidR="00AF6F86">
        <w:t>understandable</w:t>
      </w:r>
      <w:r>
        <w:t xml:space="preserve"> by </w:t>
      </w:r>
      <w:r w:rsidR="00AF6F86">
        <w:t>a wide range of</w:t>
      </w:r>
      <w:r>
        <w:t xml:space="preserve"> users. </w:t>
      </w:r>
    </w:p>
    <w:p w14:paraId="6F92F6EE" w14:textId="4DD7F7F0" w:rsidR="000D062A" w:rsidRDefault="000D062A" w:rsidP="000D062A">
      <w:pPr>
        <w:pStyle w:val="Heading2"/>
      </w:pPr>
      <w:r>
        <w:t xml:space="preserve">Model Methodology </w:t>
      </w:r>
    </w:p>
    <w:p w14:paraId="79340D48" w14:textId="5E0A63A4" w:rsidR="000D062A" w:rsidRDefault="005E69F4" w:rsidP="0062250D">
      <w:pPr>
        <w:pStyle w:val="ListParagraph"/>
        <w:numPr>
          <w:ilvl w:val="0"/>
          <w:numId w:val="2"/>
        </w:numPr>
        <w:spacing w:after="100"/>
        <w:ind w:left="414" w:hanging="357"/>
        <w:contextualSpacing w:val="0"/>
      </w:pPr>
      <w:r>
        <w:t xml:space="preserve">The model </w:t>
      </w:r>
      <w:r w:rsidR="0062250D">
        <w:t xml:space="preserve">uses data from the previous 5 years to forecast the prescription spend for the current year. </w:t>
      </w:r>
    </w:p>
    <w:p w14:paraId="42D4F280" w14:textId="7A8D3EF9" w:rsidR="0062250D" w:rsidRDefault="00BF2045" w:rsidP="0062250D">
      <w:pPr>
        <w:pStyle w:val="ListParagraph"/>
        <w:numPr>
          <w:ilvl w:val="0"/>
          <w:numId w:val="2"/>
        </w:numPr>
        <w:spacing w:after="100"/>
        <w:ind w:left="414" w:hanging="357"/>
        <w:contextualSpacing w:val="0"/>
      </w:pPr>
      <w:r>
        <w:t>The average p</w:t>
      </w:r>
      <w:r w:rsidR="00750C36">
        <w:t>rescription spend per dispensing day is calculat</w:t>
      </w:r>
      <w:r w:rsidR="006E5D28">
        <w:t>ed</w:t>
      </w:r>
      <w:r w:rsidR="00750C36">
        <w:t xml:space="preserve"> by dividing the total prescription in each month by the number of dispensing </w:t>
      </w:r>
      <w:proofErr w:type="gramStart"/>
      <w:r w:rsidR="00750C36">
        <w:t>days, and</w:t>
      </w:r>
      <w:proofErr w:type="gramEnd"/>
      <w:r w:rsidR="00750C36">
        <w:t xml:space="preserve"> averaging each month over the previous 5 years. </w:t>
      </w:r>
      <w:r w:rsidR="0062250D">
        <w:t xml:space="preserve">This average </w:t>
      </w:r>
      <w:r w:rsidR="00166DFF">
        <w:t xml:space="preserve">corrects for any </w:t>
      </w:r>
      <w:r w:rsidR="0062250D">
        <w:t>policy impact</w:t>
      </w:r>
      <w:r w:rsidR="00166DFF">
        <w:t>s</w:t>
      </w:r>
      <w:r w:rsidR="0062250D">
        <w:rPr>
          <w:rStyle w:val="FootnoteReference"/>
        </w:rPr>
        <w:footnoteReference w:id="2"/>
      </w:r>
      <w:r w:rsidR="0062250D">
        <w:t xml:space="preserve"> </w:t>
      </w:r>
      <w:r w:rsidR="00440FEE">
        <w:t>from</w:t>
      </w:r>
      <w:r w:rsidR="0062250D">
        <w:t xml:space="preserve"> each month and year. </w:t>
      </w:r>
    </w:p>
    <w:p w14:paraId="33F3FF64" w14:textId="0F815FCB" w:rsidR="0062250D" w:rsidRDefault="00E256F6" w:rsidP="0062250D">
      <w:pPr>
        <w:pStyle w:val="ListParagraph"/>
        <w:numPr>
          <w:ilvl w:val="0"/>
          <w:numId w:val="2"/>
        </w:numPr>
        <w:spacing w:after="100"/>
        <w:ind w:left="414" w:hanging="357"/>
        <w:contextualSpacing w:val="0"/>
      </w:pPr>
      <w:r>
        <w:t>T</w:t>
      </w:r>
      <w:r w:rsidR="0062250D">
        <w:t xml:space="preserve">he spend for the current year </w:t>
      </w:r>
      <w:r>
        <w:t xml:space="preserve">is estimated by multiplying </w:t>
      </w:r>
      <w:r w:rsidR="0062250D">
        <w:t xml:space="preserve">the average prescription spend per dispensing day by the number of dispensing days in the </w:t>
      </w:r>
      <w:r>
        <w:t>forecast month</w:t>
      </w:r>
      <w:r w:rsidR="0062250D">
        <w:t>. The policy impact is then added/</w:t>
      </w:r>
      <w:r>
        <w:t xml:space="preserve">deducted </w:t>
      </w:r>
      <w:r w:rsidR="0062250D">
        <w:t>to give the final forecast prescription spend.</w:t>
      </w:r>
    </w:p>
    <w:p w14:paraId="2B230C13" w14:textId="7144B39A" w:rsidR="0062250D" w:rsidRDefault="0062250D" w:rsidP="0062250D">
      <w:pPr>
        <w:pStyle w:val="ListParagraph"/>
        <w:numPr>
          <w:ilvl w:val="0"/>
          <w:numId w:val="2"/>
        </w:numPr>
        <w:spacing w:after="100"/>
        <w:ind w:left="414" w:hanging="357"/>
        <w:contextualSpacing w:val="0"/>
      </w:pPr>
      <w:r>
        <w:t xml:space="preserve">This methodology is </w:t>
      </w:r>
      <w:r w:rsidR="00E256F6">
        <w:t xml:space="preserve">described </w:t>
      </w:r>
      <w:r>
        <w:t xml:space="preserve">in </w:t>
      </w:r>
      <w:r>
        <w:fldChar w:fldCharType="begin"/>
      </w:r>
      <w:r>
        <w:instrText xml:space="preserve"> REF _Ref97800464 \h </w:instrText>
      </w:r>
      <w:r>
        <w:fldChar w:fldCharType="separate"/>
      </w:r>
      <w:r>
        <w:t xml:space="preserve">Table </w:t>
      </w:r>
      <w:r>
        <w:rPr>
          <w:noProof/>
        </w:rPr>
        <w:t>1</w:t>
      </w:r>
      <w:r>
        <w:fldChar w:fldCharType="end"/>
      </w:r>
      <w:r>
        <w:t xml:space="preserve"> which shows the forecast spend at the beginning of 2021/22 based on data from 2016/17 to 2020/21.</w:t>
      </w:r>
    </w:p>
    <w:p w14:paraId="721609FA" w14:textId="0AB5BB08" w:rsidR="0062250D" w:rsidRDefault="0062250D" w:rsidP="0062250D">
      <w:pPr>
        <w:pStyle w:val="Caption"/>
        <w:keepNext/>
      </w:pPr>
      <w:bookmarkStart w:id="0" w:name="_Ref97800464"/>
      <w:r>
        <w:lastRenderedPageBreak/>
        <w:t xml:space="preserve">Table </w:t>
      </w:r>
      <w:fldSimple w:instr=" SEQ Table \* ARABIC ">
        <w:r>
          <w:rPr>
            <w:noProof/>
          </w:rPr>
          <w:t>1</w:t>
        </w:r>
      </w:fldSimple>
      <w:bookmarkEnd w:id="0"/>
      <w:r>
        <w:t>: The methodology used to estimate the prescription spend in 2021/22</w:t>
      </w:r>
    </w:p>
    <w:tbl>
      <w:tblPr>
        <w:tblW w:w="9486" w:type="dxa"/>
        <w:tblCellMar>
          <w:left w:w="0" w:type="dxa"/>
          <w:right w:w="0" w:type="dxa"/>
        </w:tblCellMar>
        <w:tblLook w:val="04A0" w:firstRow="1" w:lastRow="0" w:firstColumn="1" w:lastColumn="0" w:noHBand="0" w:noVBand="1"/>
      </w:tblPr>
      <w:tblGrid>
        <w:gridCol w:w="1265"/>
        <w:gridCol w:w="1898"/>
        <w:gridCol w:w="339"/>
        <w:gridCol w:w="1266"/>
        <w:gridCol w:w="274"/>
        <w:gridCol w:w="1985"/>
        <w:gridCol w:w="392"/>
        <w:gridCol w:w="2067"/>
      </w:tblGrid>
      <w:tr w:rsidR="0062250D" w:rsidRPr="00A57F4E" w14:paraId="1BDEA52F" w14:textId="77777777" w:rsidTr="00801896">
        <w:trPr>
          <w:trHeight w:val="792"/>
        </w:trPr>
        <w:tc>
          <w:tcPr>
            <w:tcW w:w="1265" w:type="dxa"/>
            <w:tcBorders>
              <w:top w:val="single" w:sz="4" w:space="0" w:color="auto"/>
            </w:tcBorders>
            <w:noWrap/>
            <w:tcMar>
              <w:top w:w="0" w:type="dxa"/>
              <w:left w:w="108" w:type="dxa"/>
              <w:bottom w:w="0" w:type="dxa"/>
              <w:right w:w="108" w:type="dxa"/>
            </w:tcMar>
            <w:hideMark/>
          </w:tcPr>
          <w:p w14:paraId="68D4D6F9" w14:textId="77777777" w:rsidR="0062250D" w:rsidRPr="00A57F4E" w:rsidRDefault="0062250D" w:rsidP="00801896">
            <w:pPr>
              <w:rPr>
                <w:sz w:val="20"/>
                <w:szCs w:val="20"/>
              </w:rPr>
            </w:pPr>
            <w:r w:rsidRPr="00A57F4E">
              <w:rPr>
                <w:rFonts w:ascii="Arial" w:hAnsi="Arial" w:cs="Arial"/>
                <w:sz w:val="20"/>
                <w:szCs w:val="20"/>
              </w:rPr>
              <w:t>Month</w:t>
            </w:r>
          </w:p>
        </w:tc>
        <w:tc>
          <w:tcPr>
            <w:tcW w:w="1898" w:type="dxa"/>
            <w:tcBorders>
              <w:top w:val="single" w:sz="4" w:space="0" w:color="auto"/>
            </w:tcBorders>
            <w:tcMar>
              <w:top w:w="0" w:type="dxa"/>
              <w:left w:w="108" w:type="dxa"/>
              <w:bottom w:w="0" w:type="dxa"/>
              <w:right w:w="108" w:type="dxa"/>
            </w:tcMar>
            <w:hideMark/>
          </w:tcPr>
          <w:p w14:paraId="4847ED9E" w14:textId="77777777" w:rsidR="0062250D" w:rsidRPr="00A57F4E" w:rsidRDefault="0062250D" w:rsidP="00801896">
            <w:pPr>
              <w:jc w:val="center"/>
              <w:rPr>
                <w:sz w:val="20"/>
                <w:szCs w:val="20"/>
              </w:rPr>
            </w:pPr>
            <w:r w:rsidRPr="00A57F4E">
              <w:rPr>
                <w:rFonts w:ascii="Arial" w:hAnsi="Arial" w:cs="Arial"/>
                <w:sz w:val="20"/>
                <w:szCs w:val="20"/>
              </w:rPr>
              <w:t xml:space="preserve">Average prescription </w:t>
            </w:r>
            <w:proofErr w:type="gramStart"/>
            <w:r w:rsidRPr="00A57F4E">
              <w:rPr>
                <w:rFonts w:ascii="Arial" w:hAnsi="Arial" w:cs="Arial"/>
                <w:sz w:val="20"/>
                <w:szCs w:val="20"/>
              </w:rPr>
              <w:t>spend</w:t>
            </w:r>
            <w:proofErr w:type="gramEnd"/>
            <w:r w:rsidRPr="00A57F4E">
              <w:rPr>
                <w:rFonts w:ascii="Arial" w:hAnsi="Arial" w:cs="Arial"/>
                <w:sz w:val="20"/>
                <w:szCs w:val="20"/>
              </w:rPr>
              <w:t xml:space="preserve"> per dispensing day</w:t>
            </w:r>
          </w:p>
        </w:tc>
        <w:tc>
          <w:tcPr>
            <w:tcW w:w="339" w:type="dxa"/>
            <w:tcBorders>
              <w:top w:val="single" w:sz="4" w:space="0" w:color="auto"/>
            </w:tcBorders>
            <w:tcMar>
              <w:top w:w="0" w:type="dxa"/>
              <w:left w:w="108" w:type="dxa"/>
              <w:bottom w:w="0" w:type="dxa"/>
              <w:right w:w="108" w:type="dxa"/>
            </w:tcMar>
            <w:hideMark/>
          </w:tcPr>
          <w:p w14:paraId="0A73941A" w14:textId="77777777" w:rsidR="0062250D" w:rsidRPr="00A57F4E" w:rsidRDefault="0062250D" w:rsidP="00801896">
            <w:pPr>
              <w:rPr>
                <w:sz w:val="20"/>
                <w:szCs w:val="20"/>
              </w:rPr>
            </w:pPr>
          </w:p>
        </w:tc>
        <w:tc>
          <w:tcPr>
            <w:tcW w:w="1266" w:type="dxa"/>
            <w:tcBorders>
              <w:top w:val="single" w:sz="4" w:space="0" w:color="auto"/>
            </w:tcBorders>
            <w:tcMar>
              <w:top w:w="0" w:type="dxa"/>
              <w:left w:w="108" w:type="dxa"/>
              <w:bottom w:w="0" w:type="dxa"/>
              <w:right w:w="108" w:type="dxa"/>
            </w:tcMar>
            <w:hideMark/>
          </w:tcPr>
          <w:p w14:paraId="0F056AC9" w14:textId="77777777" w:rsidR="0062250D" w:rsidRPr="00A57F4E" w:rsidRDefault="0062250D" w:rsidP="00801896">
            <w:pPr>
              <w:jc w:val="center"/>
              <w:rPr>
                <w:rFonts w:ascii="Calibri" w:hAnsi="Calibri" w:cs="Calibri"/>
                <w:sz w:val="20"/>
                <w:szCs w:val="20"/>
              </w:rPr>
            </w:pPr>
            <w:r w:rsidRPr="00A57F4E">
              <w:rPr>
                <w:rFonts w:ascii="Arial" w:hAnsi="Arial" w:cs="Arial"/>
                <w:sz w:val="20"/>
                <w:szCs w:val="20"/>
              </w:rPr>
              <w:t>Number of dispensing days</w:t>
            </w:r>
          </w:p>
        </w:tc>
        <w:tc>
          <w:tcPr>
            <w:tcW w:w="274" w:type="dxa"/>
            <w:tcBorders>
              <w:top w:val="single" w:sz="4" w:space="0" w:color="auto"/>
            </w:tcBorders>
            <w:tcMar>
              <w:top w:w="0" w:type="dxa"/>
              <w:left w:w="108" w:type="dxa"/>
              <w:bottom w:w="0" w:type="dxa"/>
              <w:right w:w="108" w:type="dxa"/>
            </w:tcMar>
            <w:hideMark/>
          </w:tcPr>
          <w:p w14:paraId="5DDE637B" w14:textId="77777777" w:rsidR="0062250D" w:rsidRPr="00A57F4E" w:rsidRDefault="0062250D" w:rsidP="00801896">
            <w:pPr>
              <w:rPr>
                <w:sz w:val="20"/>
                <w:szCs w:val="20"/>
              </w:rPr>
            </w:pPr>
          </w:p>
        </w:tc>
        <w:tc>
          <w:tcPr>
            <w:tcW w:w="1985" w:type="dxa"/>
            <w:tcBorders>
              <w:top w:val="single" w:sz="4" w:space="0" w:color="auto"/>
            </w:tcBorders>
            <w:tcMar>
              <w:top w:w="0" w:type="dxa"/>
              <w:left w:w="108" w:type="dxa"/>
              <w:bottom w:w="0" w:type="dxa"/>
              <w:right w:w="108" w:type="dxa"/>
            </w:tcMar>
            <w:hideMark/>
          </w:tcPr>
          <w:p w14:paraId="379B43F2" w14:textId="77777777" w:rsidR="0062250D" w:rsidRPr="00A57F4E" w:rsidRDefault="0062250D" w:rsidP="00801896">
            <w:pPr>
              <w:jc w:val="center"/>
              <w:rPr>
                <w:rFonts w:ascii="Calibri" w:hAnsi="Calibri" w:cs="Calibri"/>
                <w:sz w:val="20"/>
                <w:szCs w:val="20"/>
              </w:rPr>
            </w:pPr>
            <w:r w:rsidRPr="00A57F4E">
              <w:rPr>
                <w:rFonts w:ascii="Arial" w:hAnsi="Arial" w:cs="Arial"/>
                <w:sz w:val="20"/>
                <w:szCs w:val="20"/>
              </w:rPr>
              <w:t>Policy/local adjustment</w:t>
            </w:r>
          </w:p>
        </w:tc>
        <w:tc>
          <w:tcPr>
            <w:tcW w:w="392" w:type="dxa"/>
            <w:tcBorders>
              <w:top w:val="single" w:sz="4" w:space="0" w:color="auto"/>
            </w:tcBorders>
            <w:tcMar>
              <w:top w:w="0" w:type="dxa"/>
              <w:left w:w="108" w:type="dxa"/>
              <w:bottom w:w="0" w:type="dxa"/>
              <w:right w:w="108" w:type="dxa"/>
            </w:tcMar>
            <w:hideMark/>
          </w:tcPr>
          <w:p w14:paraId="5A8A61B8" w14:textId="77777777" w:rsidR="0062250D" w:rsidRPr="00A57F4E" w:rsidRDefault="0062250D" w:rsidP="00801896">
            <w:pPr>
              <w:rPr>
                <w:sz w:val="20"/>
                <w:szCs w:val="20"/>
              </w:rPr>
            </w:pPr>
          </w:p>
        </w:tc>
        <w:tc>
          <w:tcPr>
            <w:tcW w:w="2067" w:type="dxa"/>
            <w:tcBorders>
              <w:top w:val="single" w:sz="4" w:space="0" w:color="auto"/>
            </w:tcBorders>
            <w:tcMar>
              <w:top w:w="0" w:type="dxa"/>
              <w:left w:w="108" w:type="dxa"/>
              <w:bottom w:w="0" w:type="dxa"/>
              <w:right w:w="108" w:type="dxa"/>
            </w:tcMar>
            <w:hideMark/>
          </w:tcPr>
          <w:p w14:paraId="09D3C2A3" w14:textId="77777777" w:rsidR="0062250D" w:rsidRPr="00A57F4E" w:rsidRDefault="0062250D" w:rsidP="00801896">
            <w:pPr>
              <w:jc w:val="center"/>
              <w:rPr>
                <w:rFonts w:ascii="Calibri" w:hAnsi="Calibri" w:cs="Calibri"/>
                <w:sz w:val="20"/>
                <w:szCs w:val="20"/>
              </w:rPr>
            </w:pPr>
            <w:r w:rsidRPr="00A57F4E">
              <w:rPr>
                <w:rFonts w:ascii="Arial" w:hAnsi="Arial" w:cs="Arial"/>
                <w:sz w:val="20"/>
                <w:szCs w:val="20"/>
              </w:rPr>
              <w:t>Forecast prescription spend (adjusted)</w:t>
            </w:r>
          </w:p>
        </w:tc>
      </w:tr>
      <w:tr w:rsidR="0062250D" w:rsidRPr="00A57F4E" w14:paraId="2537C7A9" w14:textId="77777777" w:rsidTr="00801896">
        <w:trPr>
          <w:trHeight w:val="264"/>
        </w:trPr>
        <w:tc>
          <w:tcPr>
            <w:tcW w:w="1265" w:type="dxa"/>
            <w:noWrap/>
            <w:tcMar>
              <w:top w:w="0" w:type="dxa"/>
              <w:left w:w="108" w:type="dxa"/>
              <w:bottom w:w="0" w:type="dxa"/>
              <w:right w:w="108" w:type="dxa"/>
            </w:tcMar>
            <w:vAlign w:val="bottom"/>
            <w:hideMark/>
          </w:tcPr>
          <w:p w14:paraId="4773B7DE" w14:textId="77777777" w:rsidR="0062250D" w:rsidRPr="00A57F4E" w:rsidRDefault="0062250D" w:rsidP="00801896">
            <w:pPr>
              <w:rPr>
                <w:sz w:val="20"/>
                <w:szCs w:val="20"/>
              </w:rPr>
            </w:pPr>
          </w:p>
        </w:tc>
        <w:tc>
          <w:tcPr>
            <w:tcW w:w="1898" w:type="dxa"/>
            <w:noWrap/>
            <w:tcMar>
              <w:top w:w="0" w:type="dxa"/>
              <w:left w:w="108" w:type="dxa"/>
              <w:bottom w:w="0" w:type="dxa"/>
              <w:right w:w="108" w:type="dxa"/>
            </w:tcMar>
            <w:vAlign w:val="center"/>
            <w:hideMark/>
          </w:tcPr>
          <w:p w14:paraId="3D61978A" w14:textId="77777777" w:rsidR="0062250D" w:rsidRPr="00A57F4E" w:rsidRDefault="0062250D" w:rsidP="00801896">
            <w:pPr>
              <w:jc w:val="center"/>
              <w:rPr>
                <w:rFonts w:ascii="Calibri" w:hAnsi="Calibri" w:cs="Calibri"/>
                <w:sz w:val="20"/>
                <w:szCs w:val="20"/>
              </w:rPr>
            </w:pPr>
            <w:r w:rsidRPr="00A57F4E">
              <w:rPr>
                <w:rFonts w:ascii="Arial" w:hAnsi="Arial" w:cs="Arial"/>
                <w:sz w:val="20"/>
                <w:szCs w:val="20"/>
              </w:rPr>
              <w:t>2016/17 to 2020/21</w:t>
            </w:r>
          </w:p>
        </w:tc>
        <w:tc>
          <w:tcPr>
            <w:tcW w:w="339" w:type="dxa"/>
            <w:noWrap/>
            <w:tcMar>
              <w:top w:w="0" w:type="dxa"/>
              <w:left w:w="108" w:type="dxa"/>
              <w:bottom w:w="0" w:type="dxa"/>
              <w:right w:w="108" w:type="dxa"/>
            </w:tcMar>
            <w:vAlign w:val="center"/>
            <w:hideMark/>
          </w:tcPr>
          <w:p w14:paraId="63FF6571" w14:textId="77777777" w:rsidR="0062250D" w:rsidRPr="00A57F4E" w:rsidRDefault="0062250D" w:rsidP="00801896">
            <w:pPr>
              <w:rPr>
                <w:sz w:val="20"/>
                <w:szCs w:val="20"/>
              </w:rPr>
            </w:pPr>
          </w:p>
        </w:tc>
        <w:tc>
          <w:tcPr>
            <w:tcW w:w="1266" w:type="dxa"/>
            <w:noWrap/>
            <w:tcMar>
              <w:top w:w="0" w:type="dxa"/>
              <w:left w:w="108" w:type="dxa"/>
              <w:bottom w:w="0" w:type="dxa"/>
              <w:right w:w="108" w:type="dxa"/>
            </w:tcMar>
            <w:vAlign w:val="center"/>
            <w:hideMark/>
          </w:tcPr>
          <w:p w14:paraId="57E397DC" w14:textId="77777777" w:rsidR="0062250D" w:rsidRPr="00A57F4E" w:rsidRDefault="0062250D" w:rsidP="00801896">
            <w:pPr>
              <w:jc w:val="center"/>
              <w:rPr>
                <w:rFonts w:ascii="Calibri" w:hAnsi="Calibri" w:cs="Calibri"/>
                <w:sz w:val="20"/>
                <w:szCs w:val="20"/>
              </w:rPr>
            </w:pPr>
            <w:r w:rsidRPr="00A57F4E">
              <w:rPr>
                <w:rFonts w:ascii="Arial" w:hAnsi="Arial" w:cs="Arial"/>
                <w:sz w:val="20"/>
                <w:szCs w:val="20"/>
              </w:rPr>
              <w:t>2021/22</w:t>
            </w:r>
          </w:p>
        </w:tc>
        <w:tc>
          <w:tcPr>
            <w:tcW w:w="274" w:type="dxa"/>
            <w:noWrap/>
            <w:tcMar>
              <w:top w:w="0" w:type="dxa"/>
              <w:left w:w="108" w:type="dxa"/>
              <w:bottom w:w="0" w:type="dxa"/>
              <w:right w:w="108" w:type="dxa"/>
            </w:tcMar>
            <w:vAlign w:val="center"/>
            <w:hideMark/>
          </w:tcPr>
          <w:p w14:paraId="5145BDC5" w14:textId="77777777" w:rsidR="0062250D" w:rsidRPr="00A57F4E" w:rsidRDefault="0062250D" w:rsidP="00801896">
            <w:pPr>
              <w:rPr>
                <w:sz w:val="20"/>
                <w:szCs w:val="20"/>
              </w:rPr>
            </w:pPr>
          </w:p>
        </w:tc>
        <w:tc>
          <w:tcPr>
            <w:tcW w:w="1985" w:type="dxa"/>
            <w:noWrap/>
            <w:tcMar>
              <w:top w:w="0" w:type="dxa"/>
              <w:left w:w="108" w:type="dxa"/>
              <w:bottom w:w="0" w:type="dxa"/>
              <w:right w:w="108" w:type="dxa"/>
            </w:tcMar>
            <w:vAlign w:val="center"/>
            <w:hideMark/>
          </w:tcPr>
          <w:p w14:paraId="7B8E0927" w14:textId="77777777" w:rsidR="0062250D" w:rsidRPr="00A57F4E" w:rsidRDefault="0062250D" w:rsidP="00801896">
            <w:pPr>
              <w:jc w:val="center"/>
              <w:rPr>
                <w:rFonts w:ascii="Calibri" w:hAnsi="Calibri" w:cs="Calibri"/>
                <w:sz w:val="20"/>
                <w:szCs w:val="20"/>
              </w:rPr>
            </w:pPr>
            <w:r w:rsidRPr="00A57F4E">
              <w:rPr>
                <w:rFonts w:ascii="Arial" w:hAnsi="Arial" w:cs="Arial"/>
                <w:sz w:val="20"/>
                <w:szCs w:val="20"/>
              </w:rPr>
              <w:t>2021/22</w:t>
            </w:r>
          </w:p>
        </w:tc>
        <w:tc>
          <w:tcPr>
            <w:tcW w:w="392" w:type="dxa"/>
            <w:noWrap/>
            <w:tcMar>
              <w:top w:w="0" w:type="dxa"/>
              <w:left w:w="108" w:type="dxa"/>
              <w:bottom w:w="0" w:type="dxa"/>
              <w:right w:w="108" w:type="dxa"/>
            </w:tcMar>
            <w:vAlign w:val="center"/>
            <w:hideMark/>
          </w:tcPr>
          <w:p w14:paraId="13020E2A" w14:textId="77777777" w:rsidR="0062250D" w:rsidRPr="00A57F4E" w:rsidRDefault="0062250D" w:rsidP="00801896">
            <w:pPr>
              <w:rPr>
                <w:sz w:val="20"/>
                <w:szCs w:val="20"/>
              </w:rPr>
            </w:pPr>
          </w:p>
        </w:tc>
        <w:tc>
          <w:tcPr>
            <w:tcW w:w="2067" w:type="dxa"/>
            <w:noWrap/>
            <w:tcMar>
              <w:top w:w="0" w:type="dxa"/>
              <w:left w:w="108" w:type="dxa"/>
              <w:bottom w:w="0" w:type="dxa"/>
              <w:right w:w="108" w:type="dxa"/>
            </w:tcMar>
            <w:vAlign w:val="center"/>
            <w:hideMark/>
          </w:tcPr>
          <w:p w14:paraId="50E61170" w14:textId="77777777" w:rsidR="0062250D" w:rsidRPr="00A57F4E" w:rsidRDefault="0062250D" w:rsidP="00801896">
            <w:pPr>
              <w:jc w:val="center"/>
              <w:rPr>
                <w:rFonts w:ascii="Calibri" w:hAnsi="Calibri" w:cs="Calibri"/>
                <w:sz w:val="20"/>
                <w:szCs w:val="20"/>
              </w:rPr>
            </w:pPr>
            <w:r w:rsidRPr="00A57F4E">
              <w:rPr>
                <w:rFonts w:ascii="Arial" w:hAnsi="Arial" w:cs="Arial"/>
                <w:sz w:val="20"/>
                <w:szCs w:val="20"/>
              </w:rPr>
              <w:t>2021/22</w:t>
            </w:r>
          </w:p>
        </w:tc>
      </w:tr>
      <w:tr w:rsidR="0062250D" w:rsidRPr="00A57F4E" w14:paraId="18114BC4" w14:textId="77777777" w:rsidTr="00801896">
        <w:trPr>
          <w:trHeight w:val="276"/>
        </w:trPr>
        <w:tc>
          <w:tcPr>
            <w:tcW w:w="1265" w:type="dxa"/>
            <w:tcBorders>
              <w:top w:val="single" w:sz="8" w:space="0" w:color="auto"/>
              <w:left w:val="nil"/>
              <w:bottom w:val="single" w:sz="8" w:space="0" w:color="auto"/>
              <w:right w:val="nil"/>
            </w:tcBorders>
            <w:noWrap/>
            <w:tcMar>
              <w:top w:w="0" w:type="dxa"/>
              <w:left w:w="108" w:type="dxa"/>
              <w:bottom w:w="0" w:type="dxa"/>
              <w:right w:w="108" w:type="dxa"/>
            </w:tcMar>
            <w:vAlign w:val="bottom"/>
            <w:hideMark/>
          </w:tcPr>
          <w:p w14:paraId="67F36D4B" w14:textId="77777777" w:rsidR="0062250D" w:rsidRPr="00A57F4E" w:rsidRDefault="0062250D" w:rsidP="00801896">
            <w:pPr>
              <w:rPr>
                <w:sz w:val="20"/>
                <w:szCs w:val="20"/>
              </w:rPr>
            </w:pPr>
            <w:r w:rsidRPr="00A57F4E">
              <w:rPr>
                <w:rFonts w:ascii="Arial" w:hAnsi="Arial" w:cs="Arial"/>
                <w:sz w:val="20"/>
                <w:szCs w:val="20"/>
              </w:rPr>
              <w:t> </w:t>
            </w:r>
          </w:p>
        </w:tc>
        <w:tc>
          <w:tcPr>
            <w:tcW w:w="1898"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00B4BA5B" w14:textId="77777777" w:rsidR="0062250D" w:rsidRPr="00A57F4E" w:rsidRDefault="0062250D" w:rsidP="00801896">
            <w:pPr>
              <w:jc w:val="center"/>
              <w:rPr>
                <w:sz w:val="20"/>
                <w:szCs w:val="20"/>
              </w:rPr>
            </w:pPr>
            <w:r w:rsidRPr="00A57F4E">
              <w:rPr>
                <w:rFonts w:ascii="Arial" w:hAnsi="Arial" w:cs="Arial"/>
                <w:sz w:val="20"/>
                <w:szCs w:val="20"/>
              </w:rPr>
              <w:t>£</w:t>
            </w:r>
          </w:p>
        </w:tc>
        <w:tc>
          <w:tcPr>
            <w:tcW w:w="339"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305DDBF3" w14:textId="77777777" w:rsidR="0062250D" w:rsidRPr="00A57F4E" w:rsidRDefault="0062250D" w:rsidP="00801896">
            <w:pPr>
              <w:rPr>
                <w:sz w:val="20"/>
                <w:szCs w:val="20"/>
              </w:rPr>
            </w:pPr>
          </w:p>
        </w:tc>
        <w:tc>
          <w:tcPr>
            <w:tcW w:w="1266"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1BCBB72C" w14:textId="77777777" w:rsidR="0062250D" w:rsidRPr="00A57F4E" w:rsidRDefault="0062250D" w:rsidP="00801896">
            <w:pPr>
              <w:jc w:val="center"/>
              <w:rPr>
                <w:rFonts w:ascii="Calibri" w:hAnsi="Calibri" w:cs="Calibri"/>
                <w:sz w:val="20"/>
                <w:szCs w:val="20"/>
              </w:rPr>
            </w:pPr>
            <w:r w:rsidRPr="00A57F4E">
              <w:rPr>
                <w:rFonts w:ascii="Arial" w:hAnsi="Arial" w:cs="Arial"/>
                <w:sz w:val="20"/>
                <w:szCs w:val="20"/>
              </w:rPr>
              <w:t>days</w:t>
            </w:r>
          </w:p>
        </w:tc>
        <w:tc>
          <w:tcPr>
            <w:tcW w:w="274"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713ED34F" w14:textId="77777777" w:rsidR="0062250D" w:rsidRPr="00A57F4E" w:rsidRDefault="0062250D" w:rsidP="00801896">
            <w:pPr>
              <w:rPr>
                <w:sz w:val="20"/>
                <w:szCs w:val="20"/>
              </w:rPr>
            </w:pPr>
          </w:p>
        </w:tc>
        <w:tc>
          <w:tcPr>
            <w:tcW w:w="1985"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123D685D" w14:textId="77777777" w:rsidR="0062250D" w:rsidRPr="00A57F4E" w:rsidRDefault="0062250D" w:rsidP="00801896">
            <w:pPr>
              <w:jc w:val="center"/>
              <w:rPr>
                <w:rFonts w:ascii="Calibri" w:hAnsi="Calibri" w:cs="Calibri"/>
                <w:sz w:val="20"/>
                <w:szCs w:val="20"/>
              </w:rPr>
            </w:pPr>
            <w:r w:rsidRPr="00A57F4E">
              <w:rPr>
                <w:rFonts w:ascii="Arial" w:hAnsi="Arial" w:cs="Arial"/>
                <w:sz w:val="20"/>
                <w:szCs w:val="20"/>
              </w:rPr>
              <w:t>£</w:t>
            </w:r>
          </w:p>
        </w:tc>
        <w:tc>
          <w:tcPr>
            <w:tcW w:w="392"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58D96DCF" w14:textId="77777777" w:rsidR="0062250D" w:rsidRPr="00A57F4E" w:rsidRDefault="0062250D" w:rsidP="00801896">
            <w:pPr>
              <w:rPr>
                <w:sz w:val="20"/>
                <w:szCs w:val="20"/>
              </w:rPr>
            </w:pPr>
          </w:p>
        </w:tc>
        <w:tc>
          <w:tcPr>
            <w:tcW w:w="2067" w:type="dxa"/>
            <w:tcBorders>
              <w:top w:val="single" w:sz="8" w:space="0" w:color="auto"/>
              <w:left w:val="nil"/>
              <w:bottom w:val="single" w:sz="8" w:space="0" w:color="auto"/>
              <w:right w:val="nil"/>
            </w:tcBorders>
            <w:noWrap/>
            <w:tcMar>
              <w:top w:w="0" w:type="dxa"/>
              <w:left w:w="108" w:type="dxa"/>
              <w:bottom w:w="0" w:type="dxa"/>
              <w:right w:w="108" w:type="dxa"/>
            </w:tcMar>
            <w:vAlign w:val="center"/>
            <w:hideMark/>
          </w:tcPr>
          <w:p w14:paraId="2856769E" w14:textId="77777777" w:rsidR="0062250D" w:rsidRPr="00A57F4E" w:rsidRDefault="0062250D" w:rsidP="00801896">
            <w:pPr>
              <w:jc w:val="center"/>
              <w:rPr>
                <w:rFonts w:ascii="Calibri" w:hAnsi="Calibri" w:cs="Calibri"/>
                <w:sz w:val="20"/>
                <w:szCs w:val="20"/>
              </w:rPr>
            </w:pPr>
            <w:r w:rsidRPr="00A57F4E">
              <w:rPr>
                <w:rFonts w:ascii="Arial" w:hAnsi="Arial" w:cs="Arial"/>
                <w:sz w:val="20"/>
                <w:szCs w:val="20"/>
              </w:rPr>
              <w:t>£</w:t>
            </w:r>
          </w:p>
        </w:tc>
      </w:tr>
      <w:tr w:rsidR="0062250D" w:rsidRPr="00A57F4E" w14:paraId="05C50A3B" w14:textId="77777777" w:rsidTr="00801896">
        <w:trPr>
          <w:trHeight w:val="159"/>
        </w:trPr>
        <w:tc>
          <w:tcPr>
            <w:tcW w:w="1265" w:type="dxa"/>
            <w:noWrap/>
            <w:tcMar>
              <w:top w:w="0" w:type="dxa"/>
              <w:left w:w="108" w:type="dxa"/>
              <w:bottom w:w="0" w:type="dxa"/>
              <w:right w:w="108" w:type="dxa"/>
            </w:tcMar>
            <w:vAlign w:val="bottom"/>
            <w:hideMark/>
          </w:tcPr>
          <w:p w14:paraId="6A9452CD" w14:textId="77777777" w:rsidR="0062250D" w:rsidRPr="00A57F4E" w:rsidRDefault="0062250D" w:rsidP="00801896">
            <w:pPr>
              <w:rPr>
                <w:sz w:val="20"/>
                <w:szCs w:val="20"/>
              </w:rPr>
            </w:pPr>
            <w:r w:rsidRPr="00A57F4E">
              <w:rPr>
                <w:rFonts w:ascii="Arial" w:hAnsi="Arial" w:cs="Arial"/>
                <w:sz w:val="20"/>
                <w:szCs w:val="20"/>
              </w:rPr>
              <w:t>April</w:t>
            </w:r>
          </w:p>
        </w:tc>
        <w:tc>
          <w:tcPr>
            <w:tcW w:w="1898" w:type="dxa"/>
            <w:noWrap/>
            <w:tcMar>
              <w:top w:w="0" w:type="dxa"/>
              <w:left w:w="108" w:type="dxa"/>
              <w:bottom w:w="0" w:type="dxa"/>
              <w:right w:w="108" w:type="dxa"/>
            </w:tcMar>
            <w:vAlign w:val="bottom"/>
            <w:hideMark/>
          </w:tcPr>
          <w:p w14:paraId="57396FF1" w14:textId="77777777" w:rsidR="0062250D" w:rsidRPr="00A57F4E" w:rsidRDefault="0062250D" w:rsidP="00801896">
            <w:pPr>
              <w:jc w:val="center"/>
              <w:rPr>
                <w:sz w:val="20"/>
                <w:szCs w:val="20"/>
              </w:rPr>
            </w:pPr>
            <w:r w:rsidRPr="00A57F4E">
              <w:rPr>
                <w:rFonts w:ascii="Arial" w:hAnsi="Arial" w:cs="Arial"/>
                <w:sz w:val="20"/>
                <w:szCs w:val="20"/>
              </w:rPr>
              <w:t>28,901,069</w:t>
            </w:r>
          </w:p>
        </w:tc>
        <w:tc>
          <w:tcPr>
            <w:tcW w:w="339" w:type="dxa"/>
            <w:noWrap/>
            <w:tcMar>
              <w:top w:w="0" w:type="dxa"/>
              <w:left w:w="108" w:type="dxa"/>
              <w:bottom w:w="0" w:type="dxa"/>
              <w:right w:w="108" w:type="dxa"/>
            </w:tcMar>
            <w:vAlign w:val="bottom"/>
            <w:hideMark/>
          </w:tcPr>
          <w:p w14:paraId="518858DA" w14:textId="77777777" w:rsidR="0062250D" w:rsidRPr="00A57F4E" w:rsidRDefault="0062250D" w:rsidP="00801896">
            <w:pPr>
              <w:jc w:val="right"/>
              <w:rPr>
                <w:sz w:val="20"/>
                <w:szCs w:val="20"/>
              </w:rPr>
            </w:pPr>
            <w:r w:rsidRPr="00A57F4E">
              <w:rPr>
                <w:rFonts w:ascii="Arial" w:hAnsi="Arial" w:cs="Arial"/>
                <w:sz w:val="20"/>
                <w:szCs w:val="20"/>
              </w:rPr>
              <w:t>x</w:t>
            </w:r>
          </w:p>
        </w:tc>
        <w:tc>
          <w:tcPr>
            <w:tcW w:w="1266" w:type="dxa"/>
            <w:noWrap/>
            <w:tcMar>
              <w:top w:w="0" w:type="dxa"/>
              <w:left w:w="108" w:type="dxa"/>
              <w:bottom w:w="0" w:type="dxa"/>
              <w:right w:w="108" w:type="dxa"/>
            </w:tcMar>
            <w:vAlign w:val="bottom"/>
            <w:hideMark/>
          </w:tcPr>
          <w:p w14:paraId="76C57709" w14:textId="77777777" w:rsidR="0062250D" w:rsidRPr="00A57F4E" w:rsidRDefault="0062250D" w:rsidP="00801896">
            <w:pPr>
              <w:jc w:val="center"/>
              <w:rPr>
                <w:sz w:val="20"/>
                <w:szCs w:val="20"/>
              </w:rPr>
            </w:pPr>
            <w:r w:rsidRPr="00A57F4E">
              <w:rPr>
                <w:rFonts w:ascii="Arial" w:hAnsi="Arial" w:cs="Arial"/>
                <w:sz w:val="20"/>
                <w:szCs w:val="20"/>
              </w:rPr>
              <w:t>24</w:t>
            </w:r>
          </w:p>
        </w:tc>
        <w:tc>
          <w:tcPr>
            <w:tcW w:w="274" w:type="dxa"/>
            <w:noWrap/>
            <w:tcMar>
              <w:top w:w="0" w:type="dxa"/>
              <w:left w:w="108" w:type="dxa"/>
              <w:bottom w:w="0" w:type="dxa"/>
              <w:right w:w="108" w:type="dxa"/>
            </w:tcMar>
            <w:vAlign w:val="bottom"/>
            <w:hideMark/>
          </w:tcPr>
          <w:p w14:paraId="10749E4A" w14:textId="77777777" w:rsidR="0062250D" w:rsidRPr="00A57F4E" w:rsidRDefault="0062250D" w:rsidP="00801896">
            <w:pPr>
              <w:rPr>
                <w:sz w:val="20"/>
                <w:szCs w:val="20"/>
              </w:rPr>
            </w:pPr>
          </w:p>
        </w:tc>
        <w:tc>
          <w:tcPr>
            <w:tcW w:w="1985" w:type="dxa"/>
            <w:noWrap/>
            <w:tcMar>
              <w:top w:w="0" w:type="dxa"/>
              <w:left w:w="108" w:type="dxa"/>
              <w:bottom w:w="0" w:type="dxa"/>
              <w:right w:w="108" w:type="dxa"/>
            </w:tcMar>
            <w:vAlign w:val="bottom"/>
            <w:hideMark/>
          </w:tcPr>
          <w:p w14:paraId="64E946D6" w14:textId="77777777" w:rsidR="0062250D" w:rsidRPr="00A57F4E" w:rsidRDefault="0062250D" w:rsidP="00801896">
            <w:pPr>
              <w:rPr>
                <w:rFonts w:ascii="Calibri" w:hAnsi="Calibri" w:cs="Calibri"/>
                <w:sz w:val="20"/>
                <w:szCs w:val="20"/>
              </w:rPr>
            </w:pPr>
            <w:r w:rsidRPr="00A57F4E">
              <w:rPr>
                <w:rFonts w:ascii="Arial" w:hAnsi="Arial" w:cs="Arial"/>
                <w:sz w:val="20"/>
                <w:szCs w:val="20"/>
              </w:rPr>
              <w:t xml:space="preserve">+       7,766,667 </w:t>
            </w:r>
          </w:p>
        </w:tc>
        <w:tc>
          <w:tcPr>
            <w:tcW w:w="392" w:type="dxa"/>
            <w:noWrap/>
            <w:tcMar>
              <w:top w:w="0" w:type="dxa"/>
              <w:left w:w="108" w:type="dxa"/>
              <w:bottom w:w="0" w:type="dxa"/>
              <w:right w:w="108" w:type="dxa"/>
            </w:tcMar>
            <w:vAlign w:val="bottom"/>
            <w:hideMark/>
          </w:tcPr>
          <w:p w14:paraId="644F644B" w14:textId="77777777" w:rsidR="0062250D" w:rsidRPr="00A57F4E" w:rsidRDefault="0062250D" w:rsidP="00801896">
            <w:pPr>
              <w:rPr>
                <w:sz w:val="20"/>
                <w:szCs w:val="20"/>
              </w:rPr>
            </w:pPr>
            <w:r w:rsidRPr="00A57F4E">
              <w:rPr>
                <w:rFonts w:ascii="Arial" w:hAnsi="Arial" w:cs="Arial"/>
                <w:sz w:val="20"/>
                <w:szCs w:val="20"/>
              </w:rPr>
              <w:t xml:space="preserve"> = </w:t>
            </w:r>
          </w:p>
        </w:tc>
        <w:tc>
          <w:tcPr>
            <w:tcW w:w="2067" w:type="dxa"/>
            <w:noWrap/>
            <w:tcMar>
              <w:top w:w="0" w:type="dxa"/>
              <w:left w:w="108" w:type="dxa"/>
              <w:bottom w:w="0" w:type="dxa"/>
              <w:right w:w="108" w:type="dxa"/>
            </w:tcMar>
            <w:vAlign w:val="bottom"/>
            <w:hideMark/>
          </w:tcPr>
          <w:p w14:paraId="54C7884E" w14:textId="77777777" w:rsidR="0062250D" w:rsidRPr="00A57F4E" w:rsidRDefault="0062250D" w:rsidP="00801896">
            <w:pPr>
              <w:jc w:val="right"/>
              <w:rPr>
                <w:sz w:val="20"/>
                <w:szCs w:val="20"/>
              </w:rPr>
            </w:pPr>
            <w:r w:rsidRPr="00A57F4E">
              <w:rPr>
                <w:rFonts w:ascii="Arial" w:hAnsi="Arial" w:cs="Arial"/>
                <w:sz w:val="20"/>
                <w:szCs w:val="20"/>
              </w:rPr>
              <w:t xml:space="preserve">        701,392,328 </w:t>
            </w:r>
          </w:p>
        </w:tc>
      </w:tr>
      <w:tr w:rsidR="0062250D" w:rsidRPr="00A57F4E" w14:paraId="7145FA10" w14:textId="77777777" w:rsidTr="00801896">
        <w:trPr>
          <w:trHeight w:val="264"/>
        </w:trPr>
        <w:tc>
          <w:tcPr>
            <w:tcW w:w="1265" w:type="dxa"/>
            <w:noWrap/>
            <w:tcMar>
              <w:top w:w="0" w:type="dxa"/>
              <w:left w:w="108" w:type="dxa"/>
              <w:bottom w:w="0" w:type="dxa"/>
              <w:right w:w="108" w:type="dxa"/>
            </w:tcMar>
            <w:vAlign w:val="bottom"/>
            <w:hideMark/>
          </w:tcPr>
          <w:p w14:paraId="73263081" w14:textId="77777777" w:rsidR="0062250D" w:rsidRPr="00A57F4E" w:rsidRDefault="0062250D" w:rsidP="00801896">
            <w:pPr>
              <w:rPr>
                <w:sz w:val="20"/>
                <w:szCs w:val="20"/>
              </w:rPr>
            </w:pPr>
            <w:r w:rsidRPr="00A57F4E">
              <w:rPr>
                <w:rFonts w:ascii="Arial" w:hAnsi="Arial" w:cs="Arial"/>
                <w:sz w:val="20"/>
                <w:szCs w:val="20"/>
              </w:rPr>
              <w:t>May</w:t>
            </w:r>
          </w:p>
        </w:tc>
        <w:tc>
          <w:tcPr>
            <w:tcW w:w="1898" w:type="dxa"/>
            <w:noWrap/>
            <w:tcMar>
              <w:top w:w="0" w:type="dxa"/>
              <w:left w:w="108" w:type="dxa"/>
              <w:bottom w:w="0" w:type="dxa"/>
              <w:right w:w="108" w:type="dxa"/>
            </w:tcMar>
            <w:vAlign w:val="bottom"/>
            <w:hideMark/>
          </w:tcPr>
          <w:p w14:paraId="1B1FB21C" w14:textId="77777777" w:rsidR="0062250D" w:rsidRPr="00A57F4E" w:rsidRDefault="0062250D" w:rsidP="00801896">
            <w:pPr>
              <w:jc w:val="center"/>
              <w:rPr>
                <w:sz w:val="20"/>
                <w:szCs w:val="20"/>
              </w:rPr>
            </w:pPr>
            <w:r w:rsidRPr="00A57F4E">
              <w:rPr>
                <w:rFonts w:ascii="Arial" w:hAnsi="Arial" w:cs="Arial"/>
                <w:sz w:val="20"/>
                <w:szCs w:val="20"/>
              </w:rPr>
              <w:t>29,017,299</w:t>
            </w:r>
          </w:p>
        </w:tc>
        <w:tc>
          <w:tcPr>
            <w:tcW w:w="339" w:type="dxa"/>
            <w:noWrap/>
            <w:tcMar>
              <w:top w:w="0" w:type="dxa"/>
              <w:left w:w="108" w:type="dxa"/>
              <w:bottom w:w="0" w:type="dxa"/>
              <w:right w:w="108" w:type="dxa"/>
            </w:tcMar>
            <w:vAlign w:val="bottom"/>
            <w:hideMark/>
          </w:tcPr>
          <w:p w14:paraId="2A00AFB8" w14:textId="77777777" w:rsidR="0062250D" w:rsidRPr="00A57F4E" w:rsidRDefault="0062250D" w:rsidP="00801896">
            <w:pPr>
              <w:jc w:val="right"/>
              <w:rPr>
                <w:sz w:val="20"/>
                <w:szCs w:val="20"/>
              </w:rPr>
            </w:pPr>
            <w:r w:rsidRPr="00A57F4E">
              <w:rPr>
                <w:rFonts w:ascii="Arial" w:hAnsi="Arial" w:cs="Arial"/>
                <w:sz w:val="20"/>
                <w:szCs w:val="20"/>
              </w:rPr>
              <w:t>x</w:t>
            </w:r>
          </w:p>
        </w:tc>
        <w:tc>
          <w:tcPr>
            <w:tcW w:w="1266" w:type="dxa"/>
            <w:noWrap/>
            <w:tcMar>
              <w:top w:w="0" w:type="dxa"/>
              <w:left w:w="108" w:type="dxa"/>
              <w:bottom w:w="0" w:type="dxa"/>
              <w:right w:w="108" w:type="dxa"/>
            </w:tcMar>
            <w:vAlign w:val="bottom"/>
            <w:hideMark/>
          </w:tcPr>
          <w:p w14:paraId="7761ED9F" w14:textId="77777777" w:rsidR="0062250D" w:rsidRPr="00A57F4E" w:rsidRDefault="0062250D" w:rsidP="00801896">
            <w:pPr>
              <w:jc w:val="center"/>
              <w:rPr>
                <w:sz w:val="20"/>
                <w:szCs w:val="20"/>
              </w:rPr>
            </w:pPr>
            <w:r w:rsidRPr="00A57F4E">
              <w:rPr>
                <w:rFonts w:ascii="Arial" w:hAnsi="Arial" w:cs="Arial"/>
                <w:sz w:val="20"/>
                <w:szCs w:val="20"/>
              </w:rPr>
              <w:t>24</w:t>
            </w:r>
          </w:p>
        </w:tc>
        <w:tc>
          <w:tcPr>
            <w:tcW w:w="274" w:type="dxa"/>
            <w:noWrap/>
            <w:tcMar>
              <w:top w:w="0" w:type="dxa"/>
              <w:left w:w="108" w:type="dxa"/>
              <w:bottom w:w="0" w:type="dxa"/>
              <w:right w:w="108" w:type="dxa"/>
            </w:tcMar>
            <w:vAlign w:val="bottom"/>
            <w:hideMark/>
          </w:tcPr>
          <w:p w14:paraId="02E5ED6B" w14:textId="77777777" w:rsidR="0062250D" w:rsidRPr="00A57F4E" w:rsidRDefault="0062250D" w:rsidP="00801896">
            <w:pPr>
              <w:rPr>
                <w:sz w:val="20"/>
                <w:szCs w:val="20"/>
              </w:rPr>
            </w:pPr>
          </w:p>
        </w:tc>
        <w:tc>
          <w:tcPr>
            <w:tcW w:w="1985" w:type="dxa"/>
            <w:noWrap/>
            <w:tcMar>
              <w:top w:w="0" w:type="dxa"/>
              <w:left w:w="108" w:type="dxa"/>
              <w:bottom w:w="0" w:type="dxa"/>
              <w:right w:w="108" w:type="dxa"/>
            </w:tcMar>
            <w:vAlign w:val="bottom"/>
            <w:hideMark/>
          </w:tcPr>
          <w:p w14:paraId="49D1D0B3" w14:textId="77777777" w:rsidR="0062250D" w:rsidRPr="00A57F4E" w:rsidRDefault="0062250D" w:rsidP="00801896">
            <w:pPr>
              <w:rPr>
                <w:rFonts w:ascii="Calibri" w:hAnsi="Calibri" w:cs="Calibri"/>
                <w:sz w:val="20"/>
                <w:szCs w:val="20"/>
              </w:rPr>
            </w:pPr>
            <w:r w:rsidRPr="00A57F4E">
              <w:rPr>
                <w:rFonts w:ascii="Arial" w:hAnsi="Arial" w:cs="Arial"/>
                <w:sz w:val="20"/>
                <w:szCs w:val="20"/>
              </w:rPr>
              <w:t xml:space="preserve">+       7,766,667 </w:t>
            </w:r>
          </w:p>
        </w:tc>
        <w:tc>
          <w:tcPr>
            <w:tcW w:w="392" w:type="dxa"/>
            <w:noWrap/>
            <w:tcMar>
              <w:top w:w="0" w:type="dxa"/>
              <w:left w:w="108" w:type="dxa"/>
              <w:bottom w:w="0" w:type="dxa"/>
              <w:right w:w="108" w:type="dxa"/>
            </w:tcMar>
            <w:vAlign w:val="bottom"/>
            <w:hideMark/>
          </w:tcPr>
          <w:p w14:paraId="11405107" w14:textId="77777777" w:rsidR="0062250D" w:rsidRPr="00A57F4E" w:rsidRDefault="0062250D" w:rsidP="00801896">
            <w:pPr>
              <w:rPr>
                <w:sz w:val="20"/>
                <w:szCs w:val="20"/>
              </w:rPr>
            </w:pPr>
            <w:r w:rsidRPr="00A57F4E">
              <w:rPr>
                <w:rFonts w:ascii="Arial" w:hAnsi="Arial" w:cs="Arial"/>
                <w:sz w:val="20"/>
                <w:szCs w:val="20"/>
              </w:rPr>
              <w:t xml:space="preserve"> = </w:t>
            </w:r>
          </w:p>
        </w:tc>
        <w:tc>
          <w:tcPr>
            <w:tcW w:w="2067" w:type="dxa"/>
            <w:noWrap/>
            <w:tcMar>
              <w:top w:w="0" w:type="dxa"/>
              <w:left w:w="108" w:type="dxa"/>
              <w:bottom w:w="0" w:type="dxa"/>
              <w:right w:w="108" w:type="dxa"/>
            </w:tcMar>
            <w:vAlign w:val="bottom"/>
            <w:hideMark/>
          </w:tcPr>
          <w:p w14:paraId="6B713688" w14:textId="77777777" w:rsidR="0062250D" w:rsidRPr="00A57F4E" w:rsidRDefault="0062250D" w:rsidP="00801896">
            <w:pPr>
              <w:jc w:val="right"/>
              <w:rPr>
                <w:sz w:val="20"/>
                <w:szCs w:val="20"/>
              </w:rPr>
            </w:pPr>
            <w:r w:rsidRPr="00A57F4E">
              <w:rPr>
                <w:rFonts w:ascii="Arial" w:hAnsi="Arial" w:cs="Arial"/>
                <w:sz w:val="20"/>
                <w:szCs w:val="20"/>
              </w:rPr>
              <w:t xml:space="preserve">        704,181,837 </w:t>
            </w:r>
          </w:p>
        </w:tc>
      </w:tr>
      <w:tr w:rsidR="0062250D" w:rsidRPr="00A57F4E" w14:paraId="7FA83B62" w14:textId="77777777" w:rsidTr="00801896">
        <w:trPr>
          <w:trHeight w:val="264"/>
        </w:trPr>
        <w:tc>
          <w:tcPr>
            <w:tcW w:w="1265" w:type="dxa"/>
            <w:noWrap/>
            <w:tcMar>
              <w:top w:w="0" w:type="dxa"/>
              <w:left w:w="108" w:type="dxa"/>
              <w:bottom w:w="0" w:type="dxa"/>
              <w:right w:w="108" w:type="dxa"/>
            </w:tcMar>
            <w:vAlign w:val="bottom"/>
            <w:hideMark/>
          </w:tcPr>
          <w:p w14:paraId="24971EFE" w14:textId="77777777" w:rsidR="0062250D" w:rsidRPr="00A57F4E" w:rsidRDefault="0062250D" w:rsidP="00801896">
            <w:pPr>
              <w:rPr>
                <w:sz w:val="20"/>
                <w:szCs w:val="20"/>
              </w:rPr>
            </w:pPr>
            <w:r w:rsidRPr="00A57F4E">
              <w:rPr>
                <w:rFonts w:ascii="Arial" w:hAnsi="Arial" w:cs="Arial"/>
                <w:sz w:val="20"/>
                <w:szCs w:val="20"/>
              </w:rPr>
              <w:t>June</w:t>
            </w:r>
          </w:p>
        </w:tc>
        <w:tc>
          <w:tcPr>
            <w:tcW w:w="1898" w:type="dxa"/>
            <w:noWrap/>
            <w:tcMar>
              <w:top w:w="0" w:type="dxa"/>
              <w:left w:w="108" w:type="dxa"/>
              <w:bottom w:w="0" w:type="dxa"/>
              <w:right w:w="108" w:type="dxa"/>
            </w:tcMar>
            <w:vAlign w:val="bottom"/>
            <w:hideMark/>
          </w:tcPr>
          <w:p w14:paraId="548CAE65" w14:textId="77777777" w:rsidR="0062250D" w:rsidRPr="00A57F4E" w:rsidRDefault="0062250D" w:rsidP="00801896">
            <w:pPr>
              <w:jc w:val="center"/>
              <w:rPr>
                <w:sz w:val="20"/>
                <w:szCs w:val="20"/>
              </w:rPr>
            </w:pPr>
            <w:r w:rsidRPr="00A57F4E">
              <w:rPr>
                <w:rFonts w:ascii="Arial" w:hAnsi="Arial" w:cs="Arial"/>
                <w:sz w:val="20"/>
                <w:szCs w:val="20"/>
              </w:rPr>
              <w:t>27,901,760</w:t>
            </w:r>
          </w:p>
        </w:tc>
        <w:tc>
          <w:tcPr>
            <w:tcW w:w="339" w:type="dxa"/>
            <w:noWrap/>
            <w:tcMar>
              <w:top w:w="0" w:type="dxa"/>
              <w:left w:w="108" w:type="dxa"/>
              <w:bottom w:w="0" w:type="dxa"/>
              <w:right w:w="108" w:type="dxa"/>
            </w:tcMar>
            <w:vAlign w:val="bottom"/>
            <w:hideMark/>
          </w:tcPr>
          <w:p w14:paraId="340B3468" w14:textId="77777777" w:rsidR="0062250D" w:rsidRPr="00A57F4E" w:rsidRDefault="0062250D" w:rsidP="00801896">
            <w:pPr>
              <w:jc w:val="right"/>
              <w:rPr>
                <w:sz w:val="20"/>
                <w:szCs w:val="20"/>
              </w:rPr>
            </w:pPr>
            <w:r w:rsidRPr="00A57F4E">
              <w:rPr>
                <w:rFonts w:ascii="Arial" w:hAnsi="Arial" w:cs="Arial"/>
                <w:sz w:val="20"/>
                <w:szCs w:val="20"/>
              </w:rPr>
              <w:t>x</w:t>
            </w:r>
          </w:p>
        </w:tc>
        <w:tc>
          <w:tcPr>
            <w:tcW w:w="1266" w:type="dxa"/>
            <w:noWrap/>
            <w:tcMar>
              <w:top w:w="0" w:type="dxa"/>
              <w:left w:w="108" w:type="dxa"/>
              <w:bottom w:w="0" w:type="dxa"/>
              <w:right w:w="108" w:type="dxa"/>
            </w:tcMar>
            <w:vAlign w:val="bottom"/>
            <w:hideMark/>
          </w:tcPr>
          <w:p w14:paraId="2CE639D9" w14:textId="77777777" w:rsidR="0062250D" w:rsidRPr="00A57F4E" w:rsidRDefault="0062250D" w:rsidP="00801896">
            <w:pPr>
              <w:jc w:val="center"/>
              <w:rPr>
                <w:sz w:val="20"/>
                <w:szCs w:val="20"/>
              </w:rPr>
            </w:pPr>
            <w:r w:rsidRPr="00A57F4E">
              <w:rPr>
                <w:rFonts w:ascii="Arial" w:hAnsi="Arial" w:cs="Arial"/>
                <w:sz w:val="20"/>
                <w:szCs w:val="20"/>
              </w:rPr>
              <w:t>26</w:t>
            </w:r>
          </w:p>
        </w:tc>
        <w:tc>
          <w:tcPr>
            <w:tcW w:w="274" w:type="dxa"/>
            <w:noWrap/>
            <w:tcMar>
              <w:top w:w="0" w:type="dxa"/>
              <w:left w:w="108" w:type="dxa"/>
              <w:bottom w:w="0" w:type="dxa"/>
              <w:right w:w="108" w:type="dxa"/>
            </w:tcMar>
            <w:vAlign w:val="bottom"/>
            <w:hideMark/>
          </w:tcPr>
          <w:p w14:paraId="1745F8ED" w14:textId="77777777" w:rsidR="0062250D" w:rsidRPr="00A57F4E" w:rsidRDefault="0062250D" w:rsidP="00801896">
            <w:pPr>
              <w:rPr>
                <w:sz w:val="20"/>
                <w:szCs w:val="20"/>
              </w:rPr>
            </w:pPr>
          </w:p>
        </w:tc>
        <w:tc>
          <w:tcPr>
            <w:tcW w:w="1985" w:type="dxa"/>
            <w:noWrap/>
            <w:tcMar>
              <w:top w:w="0" w:type="dxa"/>
              <w:left w:w="108" w:type="dxa"/>
              <w:bottom w:w="0" w:type="dxa"/>
              <w:right w:w="108" w:type="dxa"/>
            </w:tcMar>
            <w:vAlign w:val="bottom"/>
            <w:hideMark/>
          </w:tcPr>
          <w:p w14:paraId="726B4D53" w14:textId="77777777" w:rsidR="0062250D" w:rsidRPr="00A57F4E" w:rsidRDefault="0062250D" w:rsidP="00801896">
            <w:pPr>
              <w:rPr>
                <w:rFonts w:ascii="Calibri" w:hAnsi="Calibri" w:cs="Calibri"/>
                <w:sz w:val="20"/>
                <w:szCs w:val="20"/>
              </w:rPr>
            </w:pPr>
            <w:r w:rsidRPr="00A57F4E">
              <w:rPr>
                <w:rFonts w:ascii="Arial" w:hAnsi="Arial" w:cs="Arial"/>
                <w:sz w:val="20"/>
                <w:szCs w:val="20"/>
              </w:rPr>
              <w:t xml:space="preserve">+       7,766,667 </w:t>
            </w:r>
          </w:p>
        </w:tc>
        <w:tc>
          <w:tcPr>
            <w:tcW w:w="392" w:type="dxa"/>
            <w:noWrap/>
            <w:tcMar>
              <w:top w:w="0" w:type="dxa"/>
              <w:left w:w="108" w:type="dxa"/>
              <w:bottom w:w="0" w:type="dxa"/>
              <w:right w:w="108" w:type="dxa"/>
            </w:tcMar>
            <w:vAlign w:val="bottom"/>
            <w:hideMark/>
          </w:tcPr>
          <w:p w14:paraId="19824FF5" w14:textId="77777777" w:rsidR="0062250D" w:rsidRPr="00A57F4E" w:rsidRDefault="0062250D" w:rsidP="00801896">
            <w:pPr>
              <w:rPr>
                <w:sz w:val="20"/>
                <w:szCs w:val="20"/>
              </w:rPr>
            </w:pPr>
            <w:r w:rsidRPr="00A57F4E">
              <w:rPr>
                <w:rFonts w:ascii="Arial" w:hAnsi="Arial" w:cs="Arial"/>
                <w:sz w:val="20"/>
                <w:szCs w:val="20"/>
              </w:rPr>
              <w:t xml:space="preserve"> = </w:t>
            </w:r>
          </w:p>
        </w:tc>
        <w:tc>
          <w:tcPr>
            <w:tcW w:w="2067" w:type="dxa"/>
            <w:noWrap/>
            <w:tcMar>
              <w:top w:w="0" w:type="dxa"/>
              <w:left w:w="108" w:type="dxa"/>
              <w:bottom w:w="0" w:type="dxa"/>
              <w:right w:w="108" w:type="dxa"/>
            </w:tcMar>
            <w:vAlign w:val="bottom"/>
            <w:hideMark/>
          </w:tcPr>
          <w:p w14:paraId="37422593" w14:textId="77777777" w:rsidR="0062250D" w:rsidRPr="00A57F4E" w:rsidRDefault="0062250D" w:rsidP="00801896">
            <w:pPr>
              <w:jc w:val="right"/>
              <w:rPr>
                <w:sz w:val="20"/>
                <w:szCs w:val="20"/>
              </w:rPr>
            </w:pPr>
            <w:r w:rsidRPr="00A57F4E">
              <w:rPr>
                <w:rFonts w:ascii="Arial" w:hAnsi="Arial" w:cs="Arial"/>
                <w:sz w:val="20"/>
                <w:szCs w:val="20"/>
              </w:rPr>
              <w:t xml:space="preserve">        733,212,426 </w:t>
            </w:r>
          </w:p>
        </w:tc>
      </w:tr>
      <w:tr w:rsidR="0062250D" w:rsidRPr="00A57F4E" w14:paraId="6322D0AD" w14:textId="77777777" w:rsidTr="00801896">
        <w:trPr>
          <w:trHeight w:val="264"/>
        </w:trPr>
        <w:tc>
          <w:tcPr>
            <w:tcW w:w="1265" w:type="dxa"/>
            <w:noWrap/>
            <w:tcMar>
              <w:top w:w="0" w:type="dxa"/>
              <w:left w:w="108" w:type="dxa"/>
              <w:bottom w:w="0" w:type="dxa"/>
              <w:right w:w="108" w:type="dxa"/>
            </w:tcMar>
            <w:vAlign w:val="bottom"/>
            <w:hideMark/>
          </w:tcPr>
          <w:p w14:paraId="73FB2DA3" w14:textId="77777777" w:rsidR="0062250D" w:rsidRPr="00A57F4E" w:rsidRDefault="0062250D" w:rsidP="00801896">
            <w:pPr>
              <w:rPr>
                <w:sz w:val="20"/>
                <w:szCs w:val="20"/>
              </w:rPr>
            </w:pPr>
            <w:r w:rsidRPr="00A57F4E">
              <w:rPr>
                <w:rFonts w:ascii="Arial" w:hAnsi="Arial" w:cs="Arial"/>
                <w:sz w:val="20"/>
                <w:szCs w:val="20"/>
              </w:rPr>
              <w:t>July</w:t>
            </w:r>
          </w:p>
        </w:tc>
        <w:tc>
          <w:tcPr>
            <w:tcW w:w="1898" w:type="dxa"/>
            <w:noWrap/>
            <w:tcMar>
              <w:top w:w="0" w:type="dxa"/>
              <w:left w:w="108" w:type="dxa"/>
              <w:bottom w:w="0" w:type="dxa"/>
              <w:right w:w="108" w:type="dxa"/>
            </w:tcMar>
            <w:vAlign w:val="bottom"/>
            <w:hideMark/>
          </w:tcPr>
          <w:p w14:paraId="0612BCFB" w14:textId="77777777" w:rsidR="0062250D" w:rsidRPr="00A57F4E" w:rsidRDefault="0062250D" w:rsidP="00801896">
            <w:pPr>
              <w:jc w:val="center"/>
              <w:rPr>
                <w:sz w:val="20"/>
                <w:szCs w:val="20"/>
              </w:rPr>
            </w:pPr>
            <w:r w:rsidRPr="00A57F4E">
              <w:rPr>
                <w:rFonts w:ascii="Arial" w:hAnsi="Arial" w:cs="Arial"/>
                <w:sz w:val="20"/>
                <w:szCs w:val="20"/>
              </w:rPr>
              <w:t>27,333,786</w:t>
            </w:r>
          </w:p>
        </w:tc>
        <w:tc>
          <w:tcPr>
            <w:tcW w:w="339" w:type="dxa"/>
            <w:noWrap/>
            <w:tcMar>
              <w:top w:w="0" w:type="dxa"/>
              <w:left w:w="108" w:type="dxa"/>
              <w:bottom w:w="0" w:type="dxa"/>
              <w:right w:w="108" w:type="dxa"/>
            </w:tcMar>
            <w:vAlign w:val="bottom"/>
            <w:hideMark/>
          </w:tcPr>
          <w:p w14:paraId="17E898EA" w14:textId="77777777" w:rsidR="0062250D" w:rsidRPr="00A57F4E" w:rsidRDefault="0062250D" w:rsidP="00801896">
            <w:pPr>
              <w:jc w:val="right"/>
              <w:rPr>
                <w:sz w:val="20"/>
                <w:szCs w:val="20"/>
              </w:rPr>
            </w:pPr>
            <w:r w:rsidRPr="00A57F4E">
              <w:rPr>
                <w:rFonts w:ascii="Arial" w:hAnsi="Arial" w:cs="Arial"/>
                <w:sz w:val="20"/>
                <w:szCs w:val="20"/>
              </w:rPr>
              <w:t>x</w:t>
            </w:r>
          </w:p>
        </w:tc>
        <w:tc>
          <w:tcPr>
            <w:tcW w:w="1266" w:type="dxa"/>
            <w:noWrap/>
            <w:tcMar>
              <w:top w:w="0" w:type="dxa"/>
              <w:left w:w="108" w:type="dxa"/>
              <w:bottom w:w="0" w:type="dxa"/>
              <w:right w:w="108" w:type="dxa"/>
            </w:tcMar>
            <w:vAlign w:val="bottom"/>
            <w:hideMark/>
          </w:tcPr>
          <w:p w14:paraId="513F1788" w14:textId="77777777" w:rsidR="0062250D" w:rsidRPr="00A57F4E" w:rsidRDefault="0062250D" w:rsidP="00801896">
            <w:pPr>
              <w:jc w:val="center"/>
              <w:rPr>
                <w:sz w:val="20"/>
                <w:szCs w:val="20"/>
              </w:rPr>
            </w:pPr>
            <w:r w:rsidRPr="00A57F4E">
              <w:rPr>
                <w:rFonts w:ascii="Arial" w:hAnsi="Arial" w:cs="Arial"/>
                <w:sz w:val="20"/>
                <w:szCs w:val="20"/>
              </w:rPr>
              <w:t>27</w:t>
            </w:r>
          </w:p>
        </w:tc>
        <w:tc>
          <w:tcPr>
            <w:tcW w:w="274" w:type="dxa"/>
            <w:noWrap/>
            <w:tcMar>
              <w:top w:w="0" w:type="dxa"/>
              <w:left w:w="108" w:type="dxa"/>
              <w:bottom w:w="0" w:type="dxa"/>
              <w:right w:w="108" w:type="dxa"/>
            </w:tcMar>
            <w:vAlign w:val="bottom"/>
            <w:hideMark/>
          </w:tcPr>
          <w:p w14:paraId="7C76A407" w14:textId="77777777" w:rsidR="0062250D" w:rsidRPr="00A57F4E" w:rsidRDefault="0062250D" w:rsidP="00801896">
            <w:pPr>
              <w:rPr>
                <w:sz w:val="20"/>
                <w:szCs w:val="20"/>
              </w:rPr>
            </w:pPr>
          </w:p>
        </w:tc>
        <w:tc>
          <w:tcPr>
            <w:tcW w:w="1985" w:type="dxa"/>
            <w:noWrap/>
            <w:tcMar>
              <w:top w:w="0" w:type="dxa"/>
              <w:left w:w="108" w:type="dxa"/>
              <w:bottom w:w="0" w:type="dxa"/>
              <w:right w:w="108" w:type="dxa"/>
            </w:tcMar>
            <w:vAlign w:val="bottom"/>
            <w:hideMark/>
          </w:tcPr>
          <w:p w14:paraId="6E7FA8C3" w14:textId="77777777" w:rsidR="0062250D" w:rsidRPr="00A57F4E" w:rsidRDefault="0062250D" w:rsidP="00801896">
            <w:pPr>
              <w:rPr>
                <w:rFonts w:ascii="Calibri" w:hAnsi="Calibri" w:cs="Calibri"/>
                <w:sz w:val="20"/>
                <w:szCs w:val="20"/>
              </w:rPr>
            </w:pPr>
            <w:r w:rsidRPr="00A57F4E">
              <w:rPr>
                <w:rFonts w:ascii="Arial" w:hAnsi="Arial" w:cs="Arial"/>
                <w:sz w:val="20"/>
                <w:szCs w:val="20"/>
              </w:rPr>
              <w:t xml:space="preserve">-        8,533,333 </w:t>
            </w:r>
          </w:p>
        </w:tc>
        <w:tc>
          <w:tcPr>
            <w:tcW w:w="392" w:type="dxa"/>
            <w:noWrap/>
            <w:tcMar>
              <w:top w:w="0" w:type="dxa"/>
              <w:left w:w="108" w:type="dxa"/>
              <w:bottom w:w="0" w:type="dxa"/>
              <w:right w:w="108" w:type="dxa"/>
            </w:tcMar>
            <w:vAlign w:val="bottom"/>
            <w:hideMark/>
          </w:tcPr>
          <w:p w14:paraId="327A235F" w14:textId="77777777" w:rsidR="0062250D" w:rsidRPr="00A57F4E" w:rsidRDefault="0062250D" w:rsidP="00801896">
            <w:pPr>
              <w:rPr>
                <w:sz w:val="20"/>
                <w:szCs w:val="20"/>
              </w:rPr>
            </w:pPr>
            <w:r w:rsidRPr="00A57F4E">
              <w:rPr>
                <w:rFonts w:ascii="Arial" w:hAnsi="Arial" w:cs="Arial"/>
                <w:sz w:val="20"/>
                <w:szCs w:val="20"/>
              </w:rPr>
              <w:t xml:space="preserve"> = </w:t>
            </w:r>
          </w:p>
        </w:tc>
        <w:tc>
          <w:tcPr>
            <w:tcW w:w="2067" w:type="dxa"/>
            <w:noWrap/>
            <w:tcMar>
              <w:top w:w="0" w:type="dxa"/>
              <w:left w:w="108" w:type="dxa"/>
              <w:bottom w:w="0" w:type="dxa"/>
              <w:right w:w="108" w:type="dxa"/>
            </w:tcMar>
            <w:vAlign w:val="bottom"/>
            <w:hideMark/>
          </w:tcPr>
          <w:p w14:paraId="12ABC7F6" w14:textId="77777777" w:rsidR="0062250D" w:rsidRPr="00A57F4E" w:rsidRDefault="0062250D" w:rsidP="00801896">
            <w:pPr>
              <w:jc w:val="right"/>
              <w:rPr>
                <w:sz w:val="20"/>
                <w:szCs w:val="20"/>
              </w:rPr>
            </w:pPr>
            <w:r w:rsidRPr="00A57F4E">
              <w:rPr>
                <w:rFonts w:ascii="Arial" w:hAnsi="Arial" w:cs="Arial"/>
                <w:sz w:val="20"/>
                <w:szCs w:val="20"/>
              </w:rPr>
              <w:t xml:space="preserve">        729,478,885 </w:t>
            </w:r>
          </w:p>
        </w:tc>
      </w:tr>
      <w:tr w:rsidR="0062250D" w:rsidRPr="00A57F4E" w14:paraId="1E6C2D38" w14:textId="77777777" w:rsidTr="00801896">
        <w:trPr>
          <w:trHeight w:val="264"/>
        </w:trPr>
        <w:tc>
          <w:tcPr>
            <w:tcW w:w="1265" w:type="dxa"/>
            <w:noWrap/>
            <w:tcMar>
              <w:top w:w="0" w:type="dxa"/>
              <w:left w:w="108" w:type="dxa"/>
              <w:bottom w:w="0" w:type="dxa"/>
              <w:right w:w="108" w:type="dxa"/>
            </w:tcMar>
            <w:vAlign w:val="bottom"/>
            <w:hideMark/>
          </w:tcPr>
          <w:p w14:paraId="49AC7269" w14:textId="77777777" w:rsidR="0062250D" w:rsidRPr="00A57F4E" w:rsidRDefault="0062250D" w:rsidP="00801896">
            <w:pPr>
              <w:rPr>
                <w:sz w:val="20"/>
                <w:szCs w:val="20"/>
              </w:rPr>
            </w:pPr>
            <w:r w:rsidRPr="00A57F4E">
              <w:rPr>
                <w:rFonts w:ascii="Arial" w:hAnsi="Arial" w:cs="Arial"/>
                <w:sz w:val="20"/>
                <w:szCs w:val="20"/>
              </w:rPr>
              <w:t>August</w:t>
            </w:r>
          </w:p>
        </w:tc>
        <w:tc>
          <w:tcPr>
            <w:tcW w:w="1898" w:type="dxa"/>
            <w:noWrap/>
            <w:tcMar>
              <w:top w:w="0" w:type="dxa"/>
              <w:left w:w="108" w:type="dxa"/>
              <w:bottom w:w="0" w:type="dxa"/>
              <w:right w:w="108" w:type="dxa"/>
            </w:tcMar>
            <w:vAlign w:val="bottom"/>
            <w:hideMark/>
          </w:tcPr>
          <w:p w14:paraId="77ADFFC1" w14:textId="77777777" w:rsidR="0062250D" w:rsidRPr="00A57F4E" w:rsidRDefault="0062250D" w:rsidP="00801896">
            <w:pPr>
              <w:jc w:val="center"/>
              <w:rPr>
                <w:sz w:val="20"/>
                <w:szCs w:val="20"/>
              </w:rPr>
            </w:pPr>
            <w:r w:rsidRPr="00A57F4E">
              <w:rPr>
                <w:rFonts w:ascii="Arial" w:hAnsi="Arial" w:cs="Arial"/>
                <w:sz w:val="20"/>
                <w:szCs w:val="20"/>
              </w:rPr>
              <w:t>27,609,775</w:t>
            </w:r>
          </w:p>
        </w:tc>
        <w:tc>
          <w:tcPr>
            <w:tcW w:w="339" w:type="dxa"/>
            <w:noWrap/>
            <w:tcMar>
              <w:top w:w="0" w:type="dxa"/>
              <w:left w:w="108" w:type="dxa"/>
              <w:bottom w:w="0" w:type="dxa"/>
              <w:right w:w="108" w:type="dxa"/>
            </w:tcMar>
            <w:vAlign w:val="bottom"/>
            <w:hideMark/>
          </w:tcPr>
          <w:p w14:paraId="6939989B" w14:textId="77777777" w:rsidR="0062250D" w:rsidRPr="00A57F4E" w:rsidRDefault="0062250D" w:rsidP="00801896">
            <w:pPr>
              <w:jc w:val="right"/>
              <w:rPr>
                <w:sz w:val="20"/>
                <w:szCs w:val="20"/>
              </w:rPr>
            </w:pPr>
            <w:r w:rsidRPr="00A57F4E">
              <w:rPr>
                <w:rFonts w:ascii="Arial" w:hAnsi="Arial" w:cs="Arial"/>
                <w:sz w:val="20"/>
                <w:szCs w:val="20"/>
              </w:rPr>
              <w:t>x</w:t>
            </w:r>
          </w:p>
        </w:tc>
        <w:tc>
          <w:tcPr>
            <w:tcW w:w="1266" w:type="dxa"/>
            <w:noWrap/>
            <w:tcMar>
              <w:top w:w="0" w:type="dxa"/>
              <w:left w:w="108" w:type="dxa"/>
              <w:bottom w:w="0" w:type="dxa"/>
              <w:right w:w="108" w:type="dxa"/>
            </w:tcMar>
            <w:vAlign w:val="bottom"/>
            <w:hideMark/>
          </w:tcPr>
          <w:p w14:paraId="61A05822" w14:textId="77777777" w:rsidR="0062250D" w:rsidRPr="00A57F4E" w:rsidRDefault="0062250D" w:rsidP="00801896">
            <w:pPr>
              <w:jc w:val="center"/>
              <w:rPr>
                <w:sz w:val="20"/>
                <w:szCs w:val="20"/>
              </w:rPr>
            </w:pPr>
            <w:r w:rsidRPr="00A57F4E">
              <w:rPr>
                <w:rFonts w:ascii="Arial" w:hAnsi="Arial" w:cs="Arial"/>
                <w:sz w:val="20"/>
                <w:szCs w:val="20"/>
              </w:rPr>
              <w:t>25</w:t>
            </w:r>
          </w:p>
        </w:tc>
        <w:tc>
          <w:tcPr>
            <w:tcW w:w="274" w:type="dxa"/>
            <w:noWrap/>
            <w:tcMar>
              <w:top w:w="0" w:type="dxa"/>
              <w:left w:w="108" w:type="dxa"/>
              <w:bottom w:w="0" w:type="dxa"/>
              <w:right w:w="108" w:type="dxa"/>
            </w:tcMar>
            <w:vAlign w:val="bottom"/>
            <w:hideMark/>
          </w:tcPr>
          <w:p w14:paraId="5F620AC8" w14:textId="77777777" w:rsidR="0062250D" w:rsidRPr="00A57F4E" w:rsidRDefault="0062250D" w:rsidP="00801896">
            <w:pPr>
              <w:rPr>
                <w:sz w:val="20"/>
                <w:szCs w:val="20"/>
              </w:rPr>
            </w:pPr>
          </w:p>
        </w:tc>
        <w:tc>
          <w:tcPr>
            <w:tcW w:w="1985" w:type="dxa"/>
            <w:noWrap/>
            <w:tcMar>
              <w:top w:w="0" w:type="dxa"/>
              <w:left w:w="108" w:type="dxa"/>
              <w:bottom w:w="0" w:type="dxa"/>
              <w:right w:w="108" w:type="dxa"/>
            </w:tcMar>
            <w:vAlign w:val="bottom"/>
            <w:hideMark/>
          </w:tcPr>
          <w:p w14:paraId="4F449337" w14:textId="77777777" w:rsidR="0062250D" w:rsidRPr="00A57F4E" w:rsidRDefault="0062250D" w:rsidP="00801896">
            <w:pPr>
              <w:rPr>
                <w:rFonts w:ascii="Calibri" w:hAnsi="Calibri" w:cs="Calibri"/>
                <w:sz w:val="20"/>
                <w:szCs w:val="20"/>
              </w:rPr>
            </w:pPr>
            <w:r w:rsidRPr="00A57F4E">
              <w:rPr>
                <w:rFonts w:ascii="Arial" w:hAnsi="Arial" w:cs="Arial"/>
                <w:sz w:val="20"/>
                <w:szCs w:val="20"/>
              </w:rPr>
              <w:t xml:space="preserve">-        8,533,333 </w:t>
            </w:r>
          </w:p>
        </w:tc>
        <w:tc>
          <w:tcPr>
            <w:tcW w:w="392" w:type="dxa"/>
            <w:noWrap/>
            <w:tcMar>
              <w:top w:w="0" w:type="dxa"/>
              <w:left w:w="108" w:type="dxa"/>
              <w:bottom w:w="0" w:type="dxa"/>
              <w:right w:w="108" w:type="dxa"/>
            </w:tcMar>
            <w:vAlign w:val="bottom"/>
            <w:hideMark/>
          </w:tcPr>
          <w:p w14:paraId="14D088CA" w14:textId="77777777" w:rsidR="0062250D" w:rsidRPr="00A57F4E" w:rsidRDefault="0062250D" w:rsidP="00801896">
            <w:pPr>
              <w:rPr>
                <w:sz w:val="20"/>
                <w:szCs w:val="20"/>
              </w:rPr>
            </w:pPr>
            <w:r w:rsidRPr="00A57F4E">
              <w:rPr>
                <w:rFonts w:ascii="Arial" w:hAnsi="Arial" w:cs="Arial"/>
                <w:sz w:val="20"/>
                <w:szCs w:val="20"/>
              </w:rPr>
              <w:t xml:space="preserve"> = </w:t>
            </w:r>
          </w:p>
        </w:tc>
        <w:tc>
          <w:tcPr>
            <w:tcW w:w="2067" w:type="dxa"/>
            <w:noWrap/>
            <w:tcMar>
              <w:top w:w="0" w:type="dxa"/>
              <w:left w:w="108" w:type="dxa"/>
              <w:bottom w:w="0" w:type="dxa"/>
              <w:right w:w="108" w:type="dxa"/>
            </w:tcMar>
            <w:vAlign w:val="bottom"/>
            <w:hideMark/>
          </w:tcPr>
          <w:p w14:paraId="1F1C5EC3" w14:textId="77777777" w:rsidR="0062250D" w:rsidRPr="00A57F4E" w:rsidRDefault="0062250D" w:rsidP="00801896">
            <w:pPr>
              <w:jc w:val="right"/>
              <w:rPr>
                <w:sz w:val="20"/>
                <w:szCs w:val="20"/>
              </w:rPr>
            </w:pPr>
            <w:r w:rsidRPr="00A57F4E">
              <w:rPr>
                <w:rFonts w:ascii="Arial" w:hAnsi="Arial" w:cs="Arial"/>
                <w:sz w:val="20"/>
                <w:szCs w:val="20"/>
              </w:rPr>
              <w:t xml:space="preserve">        681,711,043 </w:t>
            </w:r>
          </w:p>
        </w:tc>
      </w:tr>
      <w:tr w:rsidR="0062250D" w:rsidRPr="00A57F4E" w14:paraId="0C3A1CE7" w14:textId="77777777" w:rsidTr="00801896">
        <w:trPr>
          <w:trHeight w:val="264"/>
        </w:trPr>
        <w:tc>
          <w:tcPr>
            <w:tcW w:w="1265" w:type="dxa"/>
            <w:noWrap/>
            <w:tcMar>
              <w:top w:w="0" w:type="dxa"/>
              <w:left w:w="108" w:type="dxa"/>
              <w:bottom w:w="0" w:type="dxa"/>
              <w:right w:w="108" w:type="dxa"/>
            </w:tcMar>
            <w:vAlign w:val="bottom"/>
            <w:hideMark/>
          </w:tcPr>
          <w:p w14:paraId="370F70AC" w14:textId="77777777" w:rsidR="0062250D" w:rsidRPr="00A57F4E" w:rsidRDefault="0062250D" w:rsidP="00801896">
            <w:pPr>
              <w:rPr>
                <w:sz w:val="20"/>
                <w:szCs w:val="20"/>
              </w:rPr>
            </w:pPr>
            <w:r w:rsidRPr="00A57F4E">
              <w:rPr>
                <w:rFonts w:ascii="Arial" w:hAnsi="Arial" w:cs="Arial"/>
                <w:sz w:val="20"/>
                <w:szCs w:val="20"/>
              </w:rPr>
              <w:t>September</w:t>
            </w:r>
          </w:p>
        </w:tc>
        <w:tc>
          <w:tcPr>
            <w:tcW w:w="1898" w:type="dxa"/>
            <w:noWrap/>
            <w:tcMar>
              <w:top w:w="0" w:type="dxa"/>
              <w:left w:w="108" w:type="dxa"/>
              <w:bottom w:w="0" w:type="dxa"/>
              <w:right w:w="108" w:type="dxa"/>
            </w:tcMar>
            <w:vAlign w:val="bottom"/>
            <w:hideMark/>
          </w:tcPr>
          <w:p w14:paraId="66623A38" w14:textId="77777777" w:rsidR="0062250D" w:rsidRPr="00A57F4E" w:rsidRDefault="0062250D" w:rsidP="00801896">
            <w:pPr>
              <w:jc w:val="center"/>
              <w:rPr>
                <w:sz w:val="20"/>
                <w:szCs w:val="20"/>
              </w:rPr>
            </w:pPr>
            <w:r w:rsidRPr="00A57F4E">
              <w:rPr>
                <w:rFonts w:ascii="Arial" w:hAnsi="Arial" w:cs="Arial"/>
                <w:sz w:val="20"/>
                <w:szCs w:val="20"/>
              </w:rPr>
              <w:t>28,406,993</w:t>
            </w:r>
          </w:p>
        </w:tc>
        <w:tc>
          <w:tcPr>
            <w:tcW w:w="339" w:type="dxa"/>
            <w:noWrap/>
            <w:tcMar>
              <w:top w:w="0" w:type="dxa"/>
              <w:left w:w="108" w:type="dxa"/>
              <w:bottom w:w="0" w:type="dxa"/>
              <w:right w:w="108" w:type="dxa"/>
            </w:tcMar>
            <w:vAlign w:val="bottom"/>
            <w:hideMark/>
          </w:tcPr>
          <w:p w14:paraId="616057F9" w14:textId="77777777" w:rsidR="0062250D" w:rsidRPr="00A57F4E" w:rsidRDefault="0062250D" w:rsidP="00801896">
            <w:pPr>
              <w:jc w:val="right"/>
              <w:rPr>
                <w:sz w:val="20"/>
                <w:szCs w:val="20"/>
              </w:rPr>
            </w:pPr>
            <w:r w:rsidRPr="00A57F4E">
              <w:rPr>
                <w:rFonts w:ascii="Arial" w:hAnsi="Arial" w:cs="Arial"/>
                <w:sz w:val="20"/>
                <w:szCs w:val="20"/>
              </w:rPr>
              <w:t>x</w:t>
            </w:r>
          </w:p>
        </w:tc>
        <w:tc>
          <w:tcPr>
            <w:tcW w:w="1266" w:type="dxa"/>
            <w:noWrap/>
            <w:tcMar>
              <w:top w:w="0" w:type="dxa"/>
              <w:left w:w="108" w:type="dxa"/>
              <w:bottom w:w="0" w:type="dxa"/>
              <w:right w:w="108" w:type="dxa"/>
            </w:tcMar>
            <w:vAlign w:val="bottom"/>
            <w:hideMark/>
          </w:tcPr>
          <w:p w14:paraId="481BDF4C" w14:textId="77777777" w:rsidR="0062250D" w:rsidRPr="00A57F4E" w:rsidRDefault="0062250D" w:rsidP="00801896">
            <w:pPr>
              <w:jc w:val="center"/>
              <w:rPr>
                <w:sz w:val="20"/>
                <w:szCs w:val="20"/>
              </w:rPr>
            </w:pPr>
            <w:r w:rsidRPr="00A57F4E">
              <w:rPr>
                <w:rFonts w:ascii="Arial" w:hAnsi="Arial" w:cs="Arial"/>
                <w:sz w:val="20"/>
                <w:szCs w:val="20"/>
              </w:rPr>
              <w:t>26</w:t>
            </w:r>
          </w:p>
        </w:tc>
        <w:tc>
          <w:tcPr>
            <w:tcW w:w="274" w:type="dxa"/>
            <w:noWrap/>
            <w:tcMar>
              <w:top w:w="0" w:type="dxa"/>
              <w:left w:w="108" w:type="dxa"/>
              <w:bottom w:w="0" w:type="dxa"/>
              <w:right w:w="108" w:type="dxa"/>
            </w:tcMar>
            <w:vAlign w:val="bottom"/>
            <w:hideMark/>
          </w:tcPr>
          <w:p w14:paraId="70523967" w14:textId="77777777" w:rsidR="0062250D" w:rsidRPr="00A57F4E" w:rsidRDefault="0062250D" w:rsidP="00801896">
            <w:pPr>
              <w:rPr>
                <w:sz w:val="20"/>
                <w:szCs w:val="20"/>
              </w:rPr>
            </w:pPr>
          </w:p>
        </w:tc>
        <w:tc>
          <w:tcPr>
            <w:tcW w:w="1985" w:type="dxa"/>
            <w:noWrap/>
            <w:tcMar>
              <w:top w:w="0" w:type="dxa"/>
              <w:left w:w="108" w:type="dxa"/>
              <w:bottom w:w="0" w:type="dxa"/>
              <w:right w:w="108" w:type="dxa"/>
            </w:tcMar>
            <w:vAlign w:val="bottom"/>
            <w:hideMark/>
          </w:tcPr>
          <w:p w14:paraId="1D71199C" w14:textId="77777777" w:rsidR="0062250D" w:rsidRPr="00A57F4E" w:rsidRDefault="0062250D" w:rsidP="00801896">
            <w:pPr>
              <w:rPr>
                <w:rFonts w:ascii="Calibri" w:hAnsi="Calibri" w:cs="Calibri"/>
                <w:sz w:val="20"/>
                <w:szCs w:val="20"/>
              </w:rPr>
            </w:pPr>
            <w:r w:rsidRPr="00A57F4E">
              <w:rPr>
                <w:rFonts w:ascii="Arial" w:hAnsi="Arial" w:cs="Arial"/>
                <w:sz w:val="20"/>
                <w:szCs w:val="20"/>
              </w:rPr>
              <w:t xml:space="preserve">-        8,533,333 </w:t>
            </w:r>
          </w:p>
        </w:tc>
        <w:tc>
          <w:tcPr>
            <w:tcW w:w="392" w:type="dxa"/>
            <w:noWrap/>
            <w:tcMar>
              <w:top w:w="0" w:type="dxa"/>
              <w:left w:w="108" w:type="dxa"/>
              <w:bottom w:w="0" w:type="dxa"/>
              <w:right w:w="108" w:type="dxa"/>
            </w:tcMar>
            <w:vAlign w:val="bottom"/>
            <w:hideMark/>
          </w:tcPr>
          <w:p w14:paraId="16F02C73" w14:textId="77777777" w:rsidR="0062250D" w:rsidRPr="00A57F4E" w:rsidRDefault="0062250D" w:rsidP="00801896">
            <w:pPr>
              <w:rPr>
                <w:sz w:val="20"/>
                <w:szCs w:val="20"/>
              </w:rPr>
            </w:pPr>
            <w:r w:rsidRPr="00A57F4E">
              <w:rPr>
                <w:rFonts w:ascii="Arial" w:hAnsi="Arial" w:cs="Arial"/>
                <w:sz w:val="20"/>
                <w:szCs w:val="20"/>
              </w:rPr>
              <w:t xml:space="preserve"> = </w:t>
            </w:r>
          </w:p>
        </w:tc>
        <w:tc>
          <w:tcPr>
            <w:tcW w:w="2067" w:type="dxa"/>
            <w:noWrap/>
            <w:tcMar>
              <w:top w:w="0" w:type="dxa"/>
              <w:left w:w="108" w:type="dxa"/>
              <w:bottom w:w="0" w:type="dxa"/>
              <w:right w:w="108" w:type="dxa"/>
            </w:tcMar>
            <w:vAlign w:val="bottom"/>
            <w:hideMark/>
          </w:tcPr>
          <w:p w14:paraId="16E5E2CA" w14:textId="77777777" w:rsidR="0062250D" w:rsidRPr="00A57F4E" w:rsidRDefault="0062250D" w:rsidP="00801896">
            <w:pPr>
              <w:jc w:val="right"/>
              <w:rPr>
                <w:sz w:val="20"/>
                <w:szCs w:val="20"/>
              </w:rPr>
            </w:pPr>
            <w:r w:rsidRPr="00A57F4E">
              <w:rPr>
                <w:rFonts w:ascii="Arial" w:hAnsi="Arial" w:cs="Arial"/>
                <w:sz w:val="20"/>
                <w:szCs w:val="20"/>
              </w:rPr>
              <w:t xml:space="preserve">        730,048,492 </w:t>
            </w:r>
          </w:p>
        </w:tc>
      </w:tr>
      <w:tr w:rsidR="0062250D" w:rsidRPr="00A57F4E" w14:paraId="572D31CD" w14:textId="77777777" w:rsidTr="00801896">
        <w:trPr>
          <w:trHeight w:val="264"/>
        </w:trPr>
        <w:tc>
          <w:tcPr>
            <w:tcW w:w="1265" w:type="dxa"/>
            <w:noWrap/>
            <w:tcMar>
              <w:top w:w="0" w:type="dxa"/>
              <w:left w:w="108" w:type="dxa"/>
              <w:bottom w:w="0" w:type="dxa"/>
              <w:right w:w="108" w:type="dxa"/>
            </w:tcMar>
            <w:vAlign w:val="bottom"/>
            <w:hideMark/>
          </w:tcPr>
          <w:p w14:paraId="2C738244" w14:textId="77777777" w:rsidR="0062250D" w:rsidRPr="00A57F4E" w:rsidRDefault="0062250D" w:rsidP="00801896">
            <w:pPr>
              <w:rPr>
                <w:sz w:val="20"/>
                <w:szCs w:val="20"/>
              </w:rPr>
            </w:pPr>
            <w:r w:rsidRPr="00A57F4E">
              <w:rPr>
                <w:rFonts w:ascii="Arial" w:hAnsi="Arial" w:cs="Arial"/>
                <w:sz w:val="20"/>
                <w:szCs w:val="20"/>
              </w:rPr>
              <w:t>October</w:t>
            </w:r>
          </w:p>
        </w:tc>
        <w:tc>
          <w:tcPr>
            <w:tcW w:w="1898" w:type="dxa"/>
            <w:noWrap/>
            <w:tcMar>
              <w:top w:w="0" w:type="dxa"/>
              <w:left w:w="108" w:type="dxa"/>
              <w:bottom w:w="0" w:type="dxa"/>
              <w:right w:w="108" w:type="dxa"/>
            </w:tcMar>
            <w:vAlign w:val="bottom"/>
            <w:hideMark/>
          </w:tcPr>
          <w:p w14:paraId="665934F4" w14:textId="77777777" w:rsidR="0062250D" w:rsidRPr="00A57F4E" w:rsidRDefault="0062250D" w:rsidP="00801896">
            <w:pPr>
              <w:jc w:val="center"/>
              <w:rPr>
                <w:sz w:val="20"/>
                <w:szCs w:val="20"/>
              </w:rPr>
            </w:pPr>
            <w:r w:rsidRPr="00A57F4E">
              <w:rPr>
                <w:rFonts w:ascii="Arial" w:hAnsi="Arial" w:cs="Arial"/>
                <w:sz w:val="20"/>
                <w:szCs w:val="20"/>
              </w:rPr>
              <w:t>28,659,849</w:t>
            </w:r>
          </w:p>
        </w:tc>
        <w:tc>
          <w:tcPr>
            <w:tcW w:w="339" w:type="dxa"/>
            <w:noWrap/>
            <w:tcMar>
              <w:top w:w="0" w:type="dxa"/>
              <w:left w:w="108" w:type="dxa"/>
              <w:bottom w:w="0" w:type="dxa"/>
              <w:right w:w="108" w:type="dxa"/>
            </w:tcMar>
            <w:vAlign w:val="bottom"/>
            <w:hideMark/>
          </w:tcPr>
          <w:p w14:paraId="07517512" w14:textId="77777777" w:rsidR="0062250D" w:rsidRPr="00A57F4E" w:rsidRDefault="0062250D" w:rsidP="00801896">
            <w:pPr>
              <w:jc w:val="right"/>
              <w:rPr>
                <w:sz w:val="20"/>
                <w:szCs w:val="20"/>
              </w:rPr>
            </w:pPr>
            <w:r w:rsidRPr="00A57F4E">
              <w:rPr>
                <w:rFonts w:ascii="Arial" w:hAnsi="Arial" w:cs="Arial"/>
                <w:sz w:val="20"/>
                <w:szCs w:val="20"/>
              </w:rPr>
              <w:t>x</w:t>
            </w:r>
          </w:p>
        </w:tc>
        <w:tc>
          <w:tcPr>
            <w:tcW w:w="1266" w:type="dxa"/>
            <w:noWrap/>
            <w:tcMar>
              <w:top w:w="0" w:type="dxa"/>
              <w:left w:w="108" w:type="dxa"/>
              <w:bottom w:w="0" w:type="dxa"/>
              <w:right w:w="108" w:type="dxa"/>
            </w:tcMar>
            <w:vAlign w:val="bottom"/>
            <w:hideMark/>
          </w:tcPr>
          <w:p w14:paraId="5B04F3C0" w14:textId="77777777" w:rsidR="0062250D" w:rsidRPr="00A57F4E" w:rsidRDefault="0062250D" w:rsidP="00801896">
            <w:pPr>
              <w:jc w:val="center"/>
              <w:rPr>
                <w:sz w:val="20"/>
                <w:szCs w:val="20"/>
              </w:rPr>
            </w:pPr>
            <w:r w:rsidRPr="00A57F4E">
              <w:rPr>
                <w:rFonts w:ascii="Arial" w:hAnsi="Arial" w:cs="Arial"/>
                <w:sz w:val="20"/>
                <w:szCs w:val="20"/>
              </w:rPr>
              <w:t>26</w:t>
            </w:r>
          </w:p>
        </w:tc>
        <w:tc>
          <w:tcPr>
            <w:tcW w:w="274" w:type="dxa"/>
            <w:noWrap/>
            <w:tcMar>
              <w:top w:w="0" w:type="dxa"/>
              <w:left w:w="108" w:type="dxa"/>
              <w:bottom w:w="0" w:type="dxa"/>
              <w:right w:w="108" w:type="dxa"/>
            </w:tcMar>
            <w:vAlign w:val="bottom"/>
            <w:hideMark/>
          </w:tcPr>
          <w:p w14:paraId="68080023" w14:textId="77777777" w:rsidR="0062250D" w:rsidRPr="00A57F4E" w:rsidRDefault="0062250D" w:rsidP="00801896">
            <w:pPr>
              <w:rPr>
                <w:sz w:val="20"/>
                <w:szCs w:val="20"/>
              </w:rPr>
            </w:pPr>
          </w:p>
        </w:tc>
        <w:tc>
          <w:tcPr>
            <w:tcW w:w="1985" w:type="dxa"/>
            <w:noWrap/>
            <w:tcMar>
              <w:top w:w="0" w:type="dxa"/>
              <w:left w:w="108" w:type="dxa"/>
              <w:bottom w:w="0" w:type="dxa"/>
              <w:right w:w="108" w:type="dxa"/>
            </w:tcMar>
            <w:vAlign w:val="bottom"/>
            <w:hideMark/>
          </w:tcPr>
          <w:p w14:paraId="15FA346E" w14:textId="77777777" w:rsidR="0062250D" w:rsidRPr="00A57F4E" w:rsidRDefault="0062250D" w:rsidP="00801896">
            <w:pPr>
              <w:rPr>
                <w:rFonts w:ascii="Calibri" w:hAnsi="Calibri" w:cs="Calibri"/>
                <w:sz w:val="20"/>
                <w:szCs w:val="20"/>
              </w:rPr>
            </w:pPr>
            <w:r w:rsidRPr="00A57F4E">
              <w:rPr>
                <w:rFonts w:ascii="Arial" w:hAnsi="Arial" w:cs="Arial"/>
                <w:sz w:val="20"/>
                <w:szCs w:val="20"/>
              </w:rPr>
              <w:t xml:space="preserve">-      17,466,667 </w:t>
            </w:r>
          </w:p>
        </w:tc>
        <w:tc>
          <w:tcPr>
            <w:tcW w:w="392" w:type="dxa"/>
            <w:noWrap/>
            <w:tcMar>
              <w:top w:w="0" w:type="dxa"/>
              <w:left w:w="108" w:type="dxa"/>
              <w:bottom w:w="0" w:type="dxa"/>
              <w:right w:w="108" w:type="dxa"/>
            </w:tcMar>
            <w:vAlign w:val="bottom"/>
            <w:hideMark/>
          </w:tcPr>
          <w:p w14:paraId="3ABA2126" w14:textId="77777777" w:rsidR="0062250D" w:rsidRPr="00A57F4E" w:rsidRDefault="0062250D" w:rsidP="00801896">
            <w:pPr>
              <w:rPr>
                <w:sz w:val="20"/>
                <w:szCs w:val="20"/>
              </w:rPr>
            </w:pPr>
            <w:r w:rsidRPr="00A57F4E">
              <w:rPr>
                <w:rFonts w:ascii="Arial" w:hAnsi="Arial" w:cs="Arial"/>
                <w:sz w:val="20"/>
                <w:szCs w:val="20"/>
              </w:rPr>
              <w:t xml:space="preserve"> = </w:t>
            </w:r>
          </w:p>
        </w:tc>
        <w:tc>
          <w:tcPr>
            <w:tcW w:w="2067" w:type="dxa"/>
            <w:noWrap/>
            <w:tcMar>
              <w:top w:w="0" w:type="dxa"/>
              <w:left w:w="108" w:type="dxa"/>
              <w:bottom w:w="0" w:type="dxa"/>
              <w:right w:w="108" w:type="dxa"/>
            </w:tcMar>
            <w:vAlign w:val="bottom"/>
            <w:hideMark/>
          </w:tcPr>
          <w:p w14:paraId="119689B2" w14:textId="77777777" w:rsidR="0062250D" w:rsidRPr="00A57F4E" w:rsidRDefault="0062250D" w:rsidP="00801896">
            <w:pPr>
              <w:jc w:val="right"/>
              <w:rPr>
                <w:sz w:val="20"/>
                <w:szCs w:val="20"/>
              </w:rPr>
            </w:pPr>
            <w:r w:rsidRPr="00A57F4E">
              <w:rPr>
                <w:rFonts w:ascii="Arial" w:hAnsi="Arial" w:cs="Arial"/>
                <w:sz w:val="20"/>
                <w:szCs w:val="20"/>
              </w:rPr>
              <w:t xml:space="preserve">        727,689,398 </w:t>
            </w:r>
          </w:p>
        </w:tc>
      </w:tr>
      <w:tr w:rsidR="0062250D" w:rsidRPr="00A57F4E" w14:paraId="2A52A41D" w14:textId="77777777" w:rsidTr="00801896">
        <w:trPr>
          <w:trHeight w:val="264"/>
        </w:trPr>
        <w:tc>
          <w:tcPr>
            <w:tcW w:w="1265" w:type="dxa"/>
            <w:noWrap/>
            <w:tcMar>
              <w:top w:w="0" w:type="dxa"/>
              <w:left w:w="108" w:type="dxa"/>
              <w:bottom w:w="0" w:type="dxa"/>
              <w:right w:w="108" w:type="dxa"/>
            </w:tcMar>
            <w:vAlign w:val="bottom"/>
            <w:hideMark/>
          </w:tcPr>
          <w:p w14:paraId="7BDC71E4" w14:textId="77777777" w:rsidR="0062250D" w:rsidRPr="00A57F4E" w:rsidRDefault="0062250D" w:rsidP="00801896">
            <w:pPr>
              <w:rPr>
                <w:sz w:val="20"/>
                <w:szCs w:val="20"/>
              </w:rPr>
            </w:pPr>
            <w:r w:rsidRPr="00A57F4E">
              <w:rPr>
                <w:rFonts w:ascii="Arial" w:hAnsi="Arial" w:cs="Arial"/>
                <w:sz w:val="20"/>
                <w:szCs w:val="20"/>
              </w:rPr>
              <w:t>November</w:t>
            </w:r>
          </w:p>
        </w:tc>
        <w:tc>
          <w:tcPr>
            <w:tcW w:w="1898" w:type="dxa"/>
            <w:noWrap/>
            <w:tcMar>
              <w:top w:w="0" w:type="dxa"/>
              <w:left w:w="108" w:type="dxa"/>
              <w:bottom w:w="0" w:type="dxa"/>
              <w:right w:w="108" w:type="dxa"/>
            </w:tcMar>
            <w:vAlign w:val="bottom"/>
            <w:hideMark/>
          </w:tcPr>
          <w:p w14:paraId="530A31A9" w14:textId="77777777" w:rsidR="0062250D" w:rsidRPr="00A57F4E" w:rsidRDefault="0062250D" w:rsidP="00801896">
            <w:pPr>
              <w:jc w:val="center"/>
              <w:rPr>
                <w:sz w:val="20"/>
                <w:szCs w:val="20"/>
              </w:rPr>
            </w:pPr>
            <w:r w:rsidRPr="00A57F4E">
              <w:rPr>
                <w:rFonts w:ascii="Arial" w:hAnsi="Arial" w:cs="Arial"/>
                <w:sz w:val="20"/>
                <w:szCs w:val="20"/>
              </w:rPr>
              <w:t>28,550,630</w:t>
            </w:r>
          </w:p>
        </w:tc>
        <w:tc>
          <w:tcPr>
            <w:tcW w:w="339" w:type="dxa"/>
            <w:noWrap/>
            <w:tcMar>
              <w:top w:w="0" w:type="dxa"/>
              <w:left w:w="108" w:type="dxa"/>
              <w:bottom w:w="0" w:type="dxa"/>
              <w:right w:w="108" w:type="dxa"/>
            </w:tcMar>
            <w:vAlign w:val="bottom"/>
            <w:hideMark/>
          </w:tcPr>
          <w:p w14:paraId="492007B8" w14:textId="77777777" w:rsidR="0062250D" w:rsidRPr="00A57F4E" w:rsidRDefault="0062250D" w:rsidP="00801896">
            <w:pPr>
              <w:jc w:val="right"/>
              <w:rPr>
                <w:sz w:val="20"/>
                <w:szCs w:val="20"/>
              </w:rPr>
            </w:pPr>
            <w:r w:rsidRPr="00A57F4E">
              <w:rPr>
                <w:rFonts w:ascii="Arial" w:hAnsi="Arial" w:cs="Arial"/>
                <w:sz w:val="20"/>
                <w:szCs w:val="20"/>
              </w:rPr>
              <w:t>x</w:t>
            </w:r>
          </w:p>
        </w:tc>
        <w:tc>
          <w:tcPr>
            <w:tcW w:w="1266" w:type="dxa"/>
            <w:noWrap/>
            <w:tcMar>
              <w:top w:w="0" w:type="dxa"/>
              <w:left w:w="108" w:type="dxa"/>
              <w:bottom w:w="0" w:type="dxa"/>
              <w:right w:w="108" w:type="dxa"/>
            </w:tcMar>
            <w:vAlign w:val="bottom"/>
            <w:hideMark/>
          </w:tcPr>
          <w:p w14:paraId="6CD50A30" w14:textId="77777777" w:rsidR="0062250D" w:rsidRPr="00A57F4E" w:rsidRDefault="0062250D" w:rsidP="00801896">
            <w:pPr>
              <w:jc w:val="center"/>
              <w:rPr>
                <w:sz w:val="20"/>
                <w:szCs w:val="20"/>
              </w:rPr>
            </w:pPr>
            <w:r w:rsidRPr="00A57F4E">
              <w:rPr>
                <w:rFonts w:ascii="Arial" w:hAnsi="Arial" w:cs="Arial"/>
                <w:sz w:val="20"/>
                <w:szCs w:val="20"/>
              </w:rPr>
              <w:t>26</w:t>
            </w:r>
          </w:p>
        </w:tc>
        <w:tc>
          <w:tcPr>
            <w:tcW w:w="274" w:type="dxa"/>
            <w:noWrap/>
            <w:tcMar>
              <w:top w:w="0" w:type="dxa"/>
              <w:left w:w="108" w:type="dxa"/>
              <w:bottom w:w="0" w:type="dxa"/>
              <w:right w:w="108" w:type="dxa"/>
            </w:tcMar>
            <w:vAlign w:val="bottom"/>
            <w:hideMark/>
          </w:tcPr>
          <w:p w14:paraId="43F4C64D" w14:textId="77777777" w:rsidR="0062250D" w:rsidRPr="00A57F4E" w:rsidRDefault="0062250D" w:rsidP="00801896">
            <w:pPr>
              <w:rPr>
                <w:sz w:val="20"/>
                <w:szCs w:val="20"/>
              </w:rPr>
            </w:pPr>
          </w:p>
        </w:tc>
        <w:tc>
          <w:tcPr>
            <w:tcW w:w="1985" w:type="dxa"/>
            <w:noWrap/>
            <w:tcMar>
              <w:top w:w="0" w:type="dxa"/>
              <w:left w:w="108" w:type="dxa"/>
              <w:bottom w:w="0" w:type="dxa"/>
              <w:right w:w="108" w:type="dxa"/>
            </w:tcMar>
            <w:vAlign w:val="bottom"/>
            <w:hideMark/>
          </w:tcPr>
          <w:p w14:paraId="20686359" w14:textId="77777777" w:rsidR="0062250D" w:rsidRPr="00A57F4E" w:rsidRDefault="0062250D" w:rsidP="00801896">
            <w:pPr>
              <w:rPr>
                <w:rFonts w:ascii="Calibri" w:hAnsi="Calibri" w:cs="Calibri"/>
                <w:sz w:val="20"/>
                <w:szCs w:val="20"/>
              </w:rPr>
            </w:pPr>
            <w:r w:rsidRPr="00A57F4E">
              <w:rPr>
                <w:rFonts w:ascii="Arial" w:hAnsi="Arial" w:cs="Arial"/>
                <w:sz w:val="20"/>
                <w:szCs w:val="20"/>
              </w:rPr>
              <w:t xml:space="preserve">-      17,466,667 </w:t>
            </w:r>
          </w:p>
        </w:tc>
        <w:tc>
          <w:tcPr>
            <w:tcW w:w="392" w:type="dxa"/>
            <w:noWrap/>
            <w:tcMar>
              <w:top w:w="0" w:type="dxa"/>
              <w:left w:w="108" w:type="dxa"/>
              <w:bottom w:w="0" w:type="dxa"/>
              <w:right w:w="108" w:type="dxa"/>
            </w:tcMar>
            <w:vAlign w:val="bottom"/>
            <w:hideMark/>
          </w:tcPr>
          <w:p w14:paraId="5FB80BF8" w14:textId="77777777" w:rsidR="0062250D" w:rsidRPr="00A57F4E" w:rsidRDefault="0062250D" w:rsidP="00801896">
            <w:pPr>
              <w:rPr>
                <w:sz w:val="20"/>
                <w:szCs w:val="20"/>
              </w:rPr>
            </w:pPr>
            <w:r w:rsidRPr="00A57F4E">
              <w:rPr>
                <w:rFonts w:ascii="Arial" w:hAnsi="Arial" w:cs="Arial"/>
                <w:sz w:val="20"/>
                <w:szCs w:val="20"/>
              </w:rPr>
              <w:t xml:space="preserve"> = </w:t>
            </w:r>
          </w:p>
        </w:tc>
        <w:tc>
          <w:tcPr>
            <w:tcW w:w="2067" w:type="dxa"/>
            <w:noWrap/>
            <w:tcMar>
              <w:top w:w="0" w:type="dxa"/>
              <w:left w:w="108" w:type="dxa"/>
              <w:bottom w:w="0" w:type="dxa"/>
              <w:right w:w="108" w:type="dxa"/>
            </w:tcMar>
            <w:vAlign w:val="bottom"/>
            <w:hideMark/>
          </w:tcPr>
          <w:p w14:paraId="32B0239A" w14:textId="77777777" w:rsidR="0062250D" w:rsidRPr="00A57F4E" w:rsidRDefault="0062250D" w:rsidP="00801896">
            <w:pPr>
              <w:jc w:val="right"/>
              <w:rPr>
                <w:sz w:val="20"/>
                <w:szCs w:val="20"/>
              </w:rPr>
            </w:pPr>
            <w:r w:rsidRPr="00A57F4E">
              <w:rPr>
                <w:rFonts w:ascii="Arial" w:hAnsi="Arial" w:cs="Arial"/>
                <w:sz w:val="20"/>
                <w:szCs w:val="20"/>
              </w:rPr>
              <w:t xml:space="preserve">        724,849,701 </w:t>
            </w:r>
          </w:p>
        </w:tc>
      </w:tr>
      <w:tr w:rsidR="0062250D" w:rsidRPr="00A57F4E" w14:paraId="13F8F28B" w14:textId="77777777" w:rsidTr="00801896">
        <w:trPr>
          <w:trHeight w:val="264"/>
        </w:trPr>
        <w:tc>
          <w:tcPr>
            <w:tcW w:w="1265" w:type="dxa"/>
            <w:noWrap/>
            <w:tcMar>
              <w:top w:w="0" w:type="dxa"/>
              <w:left w:w="108" w:type="dxa"/>
              <w:bottom w:w="0" w:type="dxa"/>
              <w:right w:w="108" w:type="dxa"/>
            </w:tcMar>
            <w:vAlign w:val="bottom"/>
            <w:hideMark/>
          </w:tcPr>
          <w:p w14:paraId="3F6EA5DB" w14:textId="77777777" w:rsidR="0062250D" w:rsidRPr="00A57F4E" w:rsidRDefault="0062250D" w:rsidP="00801896">
            <w:pPr>
              <w:rPr>
                <w:sz w:val="20"/>
                <w:szCs w:val="20"/>
              </w:rPr>
            </w:pPr>
            <w:r w:rsidRPr="00A57F4E">
              <w:rPr>
                <w:rFonts w:ascii="Arial" w:hAnsi="Arial" w:cs="Arial"/>
                <w:sz w:val="20"/>
                <w:szCs w:val="20"/>
              </w:rPr>
              <w:t>December</w:t>
            </w:r>
          </w:p>
        </w:tc>
        <w:tc>
          <w:tcPr>
            <w:tcW w:w="1898" w:type="dxa"/>
            <w:noWrap/>
            <w:tcMar>
              <w:top w:w="0" w:type="dxa"/>
              <w:left w:w="108" w:type="dxa"/>
              <w:bottom w:w="0" w:type="dxa"/>
              <w:right w:w="108" w:type="dxa"/>
            </w:tcMar>
            <w:vAlign w:val="bottom"/>
            <w:hideMark/>
          </w:tcPr>
          <w:p w14:paraId="12DD9AAD" w14:textId="77777777" w:rsidR="0062250D" w:rsidRPr="00A57F4E" w:rsidRDefault="0062250D" w:rsidP="00801896">
            <w:pPr>
              <w:jc w:val="center"/>
              <w:rPr>
                <w:sz w:val="20"/>
                <w:szCs w:val="20"/>
              </w:rPr>
            </w:pPr>
            <w:r w:rsidRPr="00A57F4E">
              <w:rPr>
                <w:rFonts w:ascii="Arial" w:hAnsi="Arial" w:cs="Arial"/>
                <w:sz w:val="20"/>
                <w:szCs w:val="20"/>
              </w:rPr>
              <w:t>30,459,408</w:t>
            </w:r>
          </w:p>
        </w:tc>
        <w:tc>
          <w:tcPr>
            <w:tcW w:w="339" w:type="dxa"/>
            <w:noWrap/>
            <w:tcMar>
              <w:top w:w="0" w:type="dxa"/>
              <w:left w:w="108" w:type="dxa"/>
              <w:bottom w:w="0" w:type="dxa"/>
              <w:right w:w="108" w:type="dxa"/>
            </w:tcMar>
            <w:vAlign w:val="bottom"/>
            <w:hideMark/>
          </w:tcPr>
          <w:p w14:paraId="5A83A9B3" w14:textId="77777777" w:rsidR="0062250D" w:rsidRPr="00A57F4E" w:rsidRDefault="0062250D" w:rsidP="00801896">
            <w:pPr>
              <w:jc w:val="right"/>
              <w:rPr>
                <w:sz w:val="20"/>
                <w:szCs w:val="20"/>
              </w:rPr>
            </w:pPr>
            <w:r w:rsidRPr="00A57F4E">
              <w:rPr>
                <w:rFonts w:ascii="Arial" w:hAnsi="Arial" w:cs="Arial"/>
                <w:sz w:val="20"/>
                <w:szCs w:val="20"/>
              </w:rPr>
              <w:t>x</w:t>
            </w:r>
          </w:p>
        </w:tc>
        <w:tc>
          <w:tcPr>
            <w:tcW w:w="1266" w:type="dxa"/>
            <w:noWrap/>
            <w:tcMar>
              <w:top w:w="0" w:type="dxa"/>
              <w:left w:w="108" w:type="dxa"/>
              <w:bottom w:w="0" w:type="dxa"/>
              <w:right w:w="108" w:type="dxa"/>
            </w:tcMar>
            <w:vAlign w:val="bottom"/>
            <w:hideMark/>
          </w:tcPr>
          <w:p w14:paraId="0812237A" w14:textId="77777777" w:rsidR="0062250D" w:rsidRPr="00A57F4E" w:rsidRDefault="0062250D" w:rsidP="00801896">
            <w:pPr>
              <w:jc w:val="center"/>
              <w:rPr>
                <w:sz w:val="20"/>
                <w:szCs w:val="20"/>
              </w:rPr>
            </w:pPr>
            <w:r w:rsidRPr="00A57F4E">
              <w:rPr>
                <w:rFonts w:ascii="Arial" w:hAnsi="Arial" w:cs="Arial"/>
                <w:sz w:val="20"/>
                <w:szCs w:val="20"/>
              </w:rPr>
              <w:t>24</w:t>
            </w:r>
          </w:p>
        </w:tc>
        <w:tc>
          <w:tcPr>
            <w:tcW w:w="274" w:type="dxa"/>
            <w:noWrap/>
            <w:tcMar>
              <w:top w:w="0" w:type="dxa"/>
              <w:left w:w="108" w:type="dxa"/>
              <w:bottom w:w="0" w:type="dxa"/>
              <w:right w:w="108" w:type="dxa"/>
            </w:tcMar>
            <w:vAlign w:val="bottom"/>
            <w:hideMark/>
          </w:tcPr>
          <w:p w14:paraId="3AE7C4EE" w14:textId="77777777" w:rsidR="0062250D" w:rsidRPr="00A57F4E" w:rsidRDefault="0062250D" w:rsidP="00801896">
            <w:pPr>
              <w:rPr>
                <w:sz w:val="20"/>
                <w:szCs w:val="20"/>
              </w:rPr>
            </w:pPr>
          </w:p>
        </w:tc>
        <w:tc>
          <w:tcPr>
            <w:tcW w:w="1985" w:type="dxa"/>
            <w:noWrap/>
            <w:tcMar>
              <w:top w:w="0" w:type="dxa"/>
              <w:left w:w="108" w:type="dxa"/>
              <w:bottom w:w="0" w:type="dxa"/>
              <w:right w:w="108" w:type="dxa"/>
            </w:tcMar>
            <w:vAlign w:val="bottom"/>
            <w:hideMark/>
          </w:tcPr>
          <w:p w14:paraId="687AAE7B" w14:textId="77777777" w:rsidR="0062250D" w:rsidRPr="00A57F4E" w:rsidRDefault="0062250D" w:rsidP="00801896">
            <w:pPr>
              <w:rPr>
                <w:rFonts w:ascii="Calibri" w:hAnsi="Calibri" w:cs="Calibri"/>
                <w:sz w:val="20"/>
                <w:szCs w:val="20"/>
              </w:rPr>
            </w:pPr>
            <w:r w:rsidRPr="00A57F4E">
              <w:rPr>
                <w:rFonts w:ascii="Arial" w:hAnsi="Arial" w:cs="Arial"/>
                <w:sz w:val="20"/>
                <w:szCs w:val="20"/>
              </w:rPr>
              <w:t xml:space="preserve">-      17,466,667 </w:t>
            </w:r>
          </w:p>
        </w:tc>
        <w:tc>
          <w:tcPr>
            <w:tcW w:w="392" w:type="dxa"/>
            <w:noWrap/>
            <w:tcMar>
              <w:top w:w="0" w:type="dxa"/>
              <w:left w:w="108" w:type="dxa"/>
              <w:bottom w:w="0" w:type="dxa"/>
              <w:right w:w="108" w:type="dxa"/>
            </w:tcMar>
            <w:vAlign w:val="bottom"/>
            <w:hideMark/>
          </w:tcPr>
          <w:p w14:paraId="4584A496" w14:textId="77777777" w:rsidR="0062250D" w:rsidRPr="00A57F4E" w:rsidRDefault="0062250D" w:rsidP="00801896">
            <w:pPr>
              <w:rPr>
                <w:sz w:val="20"/>
                <w:szCs w:val="20"/>
              </w:rPr>
            </w:pPr>
            <w:r w:rsidRPr="00A57F4E">
              <w:rPr>
                <w:rFonts w:ascii="Arial" w:hAnsi="Arial" w:cs="Arial"/>
                <w:sz w:val="20"/>
                <w:szCs w:val="20"/>
              </w:rPr>
              <w:t xml:space="preserve"> = </w:t>
            </w:r>
          </w:p>
        </w:tc>
        <w:tc>
          <w:tcPr>
            <w:tcW w:w="2067" w:type="dxa"/>
            <w:noWrap/>
            <w:tcMar>
              <w:top w:w="0" w:type="dxa"/>
              <w:left w:w="108" w:type="dxa"/>
              <w:bottom w:w="0" w:type="dxa"/>
              <w:right w:w="108" w:type="dxa"/>
            </w:tcMar>
            <w:vAlign w:val="bottom"/>
            <w:hideMark/>
          </w:tcPr>
          <w:p w14:paraId="0CAAEAA8" w14:textId="77777777" w:rsidR="0062250D" w:rsidRPr="00A57F4E" w:rsidRDefault="0062250D" w:rsidP="00801896">
            <w:pPr>
              <w:jc w:val="right"/>
              <w:rPr>
                <w:sz w:val="20"/>
                <w:szCs w:val="20"/>
              </w:rPr>
            </w:pPr>
            <w:r w:rsidRPr="00A57F4E">
              <w:rPr>
                <w:rFonts w:ascii="Arial" w:hAnsi="Arial" w:cs="Arial"/>
                <w:sz w:val="20"/>
                <w:szCs w:val="20"/>
              </w:rPr>
              <w:t xml:space="preserve">        713,559,130 </w:t>
            </w:r>
          </w:p>
        </w:tc>
      </w:tr>
      <w:tr w:rsidR="0062250D" w:rsidRPr="00A57F4E" w14:paraId="4EC191B4" w14:textId="77777777" w:rsidTr="00801896">
        <w:trPr>
          <w:trHeight w:val="264"/>
        </w:trPr>
        <w:tc>
          <w:tcPr>
            <w:tcW w:w="1265" w:type="dxa"/>
            <w:noWrap/>
            <w:tcMar>
              <w:top w:w="0" w:type="dxa"/>
              <w:left w:w="108" w:type="dxa"/>
              <w:bottom w:w="0" w:type="dxa"/>
              <w:right w:w="108" w:type="dxa"/>
            </w:tcMar>
            <w:vAlign w:val="bottom"/>
            <w:hideMark/>
          </w:tcPr>
          <w:p w14:paraId="507D8B39" w14:textId="77777777" w:rsidR="0062250D" w:rsidRPr="00A57F4E" w:rsidRDefault="0062250D" w:rsidP="00801896">
            <w:pPr>
              <w:rPr>
                <w:sz w:val="20"/>
                <w:szCs w:val="20"/>
              </w:rPr>
            </w:pPr>
            <w:r w:rsidRPr="00A57F4E">
              <w:rPr>
                <w:rFonts w:ascii="Arial" w:hAnsi="Arial" w:cs="Arial"/>
                <w:sz w:val="20"/>
                <w:szCs w:val="20"/>
              </w:rPr>
              <w:t>January</w:t>
            </w:r>
          </w:p>
        </w:tc>
        <w:tc>
          <w:tcPr>
            <w:tcW w:w="1898" w:type="dxa"/>
            <w:noWrap/>
            <w:tcMar>
              <w:top w:w="0" w:type="dxa"/>
              <w:left w:w="108" w:type="dxa"/>
              <w:bottom w:w="0" w:type="dxa"/>
              <w:right w:w="108" w:type="dxa"/>
            </w:tcMar>
            <w:vAlign w:val="bottom"/>
            <w:hideMark/>
          </w:tcPr>
          <w:p w14:paraId="7B52E38B" w14:textId="77777777" w:rsidR="0062250D" w:rsidRPr="00A57F4E" w:rsidRDefault="0062250D" w:rsidP="00801896">
            <w:pPr>
              <w:jc w:val="center"/>
              <w:rPr>
                <w:sz w:val="20"/>
                <w:szCs w:val="20"/>
              </w:rPr>
            </w:pPr>
            <w:r w:rsidRPr="00A57F4E">
              <w:rPr>
                <w:rFonts w:ascii="Arial" w:hAnsi="Arial" w:cs="Arial"/>
                <w:sz w:val="20"/>
                <w:szCs w:val="20"/>
              </w:rPr>
              <w:t>28,246,846</w:t>
            </w:r>
          </w:p>
        </w:tc>
        <w:tc>
          <w:tcPr>
            <w:tcW w:w="339" w:type="dxa"/>
            <w:noWrap/>
            <w:tcMar>
              <w:top w:w="0" w:type="dxa"/>
              <w:left w:w="108" w:type="dxa"/>
              <w:bottom w:w="0" w:type="dxa"/>
              <w:right w:w="108" w:type="dxa"/>
            </w:tcMar>
            <w:vAlign w:val="bottom"/>
            <w:hideMark/>
          </w:tcPr>
          <w:p w14:paraId="35F04388" w14:textId="77777777" w:rsidR="0062250D" w:rsidRPr="00A57F4E" w:rsidRDefault="0062250D" w:rsidP="00801896">
            <w:pPr>
              <w:jc w:val="right"/>
              <w:rPr>
                <w:sz w:val="20"/>
                <w:szCs w:val="20"/>
              </w:rPr>
            </w:pPr>
            <w:r w:rsidRPr="00A57F4E">
              <w:rPr>
                <w:rFonts w:ascii="Arial" w:hAnsi="Arial" w:cs="Arial"/>
                <w:sz w:val="20"/>
                <w:szCs w:val="20"/>
              </w:rPr>
              <w:t>x</w:t>
            </w:r>
          </w:p>
        </w:tc>
        <w:tc>
          <w:tcPr>
            <w:tcW w:w="1266" w:type="dxa"/>
            <w:noWrap/>
            <w:tcMar>
              <w:top w:w="0" w:type="dxa"/>
              <w:left w:w="108" w:type="dxa"/>
              <w:bottom w:w="0" w:type="dxa"/>
              <w:right w:w="108" w:type="dxa"/>
            </w:tcMar>
            <w:vAlign w:val="bottom"/>
            <w:hideMark/>
          </w:tcPr>
          <w:p w14:paraId="5D5B91F2" w14:textId="77777777" w:rsidR="0062250D" w:rsidRPr="00A57F4E" w:rsidRDefault="0062250D" w:rsidP="00801896">
            <w:pPr>
              <w:jc w:val="center"/>
              <w:rPr>
                <w:sz w:val="20"/>
                <w:szCs w:val="20"/>
              </w:rPr>
            </w:pPr>
            <w:r w:rsidRPr="00A57F4E">
              <w:rPr>
                <w:rFonts w:ascii="Arial" w:hAnsi="Arial" w:cs="Arial"/>
                <w:sz w:val="20"/>
                <w:szCs w:val="20"/>
              </w:rPr>
              <w:t>24</w:t>
            </w:r>
          </w:p>
        </w:tc>
        <w:tc>
          <w:tcPr>
            <w:tcW w:w="274" w:type="dxa"/>
            <w:noWrap/>
            <w:tcMar>
              <w:top w:w="0" w:type="dxa"/>
              <w:left w:w="108" w:type="dxa"/>
              <w:bottom w:w="0" w:type="dxa"/>
              <w:right w:w="108" w:type="dxa"/>
            </w:tcMar>
            <w:vAlign w:val="bottom"/>
            <w:hideMark/>
          </w:tcPr>
          <w:p w14:paraId="1CFACD14" w14:textId="77777777" w:rsidR="0062250D" w:rsidRPr="00A57F4E" w:rsidRDefault="0062250D" w:rsidP="00801896">
            <w:pPr>
              <w:rPr>
                <w:sz w:val="20"/>
                <w:szCs w:val="20"/>
              </w:rPr>
            </w:pPr>
          </w:p>
        </w:tc>
        <w:tc>
          <w:tcPr>
            <w:tcW w:w="1985" w:type="dxa"/>
            <w:noWrap/>
            <w:tcMar>
              <w:top w:w="0" w:type="dxa"/>
              <w:left w:w="108" w:type="dxa"/>
              <w:bottom w:w="0" w:type="dxa"/>
              <w:right w:w="108" w:type="dxa"/>
            </w:tcMar>
            <w:vAlign w:val="bottom"/>
            <w:hideMark/>
          </w:tcPr>
          <w:p w14:paraId="5C9A3BC6" w14:textId="77777777" w:rsidR="0062250D" w:rsidRPr="00A57F4E" w:rsidRDefault="0062250D" w:rsidP="00801896">
            <w:pPr>
              <w:rPr>
                <w:rFonts w:ascii="Calibri" w:hAnsi="Calibri" w:cs="Calibri"/>
                <w:sz w:val="20"/>
                <w:szCs w:val="20"/>
              </w:rPr>
            </w:pPr>
            <w:r w:rsidRPr="00A57F4E">
              <w:rPr>
                <w:rFonts w:ascii="Arial" w:hAnsi="Arial" w:cs="Arial"/>
                <w:sz w:val="20"/>
                <w:szCs w:val="20"/>
              </w:rPr>
              <w:t xml:space="preserve">-      33,900,000 </w:t>
            </w:r>
          </w:p>
        </w:tc>
        <w:tc>
          <w:tcPr>
            <w:tcW w:w="392" w:type="dxa"/>
            <w:noWrap/>
            <w:tcMar>
              <w:top w:w="0" w:type="dxa"/>
              <w:left w:w="108" w:type="dxa"/>
              <w:bottom w:w="0" w:type="dxa"/>
              <w:right w:w="108" w:type="dxa"/>
            </w:tcMar>
            <w:vAlign w:val="bottom"/>
            <w:hideMark/>
          </w:tcPr>
          <w:p w14:paraId="23F40E06" w14:textId="77777777" w:rsidR="0062250D" w:rsidRPr="00A57F4E" w:rsidRDefault="0062250D" w:rsidP="00801896">
            <w:pPr>
              <w:rPr>
                <w:sz w:val="20"/>
                <w:szCs w:val="20"/>
              </w:rPr>
            </w:pPr>
            <w:r w:rsidRPr="00A57F4E">
              <w:rPr>
                <w:rFonts w:ascii="Arial" w:hAnsi="Arial" w:cs="Arial"/>
                <w:sz w:val="20"/>
                <w:szCs w:val="20"/>
              </w:rPr>
              <w:t xml:space="preserve"> = </w:t>
            </w:r>
          </w:p>
        </w:tc>
        <w:tc>
          <w:tcPr>
            <w:tcW w:w="2067" w:type="dxa"/>
            <w:noWrap/>
            <w:tcMar>
              <w:top w:w="0" w:type="dxa"/>
              <w:left w:w="108" w:type="dxa"/>
              <w:bottom w:w="0" w:type="dxa"/>
              <w:right w:w="108" w:type="dxa"/>
            </w:tcMar>
            <w:vAlign w:val="bottom"/>
            <w:hideMark/>
          </w:tcPr>
          <w:p w14:paraId="64CAAFA7" w14:textId="77777777" w:rsidR="0062250D" w:rsidRPr="00A57F4E" w:rsidRDefault="0062250D" w:rsidP="00801896">
            <w:pPr>
              <w:jc w:val="right"/>
              <w:rPr>
                <w:sz w:val="20"/>
                <w:szCs w:val="20"/>
              </w:rPr>
            </w:pPr>
            <w:r w:rsidRPr="00A57F4E">
              <w:rPr>
                <w:rFonts w:ascii="Arial" w:hAnsi="Arial" w:cs="Arial"/>
                <w:sz w:val="20"/>
                <w:szCs w:val="20"/>
              </w:rPr>
              <w:t xml:space="preserve">        644,024,307 </w:t>
            </w:r>
          </w:p>
        </w:tc>
      </w:tr>
      <w:tr w:rsidR="0062250D" w:rsidRPr="00A57F4E" w14:paraId="09837D7C" w14:textId="77777777" w:rsidTr="00801896">
        <w:trPr>
          <w:trHeight w:val="264"/>
        </w:trPr>
        <w:tc>
          <w:tcPr>
            <w:tcW w:w="1265" w:type="dxa"/>
            <w:noWrap/>
            <w:tcMar>
              <w:top w:w="0" w:type="dxa"/>
              <w:left w:w="108" w:type="dxa"/>
              <w:bottom w:w="0" w:type="dxa"/>
              <w:right w:w="108" w:type="dxa"/>
            </w:tcMar>
            <w:vAlign w:val="bottom"/>
            <w:hideMark/>
          </w:tcPr>
          <w:p w14:paraId="72FF7FC7" w14:textId="77777777" w:rsidR="0062250D" w:rsidRPr="00A57F4E" w:rsidRDefault="0062250D" w:rsidP="00801896">
            <w:pPr>
              <w:rPr>
                <w:sz w:val="20"/>
                <w:szCs w:val="20"/>
              </w:rPr>
            </w:pPr>
            <w:r w:rsidRPr="00A57F4E">
              <w:rPr>
                <w:rFonts w:ascii="Arial" w:hAnsi="Arial" w:cs="Arial"/>
                <w:sz w:val="20"/>
                <w:szCs w:val="20"/>
              </w:rPr>
              <w:t>February</w:t>
            </w:r>
          </w:p>
        </w:tc>
        <w:tc>
          <w:tcPr>
            <w:tcW w:w="1898" w:type="dxa"/>
            <w:noWrap/>
            <w:tcMar>
              <w:top w:w="0" w:type="dxa"/>
              <w:left w:w="108" w:type="dxa"/>
              <w:bottom w:w="0" w:type="dxa"/>
              <w:right w:w="108" w:type="dxa"/>
            </w:tcMar>
            <w:vAlign w:val="bottom"/>
            <w:hideMark/>
          </w:tcPr>
          <w:p w14:paraId="4ED5E9E1" w14:textId="77777777" w:rsidR="0062250D" w:rsidRPr="00A57F4E" w:rsidRDefault="0062250D" w:rsidP="00801896">
            <w:pPr>
              <w:jc w:val="center"/>
              <w:rPr>
                <w:sz w:val="20"/>
                <w:szCs w:val="20"/>
              </w:rPr>
            </w:pPr>
            <w:r w:rsidRPr="00A57F4E">
              <w:rPr>
                <w:rFonts w:ascii="Arial" w:hAnsi="Arial" w:cs="Arial"/>
                <w:sz w:val="20"/>
                <w:szCs w:val="20"/>
              </w:rPr>
              <w:t>27,387,037</w:t>
            </w:r>
          </w:p>
        </w:tc>
        <w:tc>
          <w:tcPr>
            <w:tcW w:w="339" w:type="dxa"/>
            <w:noWrap/>
            <w:tcMar>
              <w:top w:w="0" w:type="dxa"/>
              <w:left w:w="108" w:type="dxa"/>
              <w:bottom w:w="0" w:type="dxa"/>
              <w:right w:w="108" w:type="dxa"/>
            </w:tcMar>
            <w:vAlign w:val="bottom"/>
            <w:hideMark/>
          </w:tcPr>
          <w:p w14:paraId="7F7A4EDA" w14:textId="77777777" w:rsidR="0062250D" w:rsidRPr="00A57F4E" w:rsidRDefault="0062250D" w:rsidP="00801896">
            <w:pPr>
              <w:jc w:val="right"/>
              <w:rPr>
                <w:sz w:val="20"/>
                <w:szCs w:val="20"/>
              </w:rPr>
            </w:pPr>
            <w:r w:rsidRPr="00A57F4E">
              <w:rPr>
                <w:rFonts w:ascii="Arial" w:hAnsi="Arial" w:cs="Arial"/>
                <w:sz w:val="20"/>
                <w:szCs w:val="20"/>
              </w:rPr>
              <w:t>x</w:t>
            </w:r>
          </w:p>
        </w:tc>
        <w:tc>
          <w:tcPr>
            <w:tcW w:w="1266" w:type="dxa"/>
            <w:noWrap/>
            <w:tcMar>
              <w:top w:w="0" w:type="dxa"/>
              <w:left w:w="108" w:type="dxa"/>
              <w:bottom w:w="0" w:type="dxa"/>
              <w:right w:w="108" w:type="dxa"/>
            </w:tcMar>
            <w:vAlign w:val="bottom"/>
            <w:hideMark/>
          </w:tcPr>
          <w:p w14:paraId="122FF38A" w14:textId="77777777" w:rsidR="0062250D" w:rsidRPr="00A57F4E" w:rsidRDefault="0062250D" w:rsidP="00801896">
            <w:pPr>
              <w:jc w:val="center"/>
              <w:rPr>
                <w:sz w:val="20"/>
                <w:szCs w:val="20"/>
              </w:rPr>
            </w:pPr>
            <w:r w:rsidRPr="00A57F4E">
              <w:rPr>
                <w:rFonts w:ascii="Arial" w:hAnsi="Arial" w:cs="Arial"/>
                <w:sz w:val="20"/>
                <w:szCs w:val="20"/>
              </w:rPr>
              <w:t>24</w:t>
            </w:r>
          </w:p>
        </w:tc>
        <w:tc>
          <w:tcPr>
            <w:tcW w:w="274" w:type="dxa"/>
            <w:noWrap/>
            <w:tcMar>
              <w:top w:w="0" w:type="dxa"/>
              <w:left w:w="108" w:type="dxa"/>
              <w:bottom w:w="0" w:type="dxa"/>
              <w:right w:w="108" w:type="dxa"/>
            </w:tcMar>
            <w:vAlign w:val="bottom"/>
            <w:hideMark/>
          </w:tcPr>
          <w:p w14:paraId="549EAFCD" w14:textId="77777777" w:rsidR="0062250D" w:rsidRPr="00A57F4E" w:rsidRDefault="0062250D" w:rsidP="00801896">
            <w:pPr>
              <w:rPr>
                <w:sz w:val="20"/>
                <w:szCs w:val="20"/>
              </w:rPr>
            </w:pPr>
          </w:p>
        </w:tc>
        <w:tc>
          <w:tcPr>
            <w:tcW w:w="1985" w:type="dxa"/>
            <w:noWrap/>
            <w:tcMar>
              <w:top w:w="0" w:type="dxa"/>
              <w:left w:w="108" w:type="dxa"/>
              <w:bottom w:w="0" w:type="dxa"/>
              <w:right w:w="108" w:type="dxa"/>
            </w:tcMar>
            <w:vAlign w:val="bottom"/>
            <w:hideMark/>
          </w:tcPr>
          <w:p w14:paraId="66CB2DED" w14:textId="77777777" w:rsidR="0062250D" w:rsidRPr="00A57F4E" w:rsidRDefault="0062250D" w:rsidP="00801896">
            <w:pPr>
              <w:rPr>
                <w:rFonts w:ascii="Calibri" w:hAnsi="Calibri" w:cs="Calibri"/>
                <w:sz w:val="20"/>
                <w:szCs w:val="20"/>
              </w:rPr>
            </w:pPr>
            <w:r w:rsidRPr="00A57F4E">
              <w:rPr>
                <w:rFonts w:ascii="Arial" w:hAnsi="Arial" w:cs="Arial"/>
                <w:sz w:val="20"/>
                <w:szCs w:val="20"/>
              </w:rPr>
              <w:t xml:space="preserve">-      33,900,000 </w:t>
            </w:r>
          </w:p>
        </w:tc>
        <w:tc>
          <w:tcPr>
            <w:tcW w:w="392" w:type="dxa"/>
            <w:noWrap/>
            <w:tcMar>
              <w:top w:w="0" w:type="dxa"/>
              <w:left w:w="108" w:type="dxa"/>
              <w:bottom w:w="0" w:type="dxa"/>
              <w:right w:w="108" w:type="dxa"/>
            </w:tcMar>
            <w:vAlign w:val="bottom"/>
            <w:hideMark/>
          </w:tcPr>
          <w:p w14:paraId="1BADD0DD" w14:textId="77777777" w:rsidR="0062250D" w:rsidRPr="00A57F4E" w:rsidRDefault="0062250D" w:rsidP="00801896">
            <w:pPr>
              <w:rPr>
                <w:sz w:val="20"/>
                <w:szCs w:val="20"/>
              </w:rPr>
            </w:pPr>
            <w:r w:rsidRPr="00A57F4E">
              <w:rPr>
                <w:rFonts w:ascii="Arial" w:hAnsi="Arial" w:cs="Arial"/>
                <w:sz w:val="20"/>
                <w:szCs w:val="20"/>
              </w:rPr>
              <w:t xml:space="preserve"> = </w:t>
            </w:r>
          </w:p>
        </w:tc>
        <w:tc>
          <w:tcPr>
            <w:tcW w:w="2067" w:type="dxa"/>
            <w:noWrap/>
            <w:tcMar>
              <w:top w:w="0" w:type="dxa"/>
              <w:left w:w="108" w:type="dxa"/>
              <w:bottom w:w="0" w:type="dxa"/>
              <w:right w:w="108" w:type="dxa"/>
            </w:tcMar>
            <w:vAlign w:val="bottom"/>
            <w:hideMark/>
          </w:tcPr>
          <w:p w14:paraId="76327A1C" w14:textId="77777777" w:rsidR="0062250D" w:rsidRPr="00A57F4E" w:rsidRDefault="0062250D" w:rsidP="00801896">
            <w:pPr>
              <w:jc w:val="right"/>
              <w:rPr>
                <w:sz w:val="20"/>
                <w:szCs w:val="20"/>
              </w:rPr>
            </w:pPr>
            <w:r w:rsidRPr="00A57F4E">
              <w:rPr>
                <w:rFonts w:ascii="Arial" w:hAnsi="Arial" w:cs="Arial"/>
                <w:sz w:val="20"/>
                <w:szCs w:val="20"/>
              </w:rPr>
              <w:t xml:space="preserve">        623,388,890 </w:t>
            </w:r>
          </w:p>
        </w:tc>
      </w:tr>
      <w:tr w:rsidR="0062250D" w:rsidRPr="00A57F4E" w14:paraId="776E619C" w14:textId="77777777" w:rsidTr="00801896">
        <w:trPr>
          <w:trHeight w:val="264"/>
        </w:trPr>
        <w:tc>
          <w:tcPr>
            <w:tcW w:w="1265" w:type="dxa"/>
            <w:noWrap/>
            <w:tcMar>
              <w:top w:w="0" w:type="dxa"/>
              <w:left w:w="108" w:type="dxa"/>
              <w:bottom w:w="0" w:type="dxa"/>
              <w:right w:w="108" w:type="dxa"/>
            </w:tcMar>
            <w:vAlign w:val="bottom"/>
            <w:hideMark/>
          </w:tcPr>
          <w:p w14:paraId="1471B486" w14:textId="77777777" w:rsidR="0062250D" w:rsidRPr="00A57F4E" w:rsidRDefault="0062250D" w:rsidP="00801896">
            <w:pPr>
              <w:rPr>
                <w:sz w:val="20"/>
                <w:szCs w:val="20"/>
              </w:rPr>
            </w:pPr>
            <w:r w:rsidRPr="00A57F4E">
              <w:rPr>
                <w:rFonts w:ascii="Arial" w:hAnsi="Arial" w:cs="Arial"/>
                <w:sz w:val="20"/>
                <w:szCs w:val="20"/>
              </w:rPr>
              <w:t>March</w:t>
            </w:r>
          </w:p>
        </w:tc>
        <w:tc>
          <w:tcPr>
            <w:tcW w:w="1898" w:type="dxa"/>
            <w:noWrap/>
            <w:tcMar>
              <w:top w:w="0" w:type="dxa"/>
              <w:left w:w="108" w:type="dxa"/>
              <w:bottom w:w="0" w:type="dxa"/>
              <w:right w:w="108" w:type="dxa"/>
            </w:tcMar>
            <w:vAlign w:val="bottom"/>
            <w:hideMark/>
          </w:tcPr>
          <w:p w14:paraId="69272E2D" w14:textId="77777777" w:rsidR="0062250D" w:rsidRPr="00A57F4E" w:rsidRDefault="0062250D" w:rsidP="00801896">
            <w:pPr>
              <w:jc w:val="center"/>
              <w:rPr>
                <w:sz w:val="20"/>
                <w:szCs w:val="20"/>
              </w:rPr>
            </w:pPr>
            <w:r w:rsidRPr="00A57F4E">
              <w:rPr>
                <w:rFonts w:ascii="Arial" w:hAnsi="Arial" w:cs="Arial"/>
                <w:sz w:val="20"/>
                <w:szCs w:val="20"/>
              </w:rPr>
              <w:t>28,319,183</w:t>
            </w:r>
          </w:p>
        </w:tc>
        <w:tc>
          <w:tcPr>
            <w:tcW w:w="339" w:type="dxa"/>
            <w:noWrap/>
            <w:tcMar>
              <w:top w:w="0" w:type="dxa"/>
              <w:left w:w="108" w:type="dxa"/>
              <w:bottom w:w="0" w:type="dxa"/>
              <w:right w:w="108" w:type="dxa"/>
            </w:tcMar>
            <w:vAlign w:val="bottom"/>
            <w:hideMark/>
          </w:tcPr>
          <w:p w14:paraId="1F2368B7" w14:textId="77777777" w:rsidR="0062250D" w:rsidRPr="00A57F4E" w:rsidRDefault="0062250D" w:rsidP="00801896">
            <w:pPr>
              <w:jc w:val="right"/>
              <w:rPr>
                <w:sz w:val="20"/>
                <w:szCs w:val="20"/>
              </w:rPr>
            </w:pPr>
            <w:r w:rsidRPr="00A57F4E">
              <w:rPr>
                <w:rFonts w:ascii="Arial" w:hAnsi="Arial" w:cs="Arial"/>
                <w:sz w:val="20"/>
                <w:szCs w:val="20"/>
              </w:rPr>
              <w:t>x</w:t>
            </w:r>
          </w:p>
        </w:tc>
        <w:tc>
          <w:tcPr>
            <w:tcW w:w="1266" w:type="dxa"/>
            <w:noWrap/>
            <w:tcMar>
              <w:top w:w="0" w:type="dxa"/>
              <w:left w:w="108" w:type="dxa"/>
              <w:bottom w:w="0" w:type="dxa"/>
              <w:right w:w="108" w:type="dxa"/>
            </w:tcMar>
            <w:vAlign w:val="bottom"/>
            <w:hideMark/>
          </w:tcPr>
          <w:p w14:paraId="2C74EB54" w14:textId="77777777" w:rsidR="0062250D" w:rsidRPr="00A57F4E" w:rsidRDefault="0062250D" w:rsidP="00801896">
            <w:pPr>
              <w:jc w:val="center"/>
              <w:rPr>
                <w:sz w:val="20"/>
                <w:szCs w:val="20"/>
              </w:rPr>
            </w:pPr>
            <w:r w:rsidRPr="00A57F4E">
              <w:rPr>
                <w:rFonts w:ascii="Arial" w:hAnsi="Arial" w:cs="Arial"/>
                <w:sz w:val="20"/>
                <w:szCs w:val="20"/>
              </w:rPr>
              <w:t>27</w:t>
            </w:r>
          </w:p>
        </w:tc>
        <w:tc>
          <w:tcPr>
            <w:tcW w:w="274" w:type="dxa"/>
            <w:noWrap/>
            <w:tcMar>
              <w:top w:w="0" w:type="dxa"/>
              <w:left w:w="108" w:type="dxa"/>
              <w:bottom w:w="0" w:type="dxa"/>
              <w:right w:w="108" w:type="dxa"/>
            </w:tcMar>
            <w:vAlign w:val="bottom"/>
            <w:hideMark/>
          </w:tcPr>
          <w:p w14:paraId="1C74CDDC" w14:textId="77777777" w:rsidR="0062250D" w:rsidRPr="00A57F4E" w:rsidRDefault="0062250D" w:rsidP="00801896">
            <w:pPr>
              <w:rPr>
                <w:sz w:val="20"/>
                <w:szCs w:val="20"/>
              </w:rPr>
            </w:pPr>
          </w:p>
        </w:tc>
        <w:tc>
          <w:tcPr>
            <w:tcW w:w="1985" w:type="dxa"/>
            <w:noWrap/>
            <w:tcMar>
              <w:top w:w="0" w:type="dxa"/>
              <w:left w:w="108" w:type="dxa"/>
              <w:bottom w:w="0" w:type="dxa"/>
              <w:right w:w="108" w:type="dxa"/>
            </w:tcMar>
            <w:vAlign w:val="bottom"/>
            <w:hideMark/>
          </w:tcPr>
          <w:p w14:paraId="480A2A51" w14:textId="77777777" w:rsidR="0062250D" w:rsidRPr="00A57F4E" w:rsidRDefault="0062250D" w:rsidP="00801896">
            <w:pPr>
              <w:rPr>
                <w:rFonts w:ascii="Calibri" w:hAnsi="Calibri" w:cs="Calibri"/>
                <w:sz w:val="20"/>
                <w:szCs w:val="20"/>
              </w:rPr>
            </w:pPr>
            <w:r w:rsidRPr="00A57F4E">
              <w:rPr>
                <w:rFonts w:ascii="Arial" w:hAnsi="Arial" w:cs="Arial"/>
                <w:sz w:val="20"/>
                <w:szCs w:val="20"/>
              </w:rPr>
              <w:t xml:space="preserve">-      33,900,000 </w:t>
            </w:r>
          </w:p>
        </w:tc>
        <w:tc>
          <w:tcPr>
            <w:tcW w:w="392" w:type="dxa"/>
            <w:noWrap/>
            <w:tcMar>
              <w:top w:w="0" w:type="dxa"/>
              <w:left w:w="108" w:type="dxa"/>
              <w:bottom w:w="0" w:type="dxa"/>
              <w:right w:w="108" w:type="dxa"/>
            </w:tcMar>
            <w:vAlign w:val="bottom"/>
            <w:hideMark/>
          </w:tcPr>
          <w:p w14:paraId="49064482" w14:textId="77777777" w:rsidR="0062250D" w:rsidRPr="00A57F4E" w:rsidRDefault="0062250D" w:rsidP="00801896">
            <w:pPr>
              <w:rPr>
                <w:sz w:val="20"/>
                <w:szCs w:val="20"/>
              </w:rPr>
            </w:pPr>
            <w:r w:rsidRPr="00A57F4E">
              <w:rPr>
                <w:rFonts w:ascii="Arial" w:hAnsi="Arial" w:cs="Arial"/>
                <w:sz w:val="20"/>
                <w:szCs w:val="20"/>
              </w:rPr>
              <w:t xml:space="preserve"> = </w:t>
            </w:r>
          </w:p>
        </w:tc>
        <w:tc>
          <w:tcPr>
            <w:tcW w:w="2067" w:type="dxa"/>
            <w:noWrap/>
            <w:tcMar>
              <w:top w:w="0" w:type="dxa"/>
              <w:left w:w="108" w:type="dxa"/>
              <w:bottom w:w="0" w:type="dxa"/>
              <w:right w:w="108" w:type="dxa"/>
            </w:tcMar>
            <w:vAlign w:val="bottom"/>
            <w:hideMark/>
          </w:tcPr>
          <w:p w14:paraId="107F1C53" w14:textId="77777777" w:rsidR="0062250D" w:rsidRPr="00A57F4E" w:rsidRDefault="0062250D" w:rsidP="00801896">
            <w:pPr>
              <w:jc w:val="right"/>
              <w:rPr>
                <w:sz w:val="20"/>
                <w:szCs w:val="20"/>
              </w:rPr>
            </w:pPr>
            <w:r w:rsidRPr="00A57F4E">
              <w:rPr>
                <w:rFonts w:ascii="Arial" w:hAnsi="Arial" w:cs="Arial"/>
                <w:sz w:val="20"/>
                <w:szCs w:val="20"/>
              </w:rPr>
              <w:t xml:space="preserve">        730,717,933 </w:t>
            </w:r>
          </w:p>
        </w:tc>
      </w:tr>
      <w:tr w:rsidR="0062250D" w:rsidRPr="00A57F4E" w14:paraId="4787C032" w14:textId="77777777" w:rsidTr="00801896">
        <w:trPr>
          <w:trHeight w:val="264"/>
        </w:trPr>
        <w:tc>
          <w:tcPr>
            <w:tcW w:w="1265" w:type="dxa"/>
            <w:tcBorders>
              <w:top w:val="nil"/>
              <w:left w:val="nil"/>
              <w:bottom w:val="single" w:sz="8" w:space="0" w:color="auto"/>
              <w:right w:val="nil"/>
            </w:tcBorders>
            <w:noWrap/>
            <w:tcMar>
              <w:top w:w="0" w:type="dxa"/>
              <w:left w:w="108" w:type="dxa"/>
              <w:bottom w:w="0" w:type="dxa"/>
              <w:right w:w="108" w:type="dxa"/>
            </w:tcMar>
            <w:vAlign w:val="bottom"/>
            <w:hideMark/>
          </w:tcPr>
          <w:p w14:paraId="60A3861F" w14:textId="77777777" w:rsidR="0062250D" w:rsidRPr="00A57F4E" w:rsidRDefault="0062250D" w:rsidP="00801896">
            <w:pPr>
              <w:rPr>
                <w:sz w:val="20"/>
                <w:szCs w:val="20"/>
              </w:rPr>
            </w:pPr>
            <w:r w:rsidRPr="00A57F4E">
              <w:rPr>
                <w:rFonts w:ascii="Arial" w:hAnsi="Arial" w:cs="Arial"/>
                <w:sz w:val="20"/>
                <w:szCs w:val="20"/>
              </w:rPr>
              <w:t> </w:t>
            </w:r>
          </w:p>
        </w:tc>
        <w:tc>
          <w:tcPr>
            <w:tcW w:w="1898" w:type="dxa"/>
            <w:tcBorders>
              <w:top w:val="nil"/>
              <w:left w:val="nil"/>
              <w:bottom w:val="single" w:sz="8" w:space="0" w:color="auto"/>
              <w:right w:val="nil"/>
            </w:tcBorders>
            <w:noWrap/>
            <w:tcMar>
              <w:top w:w="0" w:type="dxa"/>
              <w:left w:w="108" w:type="dxa"/>
              <w:bottom w:w="0" w:type="dxa"/>
              <w:right w:w="108" w:type="dxa"/>
            </w:tcMar>
            <w:vAlign w:val="bottom"/>
            <w:hideMark/>
          </w:tcPr>
          <w:p w14:paraId="7C5D3531" w14:textId="77777777" w:rsidR="0062250D" w:rsidRPr="00A57F4E" w:rsidRDefault="0062250D" w:rsidP="00801896">
            <w:pPr>
              <w:rPr>
                <w:sz w:val="20"/>
                <w:szCs w:val="20"/>
              </w:rPr>
            </w:pPr>
            <w:r w:rsidRPr="00A57F4E">
              <w:rPr>
                <w:rFonts w:ascii="Arial" w:hAnsi="Arial" w:cs="Arial"/>
                <w:sz w:val="20"/>
                <w:szCs w:val="20"/>
              </w:rPr>
              <w:t> </w:t>
            </w:r>
          </w:p>
        </w:tc>
        <w:tc>
          <w:tcPr>
            <w:tcW w:w="339" w:type="dxa"/>
            <w:tcBorders>
              <w:top w:val="nil"/>
              <w:left w:val="nil"/>
              <w:bottom w:val="single" w:sz="8" w:space="0" w:color="auto"/>
              <w:right w:val="nil"/>
            </w:tcBorders>
            <w:noWrap/>
            <w:tcMar>
              <w:top w:w="0" w:type="dxa"/>
              <w:left w:w="108" w:type="dxa"/>
              <w:bottom w:w="0" w:type="dxa"/>
              <w:right w:w="108" w:type="dxa"/>
            </w:tcMar>
            <w:vAlign w:val="bottom"/>
            <w:hideMark/>
          </w:tcPr>
          <w:p w14:paraId="1ECE8227" w14:textId="77777777" w:rsidR="0062250D" w:rsidRPr="00A57F4E" w:rsidRDefault="0062250D" w:rsidP="00801896">
            <w:pPr>
              <w:rPr>
                <w:sz w:val="20"/>
                <w:szCs w:val="20"/>
              </w:rPr>
            </w:pPr>
            <w:r w:rsidRPr="00A57F4E">
              <w:rPr>
                <w:rFonts w:ascii="Arial" w:hAnsi="Arial" w:cs="Arial"/>
                <w:sz w:val="20"/>
                <w:szCs w:val="20"/>
              </w:rPr>
              <w:t> </w:t>
            </w:r>
          </w:p>
        </w:tc>
        <w:tc>
          <w:tcPr>
            <w:tcW w:w="1266" w:type="dxa"/>
            <w:tcBorders>
              <w:top w:val="nil"/>
              <w:left w:val="nil"/>
              <w:bottom w:val="single" w:sz="8" w:space="0" w:color="auto"/>
              <w:right w:val="nil"/>
            </w:tcBorders>
            <w:noWrap/>
            <w:tcMar>
              <w:top w:w="0" w:type="dxa"/>
              <w:left w:w="108" w:type="dxa"/>
              <w:bottom w:w="0" w:type="dxa"/>
              <w:right w:w="108" w:type="dxa"/>
            </w:tcMar>
            <w:vAlign w:val="bottom"/>
            <w:hideMark/>
          </w:tcPr>
          <w:p w14:paraId="7363D4A0" w14:textId="77777777" w:rsidR="0062250D" w:rsidRPr="00A57F4E" w:rsidRDefault="0062250D" w:rsidP="00801896">
            <w:pPr>
              <w:rPr>
                <w:sz w:val="20"/>
                <w:szCs w:val="20"/>
              </w:rPr>
            </w:pPr>
            <w:r w:rsidRPr="00A57F4E">
              <w:rPr>
                <w:rFonts w:ascii="Arial" w:hAnsi="Arial" w:cs="Arial"/>
                <w:sz w:val="20"/>
                <w:szCs w:val="20"/>
              </w:rPr>
              <w:t> </w:t>
            </w:r>
          </w:p>
        </w:tc>
        <w:tc>
          <w:tcPr>
            <w:tcW w:w="274" w:type="dxa"/>
            <w:tcBorders>
              <w:top w:val="nil"/>
              <w:left w:val="nil"/>
              <w:bottom w:val="single" w:sz="8" w:space="0" w:color="auto"/>
              <w:right w:val="nil"/>
            </w:tcBorders>
            <w:noWrap/>
            <w:tcMar>
              <w:top w:w="0" w:type="dxa"/>
              <w:left w:w="108" w:type="dxa"/>
              <w:bottom w:w="0" w:type="dxa"/>
              <w:right w:w="108" w:type="dxa"/>
            </w:tcMar>
            <w:vAlign w:val="bottom"/>
            <w:hideMark/>
          </w:tcPr>
          <w:p w14:paraId="57E102BF" w14:textId="77777777" w:rsidR="0062250D" w:rsidRPr="00A57F4E" w:rsidRDefault="0062250D" w:rsidP="00801896">
            <w:pPr>
              <w:rPr>
                <w:sz w:val="20"/>
                <w:szCs w:val="20"/>
              </w:rPr>
            </w:pPr>
            <w:r w:rsidRPr="00A57F4E">
              <w:rPr>
                <w:rFonts w:ascii="Arial" w:hAnsi="Arial" w:cs="Arial"/>
                <w:sz w:val="20"/>
                <w:szCs w:val="20"/>
              </w:rPr>
              <w:t> </w:t>
            </w:r>
          </w:p>
        </w:tc>
        <w:tc>
          <w:tcPr>
            <w:tcW w:w="1985" w:type="dxa"/>
            <w:tcBorders>
              <w:top w:val="nil"/>
              <w:left w:val="nil"/>
              <w:bottom w:val="single" w:sz="8" w:space="0" w:color="auto"/>
              <w:right w:val="nil"/>
            </w:tcBorders>
            <w:noWrap/>
            <w:tcMar>
              <w:top w:w="0" w:type="dxa"/>
              <w:left w:w="108" w:type="dxa"/>
              <w:bottom w:w="0" w:type="dxa"/>
              <w:right w:w="108" w:type="dxa"/>
            </w:tcMar>
            <w:vAlign w:val="bottom"/>
            <w:hideMark/>
          </w:tcPr>
          <w:p w14:paraId="6E3346B4" w14:textId="77777777" w:rsidR="0062250D" w:rsidRPr="00A57F4E" w:rsidRDefault="0062250D" w:rsidP="00801896">
            <w:pPr>
              <w:rPr>
                <w:sz w:val="20"/>
                <w:szCs w:val="20"/>
              </w:rPr>
            </w:pPr>
            <w:r w:rsidRPr="00A57F4E">
              <w:rPr>
                <w:rFonts w:ascii="Arial" w:hAnsi="Arial" w:cs="Arial"/>
                <w:sz w:val="20"/>
                <w:szCs w:val="20"/>
              </w:rPr>
              <w:t> </w:t>
            </w:r>
          </w:p>
        </w:tc>
        <w:tc>
          <w:tcPr>
            <w:tcW w:w="392" w:type="dxa"/>
            <w:tcBorders>
              <w:top w:val="nil"/>
              <w:left w:val="nil"/>
              <w:bottom w:val="single" w:sz="8" w:space="0" w:color="auto"/>
              <w:right w:val="nil"/>
            </w:tcBorders>
            <w:noWrap/>
            <w:tcMar>
              <w:top w:w="0" w:type="dxa"/>
              <w:left w:w="108" w:type="dxa"/>
              <w:bottom w:w="0" w:type="dxa"/>
              <w:right w:w="108" w:type="dxa"/>
            </w:tcMar>
            <w:vAlign w:val="bottom"/>
            <w:hideMark/>
          </w:tcPr>
          <w:p w14:paraId="402C681E" w14:textId="77777777" w:rsidR="0062250D" w:rsidRPr="00A57F4E" w:rsidRDefault="0062250D" w:rsidP="00801896">
            <w:pPr>
              <w:rPr>
                <w:sz w:val="20"/>
                <w:szCs w:val="20"/>
              </w:rPr>
            </w:pPr>
            <w:r w:rsidRPr="00A57F4E">
              <w:rPr>
                <w:rFonts w:ascii="Arial" w:hAnsi="Arial" w:cs="Arial"/>
                <w:sz w:val="20"/>
                <w:szCs w:val="20"/>
              </w:rPr>
              <w:t> </w:t>
            </w:r>
          </w:p>
        </w:tc>
        <w:tc>
          <w:tcPr>
            <w:tcW w:w="2067" w:type="dxa"/>
            <w:tcBorders>
              <w:top w:val="nil"/>
              <w:left w:val="nil"/>
              <w:bottom w:val="single" w:sz="8" w:space="0" w:color="auto"/>
              <w:right w:val="nil"/>
            </w:tcBorders>
            <w:noWrap/>
            <w:tcMar>
              <w:top w:w="0" w:type="dxa"/>
              <w:left w:w="108" w:type="dxa"/>
              <w:bottom w:w="0" w:type="dxa"/>
              <w:right w:w="108" w:type="dxa"/>
            </w:tcMar>
            <w:vAlign w:val="bottom"/>
            <w:hideMark/>
          </w:tcPr>
          <w:p w14:paraId="02A32324" w14:textId="77777777" w:rsidR="0062250D" w:rsidRPr="00A57F4E" w:rsidRDefault="0062250D" w:rsidP="00801896">
            <w:pPr>
              <w:jc w:val="right"/>
              <w:rPr>
                <w:sz w:val="20"/>
                <w:szCs w:val="20"/>
              </w:rPr>
            </w:pPr>
            <w:r w:rsidRPr="00A57F4E">
              <w:rPr>
                <w:rFonts w:ascii="Arial" w:hAnsi="Arial" w:cs="Arial"/>
                <w:sz w:val="20"/>
                <w:szCs w:val="20"/>
              </w:rPr>
              <w:t> </w:t>
            </w:r>
          </w:p>
        </w:tc>
      </w:tr>
      <w:tr w:rsidR="0062250D" w:rsidRPr="00A57F4E" w14:paraId="45AF7650" w14:textId="77777777" w:rsidTr="00801896">
        <w:trPr>
          <w:trHeight w:val="68"/>
        </w:trPr>
        <w:tc>
          <w:tcPr>
            <w:tcW w:w="1265" w:type="dxa"/>
            <w:tcBorders>
              <w:top w:val="nil"/>
              <w:left w:val="nil"/>
              <w:bottom w:val="single" w:sz="8" w:space="0" w:color="auto"/>
              <w:right w:val="nil"/>
            </w:tcBorders>
            <w:noWrap/>
            <w:tcMar>
              <w:top w:w="0" w:type="dxa"/>
              <w:left w:w="108" w:type="dxa"/>
              <w:bottom w:w="0" w:type="dxa"/>
              <w:right w:w="108" w:type="dxa"/>
            </w:tcMar>
            <w:vAlign w:val="bottom"/>
            <w:hideMark/>
          </w:tcPr>
          <w:p w14:paraId="3DE506C6" w14:textId="77777777" w:rsidR="0062250D" w:rsidRPr="00A57F4E" w:rsidRDefault="0062250D" w:rsidP="00801896">
            <w:pPr>
              <w:rPr>
                <w:sz w:val="20"/>
                <w:szCs w:val="20"/>
              </w:rPr>
            </w:pPr>
            <w:r w:rsidRPr="00A57F4E">
              <w:rPr>
                <w:rFonts w:ascii="Arial" w:hAnsi="Arial" w:cs="Arial"/>
                <w:b/>
                <w:bCs/>
                <w:sz w:val="20"/>
                <w:szCs w:val="20"/>
              </w:rPr>
              <w:t> </w:t>
            </w:r>
          </w:p>
        </w:tc>
        <w:tc>
          <w:tcPr>
            <w:tcW w:w="1898" w:type="dxa"/>
            <w:tcBorders>
              <w:top w:val="nil"/>
              <w:left w:val="nil"/>
              <w:bottom w:val="single" w:sz="8" w:space="0" w:color="auto"/>
              <w:right w:val="nil"/>
            </w:tcBorders>
            <w:noWrap/>
            <w:tcMar>
              <w:top w:w="0" w:type="dxa"/>
              <w:left w:w="108" w:type="dxa"/>
              <w:bottom w:w="0" w:type="dxa"/>
              <w:right w:w="108" w:type="dxa"/>
            </w:tcMar>
            <w:vAlign w:val="bottom"/>
            <w:hideMark/>
          </w:tcPr>
          <w:p w14:paraId="1641A4C9" w14:textId="77777777" w:rsidR="0062250D" w:rsidRPr="00A57F4E" w:rsidRDefault="0062250D" w:rsidP="00801896">
            <w:pPr>
              <w:rPr>
                <w:sz w:val="20"/>
                <w:szCs w:val="20"/>
              </w:rPr>
            </w:pPr>
            <w:r w:rsidRPr="00A57F4E">
              <w:rPr>
                <w:rFonts w:ascii="Arial" w:hAnsi="Arial" w:cs="Arial"/>
                <w:b/>
                <w:bCs/>
                <w:sz w:val="20"/>
                <w:szCs w:val="20"/>
              </w:rPr>
              <w:t> </w:t>
            </w:r>
          </w:p>
        </w:tc>
        <w:tc>
          <w:tcPr>
            <w:tcW w:w="339" w:type="dxa"/>
            <w:tcBorders>
              <w:top w:val="nil"/>
              <w:left w:val="nil"/>
              <w:bottom w:val="single" w:sz="8" w:space="0" w:color="auto"/>
              <w:right w:val="nil"/>
            </w:tcBorders>
            <w:noWrap/>
            <w:tcMar>
              <w:top w:w="0" w:type="dxa"/>
              <w:left w:w="108" w:type="dxa"/>
              <w:bottom w:w="0" w:type="dxa"/>
              <w:right w:w="108" w:type="dxa"/>
            </w:tcMar>
            <w:vAlign w:val="bottom"/>
            <w:hideMark/>
          </w:tcPr>
          <w:p w14:paraId="6F5B781A" w14:textId="77777777" w:rsidR="0062250D" w:rsidRPr="00A57F4E" w:rsidRDefault="0062250D" w:rsidP="00801896">
            <w:pPr>
              <w:rPr>
                <w:sz w:val="20"/>
                <w:szCs w:val="20"/>
              </w:rPr>
            </w:pPr>
            <w:r w:rsidRPr="00A57F4E">
              <w:rPr>
                <w:rFonts w:ascii="Arial" w:hAnsi="Arial" w:cs="Arial"/>
                <w:b/>
                <w:bCs/>
                <w:sz w:val="20"/>
                <w:szCs w:val="20"/>
              </w:rPr>
              <w:t> </w:t>
            </w:r>
          </w:p>
        </w:tc>
        <w:tc>
          <w:tcPr>
            <w:tcW w:w="1266" w:type="dxa"/>
            <w:tcBorders>
              <w:top w:val="nil"/>
              <w:left w:val="nil"/>
              <w:bottom w:val="single" w:sz="8" w:space="0" w:color="auto"/>
              <w:right w:val="nil"/>
            </w:tcBorders>
            <w:noWrap/>
            <w:tcMar>
              <w:top w:w="0" w:type="dxa"/>
              <w:left w:w="108" w:type="dxa"/>
              <w:bottom w:w="0" w:type="dxa"/>
              <w:right w:w="108" w:type="dxa"/>
            </w:tcMar>
            <w:vAlign w:val="bottom"/>
            <w:hideMark/>
          </w:tcPr>
          <w:p w14:paraId="231B696B" w14:textId="77777777" w:rsidR="0062250D" w:rsidRPr="00A57F4E" w:rsidRDefault="0062250D" w:rsidP="00801896">
            <w:pPr>
              <w:rPr>
                <w:sz w:val="20"/>
                <w:szCs w:val="20"/>
              </w:rPr>
            </w:pPr>
            <w:r w:rsidRPr="00A57F4E">
              <w:rPr>
                <w:rFonts w:ascii="Arial" w:hAnsi="Arial" w:cs="Arial"/>
                <w:b/>
                <w:bCs/>
                <w:sz w:val="20"/>
                <w:szCs w:val="20"/>
              </w:rPr>
              <w:t> </w:t>
            </w:r>
          </w:p>
        </w:tc>
        <w:tc>
          <w:tcPr>
            <w:tcW w:w="274" w:type="dxa"/>
            <w:tcBorders>
              <w:top w:val="nil"/>
              <w:left w:val="nil"/>
              <w:bottom w:val="single" w:sz="8" w:space="0" w:color="auto"/>
              <w:right w:val="nil"/>
            </w:tcBorders>
            <w:noWrap/>
            <w:tcMar>
              <w:top w:w="0" w:type="dxa"/>
              <w:left w:w="108" w:type="dxa"/>
              <w:bottom w:w="0" w:type="dxa"/>
              <w:right w:w="108" w:type="dxa"/>
            </w:tcMar>
            <w:vAlign w:val="bottom"/>
            <w:hideMark/>
          </w:tcPr>
          <w:p w14:paraId="6DA7FDF8" w14:textId="77777777" w:rsidR="0062250D" w:rsidRPr="00A57F4E" w:rsidRDefault="0062250D" w:rsidP="00801896">
            <w:pPr>
              <w:rPr>
                <w:sz w:val="20"/>
                <w:szCs w:val="20"/>
              </w:rPr>
            </w:pPr>
            <w:r w:rsidRPr="00A57F4E">
              <w:rPr>
                <w:rFonts w:ascii="Arial" w:hAnsi="Arial" w:cs="Arial"/>
                <w:b/>
                <w:bCs/>
                <w:sz w:val="20"/>
                <w:szCs w:val="20"/>
              </w:rPr>
              <w:t> </w:t>
            </w:r>
          </w:p>
        </w:tc>
        <w:tc>
          <w:tcPr>
            <w:tcW w:w="1985" w:type="dxa"/>
            <w:tcBorders>
              <w:top w:val="nil"/>
              <w:left w:val="nil"/>
              <w:bottom w:val="single" w:sz="8" w:space="0" w:color="auto"/>
              <w:right w:val="nil"/>
            </w:tcBorders>
            <w:noWrap/>
            <w:tcMar>
              <w:top w:w="0" w:type="dxa"/>
              <w:left w:w="108" w:type="dxa"/>
              <w:bottom w:w="0" w:type="dxa"/>
              <w:right w:w="108" w:type="dxa"/>
            </w:tcMar>
            <w:vAlign w:val="bottom"/>
            <w:hideMark/>
          </w:tcPr>
          <w:p w14:paraId="60C6F39A" w14:textId="77777777" w:rsidR="0062250D" w:rsidRPr="00A57F4E" w:rsidRDefault="0062250D" w:rsidP="00801896">
            <w:pPr>
              <w:jc w:val="right"/>
              <w:rPr>
                <w:sz w:val="20"/>
                <w:szCs w:val="20"/>
              </w:rPr>
            </w:pPr>
            <w:r w:rsidRPr="00A57F4E">
              <w:rPr>
                <w:rFonts w:ascii="Arial" w:hAnsi="Arial" w:cs="Arial"/>
                <w:b/>
                <w:bCs/>
                <w:sz w:val="20"/>
                <w:szCs w:val="20"/>
              </w:rPr>
              <w:t>Total</w:t>
            </w:r>
          </w:p>
        </w:tc>
        <w:tc>
          <w:tcPr>
            <w:tcW w:w="392" w:type="dxa"/>
            <w:tcBorders>
              <w:top w:val="nil"/>
              <w:left w:val="nil"/>
              <w:bottom w:val="single" w:sz="8" w:space="0" w:color="auto"/>
              <w:right w:val="nil"/>
            </w:tcBorders>
            <w:noWrap/>
            <w:tcMar>
              <w:top w:w="0" w:type="dxa"/>
              <w:left w:w="108" w:type="dxa"/>
              <w:bottom w:w="0" w:type="dxa"/>
              <w:right w:w="108" w:type="dxa"/>
            </w:tcMar>
            <w:vAlign w:val="bottom"/>
            <w:hideMark/>
          </w:tcPr>
          <w:p w14:paraId="4B7C32FC" w14:textId="77777777" w:rsidR="0062250D" w:rsidRPr="00A57F4E" w:rsidRDefault="0062250D" w:rsidP="00801896">
            <w:pPr>
              <w:rPr>
                <w:sz w:val="20"/>
                <w:szCs w:val="20"/>
              </w:rPr>
            </w:pPr>
            <w:r w:rsidRPr="00A57F4E">
              <w:rPr>
                <w:rFonts w:ascii="Arial" w:hAnsi="Arial" w:cs="Arial"/>
                <w:b/>
                <w:bCs/>
                <w:sz w:val="20"/>
                <w:szCs w:val="20"/>
              </w:rPr>
              <w:t> </w:t>
            </w:r>
          </w:p>
        </w:tc>
        <w:tc>
          <w:tcPr>
            <w:tcW w:w="2067" w:type="dxa"/>
            <w:tcBorders>
              <w:top w:val="nil"/>
              <w:left w:val="nil"/>
              <w:bottom w:val="single" w:sz="8" w:space="0" w:color="auto"/>
              <w:right w:val="nil"/>
            </w:tcBorders>
            <w:noWrap/>
            <w:tcMar>
              <w:top w:w="0" w:type="dxa"/>
              <w:left w:w="108" w:type="dxa"/>
              <w:bottom w:w="0" w:type="dxa"/>
              <w:right w:w="108" w:type="dxa"/>
            </w:tcMar>
            <w:vAlign w:val="bottom"/>
            <w:hideMark/>
          </w:tcPr>
          <w:p w14:paraId="76BCD7CB" w14:textId="77777777" w:rsidR="0062250D" w:rsidRPr="00A57F4E" w:rsidRDefault="0062250D" w:rsidP="00801896">
            <w:pPr>
              <w:jc w:val="right"/>
              <w:rPr>
                <w:sz w:val="20"/>
                <w:szCs w:val="20"/>
              </w:rPr>
            </w:pPr>
            <w:r w:rsidRPr="00A57F4E">
              <w:rPr>
                <w:rFonts w:ascii="Arial" w:hAnsi="Arial" w:cs="Arial"/>
                <w:b/>
                <w:bCs/>
                <w:sz w:val="20"/>
                <w:szCs w:val="20"/>
              </w:rPr>
              <w:t>8,444,254,369</w:t>
            </w:r>
          </w:p>
        </w:tc>
      </w:tr>
    </w:tbl>
    <w:p w14:paraId="0C509597" w14:textId="77777777" w:rsidR="00516207" w:rsidRDefault="00516207" w:rsidP="0062250D">
      <w:pPr>
        <w:spacing w:after="100"/>
        <w:ind w:left="57"/>
      </w:pPr>
    </w:p>
    <w:p w14:paraId="4F33D2EB" w14:textId="7DFCFEE0" w:rsidR="008F2095" w:rsidRDefault="008F2095" w:rsidP="008F2095">
      <w:pPr>
        <w:pStyle w:val="ListParagraph"/>
        <w:numPr>
          <w:ilvl w:val="0"/>
          <w:numId w:val="2"/>
        </w:numPr>
        <w:spacing w:after="100"/>
        <w:ind w:left="414" w:hanging="357"/>
        <w:contextualSpacing w:val="0"/>
      </w:pPr>
      <w:r>
        <w:t xml:space="preserve">These forecasts </w:t>
      </w:r>
      <w:r w:rsidR="00286EDC">
        <w:t>are then used to estimate the forecast profile each month (</w:t>
      </w:r>
      <w:proofErr w:type="gramStart"/>
      <w:r w:rsidR="00286EDC">
        <w:t>i.e.</w:t>
      </w:r>
      <w:proofErr w:type="gramEnd"/>
      <w:r w:rsidR="00286EDC">
        <w:t xml:space="preserve"> what percentage of the </w:t>
      </w:r>
      <w:r w:rsidR="00301193">
        <w:t>year</w:t>
      </w:r>
      <w:r w:rsidR="00286EDC">
        <w:t xml:space="preserve"> spend is </w:t>
      </w:r>
      <w:r w:rsidR="00463AFC">
        <w:t xml:space="preserve">expected </w:t>
      </w:r>
      <w:r w:rsidR="00301193">
        <w:t xml:space="preserve">in </w:t>
      </w:r>
      <w:r w:rsidR="00463AFC">
        <w:t>each</w:t>
      </w:r>
      <w:r w:rsidR="00301193">
        <w:t xml:space="preserve"> individual</w:t>
      </w:r>
      <w:r w:rsidR="00463AFC">
        <w:t xml:space="preserve"> month) as well as the cumulative profile (</w:t>
      </w:r>
      <w:r w:rsidR="00BA5120">
        <w:t xml:space="preserve">the </w:t>
      </w:r>
      <w:r w:rsidR="00124BD3">
        <w:t xml:space="preserve">running </w:t>
      </w:r>
      <w:r w:rsidR="00BA5120">
        <w:t xml:space="preserve">total percentage of </w:t>
      </w:r>
      <w:r w:rsidR="00301193">
        <w:t xml:space="preserve">yearly spend </w:t>
      </w:r>
      <w:r w:rsidR="0088294C">
        <w:t xml:space="preserve">in each month to date). </w:t>
      </w:r>
    </w:p>
    <w:p w14:paraId="46CF7097" w14:textId="50F71AC7" w:rsidR="00516207" w:rsidRDefault="00B1440A" w:rsidP="008F2095">
      <w:pPr>
        <w:pStyle w:val="ListParagraph"/>
        <w:numPr>
          <w:ilvl w:val="0"/>
          <w:numId w:val="2"/>
        </w:numPr>
        <w:spacing w:after="100"/>
        <w:ind w:left="414" w:hanging="357"/>
        <w:contextualSpacing w:val="0"/>
      </w:pPr>
      <w:r>
        <w:t>The forecast</w:t>
      </w:r>
      <w:r w:rsidR="00124BD3">
        <w:t xml:space="preserve"> spend is </w:t>
      </w:r>
      <w:r>
        <w:t>fixed at the beginning of the financial year and the forecasts themselves will not change during the financial year</w:t>
      </w:r>
      <w:r w:rsidR="008F2095">
        <w:t>. However</w:t>
      </w:r>
      <w:r w:rsidR="00124BD3">
        <w:t xml:space="preserve">, as more real data is added over the course of the year, this will replace the forecast data for any given month which will change the forecast profiles. </w:t>
      </w:r>
      <w:r w:rsidR="008F2095">
        <w:t xml:space="preserve"> </w:t>
      </w:r>
    </w:p>
    <w:p w14:paraId="0F0B362E" w14:textId="77777777" w:rsidR="00516207" w:rsidRDefault="00516207" w:rsidP="00516207">
      <w:pPr>
        <w:pStyle w:val="Heading2"/>
      </w:pPr>
      <w:r>
        <w:t>Benefits and Caveats of the Model</w:t>
      </w:r>
    </w:p>
    <w:p w14:paraId="44AE18FE" w14:textId="55BBD024" w:rsidR="00516207" w:rsidRDefault="00733089" w:rsidP="00E728CB">
      <w:pPr>
        <w:pStyle w:val="ListParagraph"/>
        <w:numPr>
          <w:ilvl w:val="0"/>
          <w:numId w:val="2"/>
        </w:numPr>
        <w:spacing w:after="100"/>
        <w:ind w:left="414" w:hanging="357"/>
        <w:contextualSpacing w:val="0"/>
      </w:pPr>
      <w:r>
        <w:t>T</w:t>
      </w:r>
      <w:r w:rsidR="009E5C79">
        <w:t>his model has replaced</w:t>
      </w:r>
      <w:r w:rsidR="004F0A63">
        <w:t xml:space="preserve"> the linear forecasting model previously used to forecast prescription spend.</w:t>
      </w:r>
      <w:r w:rsidR="00E728CB">
        <w:t xml:space="preserve"> </w:t>
      </w:r>
      <w:r w:rsidR="00696779">
        <w:t xml:space="preserve">A full comparison between these methodologies can be seen in </w:t>
      </w:r>
      <w:r w:rsidR="00352181">
        <w:t>SICBL</w:t>
      </w:r>
      <w:r w:rsidR="006E176C">
        <w:t>PrescribingModel_FullWriteUp.docx</w:t>
      </w:r>
      <w:r w:rsidR="00696779">
        <w:t>.</w:t>
      </w:r>
    </w:p>
    <w:p w14:paraId="0C6E6CD5" w14:textId="5C95DA93" w:rsidR="00E728CB" w:rsidRDefault="0004774C" w:rsidP="00E728CB">
      <w:pPr>
        <w:pStyle w:val="ListParagraph"/>
        <w:numPr>
          <w:ilvl w:val="0"/>
          <w:numId w:val="2"/>
        </w:numPr>
        <w:spacing w:after="100"/>
        <w:ind w:left="414" w:hanging="357"/>
        <w:contextualSpacing w:val="0"/>
      </w:pPr>
      <w:r>
        <w:t xml:space="preserve">The linear regression model </w:t>
      </w:r>
      <w:r w:rsidR="009810BA">
        <w:t>is less transparent and can be harder to understand an</w:t>
      </w:r>
      <w:r w:rsidR="00733089">
        <w:t>d</w:t>
      </w:r>
      <w:r w:rsidR="009810BA">
        <w:t xml:space="preserve"> interpret for all users. It was also found to be somewhat inaccurate at estimating </w:t>
      </w:r>
      <w:r w:rsidR="00131AAF">
        <w:t xml:space="preserve">the overall spend in some periods due to issues with the time variable whereby the spend is not necessarily changing with time. </w:t>
      </w:r>
    </w:p>
    <w:p w14:paraId="3CC8061C" w14:textId="05D2F76A" w:rsidR="00131AAF" w:rsidRDefault="002F7EF7" w:rsidP="00E728CB">
      <w:pPr>
        <w:pStyle w:val="ListParagraph"/>
        <w:numPr>
          <w:ilvl w:val="0"/>
          <w:numId w:val="2"/>
        </w:numPr>
        <w:spacing w:after="100"/>
        <w:ind w:left="414" w:hanging="357"/>
        <w:contextualSpacing w:val="0"/>
      </w:pPr>
      <w:r>
        <w:t xml:space="preserve">The simple averaging model is intended to be </w:t>
      </w:r>
      <w:r w:rsidR="00131AAF">
        <w:t xml:space="preserve">more easily understood by </w:t>
      </w:r>
      <w:r w:rsidR="00125907">
        <w:t>most</w:t>
      </w:r>
      <w:r w:rsidR="00131AAF">
        <w:t xml:space="preserve"> users. Due to a clear relationship between the month of the year and the number of dispensing days (the </w:t>
      </w:r>
      <w:r w:rsidR="00131AAF">
        <w:lastRenderedPageBreak/>
        <w:t>parameters used in the simpler, aver</w:t>
      </w:r>
      <w:r w:rsidR="001A11BF">
        <w:t>aging model</w:t>
      </w:r>
      <w:proofErr w:type="gramStart"/>
      <w:r w:rsidR="001A11BF">
        <w:t>),</w:t>
      </w:r>
      <w:proofErr w:type="gramEnd"/>
      <w:r w:rsidR="001A11BF">
        <w:t xml:space="preserve"> the results of the simple model were comparable to those of the linear regression model. </w:t>
      </w:r>
    </w:p>
    <w:p w14:paraId="7B07B646" w14:textId="218BCACE" w:rsidR="00C62B42" w:rsidRDefault="002F7EF7" w:rsidP="00E728CB">
      <w:pPr>
        <w:pStyle w:val="ListParagraph"/>
        <w:numPr>
          <w:ilvl w:val="0"/>
          <w:numId w:val="2"/>
        </w:numPr>
        <w:spacing w:after="100"/>
        <w:ind w:left="414" w:hanging="357"/>
        <w:contextualSpacing w:val="0"/>
      </w:pPr>
      <w:r>
        <w:t>T</w:t>
      </w:r>
      <w:r w:rsidR="00C62B42">
        <w:t xml:space="preserve">here are some important caveats of this model </w:t>
      </w:r>
      <w:r w:rsidR="00740AC3">
        <w:t>which should be considered when interpreting the results</w:t>
      </w:r>
      <w:r>
        <w:t xml:space="preserve">; </w:t>
      </w:r>
      <w:r w:rsidR="003B14D4">
        <w:t>many of which were also the case for the linear regression model.</w:t>
      </w:r>
    </w:p>
    <w:p w14:paraId="64E41ED6" w14:textId="468E554F" w:rsidR="00CE21DB" w:rsidRPr="006820B6" w:rsidRDefault="005A00CB" w:rsidP="00E728CB">
      <w:pPr>
        <w:pStyle w:val="ListParagraph"/>
        <w:numPr>
          <w:ilvl w:val="0"/>
          <w:numId w:val="2"/>
        </w:numPr>
        <w:spacing w:after="100"/>
        <w:ind w:left="414" w:hanging="357"/>
        <w:contextualSpacing w:val="0"/>
      </w:pPr>
      <w:r>
        <w:rPr>
          <w:rFonts w:ascii="Calibri" w:hAnsi="Calibri" w:cs="Calibri"/>
        </w:rPr>
        <w:t xml:space="preserve">Forecasts are </w:t>
      </w:r>
      <w:r w:rsidR="002F7EF7">
        <w:rPr>
          <w:rFonts w:ascii="Calibri" w:hAnsi="Calibri" w:cs="Calibri"/>
        </w:rPr>
        <w:t>b</w:t>
      </w:r>
      <w:r>
        <w:rPr>
          <w:rFonts w:ascii="Calibri" w:hAnsi="Calibri" w:cs="Calibri"/>
        </w:rPr>
        <w:t>ased on the previous 5 years’ data and hence the forecasts themselves will not change within a financial year</w:t>
      </w:r>
      <w:r w:rsidR="00DD13F9">
        <w:rPr>
          <w:rFonts w:ascii="Calibri" w:hAnsi="Calibri" w:cs="Calibri"/>
        </w:rPr>
        <w:t>; this means that</w:t>
      </w:r>
      <w:r w:rsidR="002F7EF7">
        <w:rPr>
          <w:rFonts w:ascii="Calibri" w:hAnsi="Calibri" w:cs="Calibri"/>
        </w:rPr>
        <w:t xml:space="preserve"> </w:t>
      </w:r>
      <w:r>
        <w:rPr>
          <w:rFonts w:ascii="Calibri" w:hAnsi="Calibri" w:cs="Calibri"/>
        </w:rPr>
        <w:t>the forecast</w:t>
      </w:r>
      <w:r w:rsidR="00DD13F9">
        <w:rPr>
          <w:rFonts w:ascii="Calibri" w:hAnsi="Calibri" w:cs="Calibri"/>
        </w:rPr>
        <w:t xml:space="preserve"> for any month is</w:t>
      </w:r>
      <w:r>
        <w:rPr>
          <w:rFonts w:ascii="Calibri" w:hAnsi="Calibri" w:cs="Calibri"/>
        </w:rPr>
        <w:t xml:space="preserve"> fixed at the beginning of a financial year. However, as more data becomes available, the forecast</w:t>
      </w:r>
      <w:r w:rsidR="00DD13F9">
        <w:rPr>
          <w:rFonts w:ascii="Calibri" w:hAnsi="Calibri" w:cs="Calibri"/>
        </w:rPr>
        <w:t>s</w:t>
      </w:r>
      <w:r>
        <w:rPr>
          <w:rFonts w:ascii="Calibri" w:hAnsi="Calibri" w:cs="Calibri"/>
        </w:rPr>
        <w:t xml:space="preserve"> </w:t>
      </w:r>
      <w:r w:rsidR="00DD13F9">
        <w:rPr>
          <w:rFonts w:ascii="Calibri" w:hAnsi="Calibri" w:cs="Calibri"/>
        </w:rPr>
        <w:t>will be</w:t>
      </w:r>
      <w:r>
        <w:rPr>
          <w:rFonts w:ascii="Calibri" w:hAnsi="Calibri" w:cs="Calibri"/>
        </w:rPr>
        <w:t xml:space="preserve"> replaced with real data, meaning the overall proportions of spend will change throughout the year.</w:t>
      </w:r>
    </w:p>
    <w:p w14:paraId="0F6E16BF" w14:textId="6190FDCE" w:rsidR="006820B6" w:rsidRPr="006820B6" w:rsidRDefault="006820B6" w:rsidP="00E728CB">
      <w:pPr>
        <w:pStyle w:val="ListParagraph"/>
        <w:numPr>
          <w:ilvl w:val="0"/>
          <w:numId w:val="2"/>
        </w:numPr>
        <w:spacing w:after="100"/>
        <w:ind w:left="414" w:hanging="357"/>
        <w:contextualSpacing w:val="0"/>
      </w:pPr>
      <w:r>
        <w:rPr>
          <w:rFonts w:ascii="Calibri" w:hAnsi="Calibri" w:cs="Calibri"/>
        </w:rPr>
        <w:t>The proportion of spend is less accurate at the beginning of the financial year hence the outputs of the model should be used with caution for the first few months of any financial year.</w:t>
      </w:r>
    </w:p>
    <w:p w14:paraId="1265A965" w14:textId="4E86A4FE" w:rsidR="006820B6" w:rsidRPr="00F03FA0" w:rsidRDefault="006820B6" w:rsidP="00E728CB">
      <w:pPr>
        <w:pStyle w:val="ListParagraph"/>
        <w:numPr>
          <w:ilvl w:val="0"/>
          <w:numId w:val="2"/>
        </w:numPr>
        <w:spacing w:after="100"/>
        <w:ind w:left="414" w:hanging="357"/>
        <w:contextualSpacing w:val="0"/>
      </w:pPr>
      <w:r>
        <w:rPr>
          <w:rFonts w:ascii="Calibri" w:hAnsi="Calibri" w:cs="Calibri"/>
        </w:rPr>
        <w:t xml:space="preserve">The calculations </w:t>
      </w:r>
      <w:r w:rsidR="00F03FA0">
        <w:rPr>
          <w:rFonts w:ascii="Calibri" w:hAnsi="Calibri" w:cs="Calibri"/>
        </w:rPr>
        <w:t xml:space="preserve">considered in this paper </w:t>
      </w:r>
      <w:r>
        <w:rPr>
          <w:rFonts w:ascii="Calibri" w:hAnsi="Calibri" w:cs="Calibri"/>
        </w:rPr>
        <w:t>rely on using National level data. However, there is likely to be a greater forecasting error when using smaller populations</w:t>
      </w:r>
      <w:r w:rsidR="00DD13F9">
        <w:rPr>
          <w:rFonts w:ascii="Calibri" w:hAnsi="Calibri" w:cs="Calibri"/>
        </w:rPr>
        <w:t xml:space="preserve">, for example when using the model to forecast a </w:t>
      </w:r>
      <w:r w:rsidR="00352181">
        <w:rPr>
          <w:rFonts w:ascii="Calibri" w:hAnsi="Calibri" w:cs="Calibri"/>
        </w:rPr>
        <w:t>SICBL</w:t>
      </w:r>
      <w:r w:rsidR="00DD13F9">
        <w:rPr>
          <w:rFonts w:ascii="Calibri" w:hAnsi="Calibri" w:cs="Calibri"/>
        </w:rPr>
        <w:t xml:space="preserve"> level total</w:t>
      </w:r>
      <w:r>
        <w:rPr>
          <w:rFonts w:ascii="Calibri" w:hAnsi="Calibri" w:cs="Calibri"/>
        </w:rPr>
        <w:t>.</w:t>
      </w:r>
    </w:p>
    <w:p w14:paraId="66E12874" w14:textId="036AF7B2" w:rsidR="00F03FA0" w:rsidRPr="00B50618" w:rsidRDefault="00F03FA0" w:rsidP="00E728CB">
      <w:pPr>
        <w:pStyle w:val="ListParagraph"/>
        <w:numPr>
          <w:ilvl w:val="0"/>
          <w:numId w:val="2"/>
        </w:numPr>
        <w:spacing w:after="100"/>
        <w:ind w:left="414" w:hanging="357"/>
        <w:contextualSpacing w:val="0"/>
      </w:pPr>
      <w:r>
        <w:rPr>
          <w:rFonts w:ascii="Calibri" w:hAnsi="Calibri" w:cs="Calibri"/>
        </w:rPr>
        <w:t xml:space="preserve">This is a simple model </w:t>
      </w:r>
      <w:r w:rsidR="00912B4C">
        <w:rPr>
          <w:rFonts w:ascii="Calibri" w:hAnsi="Calibri" w:cs="Calibri"/>
        </w:rPr>
        <w:t xml:space="preserve">and </w:t>
      </w:r>
      <w:r>
        <w:rPr>
          <w:rFonts w:ascii="Calibri" w:hAnsi="Calibri" w:cs="Calibri"/>
        </w:rPr>
        <w:t>does not include any</w:t>
      </w:r>
      <w:r w:rsidR="00DD13F9">
        <w:rPr>
          <w:rFonts w:ascii="Calibri" w:hAnsi="Calibri" w:cs="Calibri"/>
        </w:rPr>
        <w:t xml:space="preserve"> factors that respond to specific</w:t>
      </w:r>
      <w:r>
        <w:rPr>
          <w:rFonts w:ascii="Calibri" w:hAnsi="Calibri" w:cs="Calibri"/>
        </w:rPr>
        <w:t xml:space="preserve"> risk</w:t>
      </w:r>
      <w:r w:rsidR="00DD13F9">
        <w:rPr>
          <w:rFonts w:ascii="Calibri" w:hAnsi="Calibri" w:cs="Calibri"/>
        </w:rPr>
        <w:t>s or uncertainties that could impact</w:t>
      </w:r>
      <w:r>
        <w:rPr>
          <w:rFonts w:ascii="Calibri" w:hAnsi="Calibri" w:cs="Calibri"/>
        </w:rPr>
        <w:t xml:space="preserve"> prescription spend. In other words, this model </w:t>
      </w:r>
      <w:r w:rsidR="00DD13F9">
        <w:rPr>
          <w:rFonts w:ascii="Calibri" w:hAnsi="Calibri" w:cs="Calibri"/>
        </w:rPr>
        <w:t>will not adjust forecasts to</w:t>
      </w:r>
      <w:r>
        <w:rPr>
          <w:rFonts w:ascii="Calibri" w:hAnsi="Calibri" w:cs="Calibri"/>
        </w:rPr>
        <w:t xml:space="preserve"> account for</w:t>
      </w:r>
      <w:r w:rsidR="00DD13F9">
        <w:rPr>
          <w:rFonts w:ascii="Calibri" w:hAnsi="Calibri" w:cs="Calibri"/>
        </w:rPr>
        <w:t xml:space="preserve">: </w:t>
      </w:r>
      <w:r>
        <w:rPr>
          <w:rFonts w:ascii="Calibri" w:hAnsi="Calibri" w:cs="Calibri"/>
        </w:rPr>
        <w:t xml:space="preserve">demographic changes; changes in morbidity; the emergence of new substitute or complementary technology; changes in prices; local or international market or supply chain conditions; wider national or international policy changes; local, </w:t>
      </w:r>
      <w:proofErr w:type="gramStart"/>
      <w:r>
        <w:rPr>
          <w:rFonts w:ascii="Calibri" w:hAnsi="Calibri" w:cs="Calibri"/>
        </w:rPr>
        <w:t>national</w:t>
      </w:r>
      <w:proofErr w:type="gramEnd"/>
      <w:r>
        <w:rPr>
          <w:rFonts w:ascii="Calibri" w:hAnsi="Calibri" w:cs="Calibri"/>
        </w:rPr>
        <w:t xml:space="preserve"> or global events or circumstances that interrupt business as usual; </w:t>
      </w:r>
      <w:r w:rsidR="00DD13F9">
        <w:rPr>
          <w:rFonts w:ascii="Calibri" w:hAnsi="Calibri" w:cs="Calibri"/>
        </w:rPr>
        <w:t xml:space="preserve">nor any </w:t>
      </w:r>
      <w:r>
        <w:rPr>
          <w:rFonts w:ascii="Calibri" w:hAnsi="Calibri" w:cs="Calibri"/>
        </w:rPr>
        <w:t>new trends that are not represented in the source data</w:t>
      </w:r>
      <w:r w:rsidR="00DD13F9">
        <w:rPr>
          <w:rFonts w:ascii="Calibri" w:hAnsi="Calibri" w:cs="Calibri"/>
        </w:rPr>
        <w:t xml:space="preserve"> for the last 5 years</w:t>
      </w:r>
      <w:r>
        <w:rPr>
          <w:rFonts w:ascii="Calibri" w:hAnsi="Calibri" w:cs="Calibri"/>
        </w:rPr>
        <w:t>.</w:t>
      </w:r>
    </w:p>
    <w:p w14:paraId="39AD1D17" w14:textId="6A8C7984" w:rsidR="00B50618" w:rsidRPr="00912B4C" w:rsidRDefault="006B6D71" w:rsidP="00E728CB">
      <w:pPr>
        <w:pStyle w:val="ListParagraph"/>
        <w:numPr>
          <w:ilvl w:val="0"/>
          <w:numId w:val="2"/>
        </w:numPr>
        <w:spacing w:after="100"/>
        <w:ind w:left="414" w:hanging="357"/>
        <w:contextualSpacing w:val="0"/>
      </w:pPr>
      <w:r>
        <w:t>Data are averaged over the previous 5 years and hence the total spend estimates may be an underestimate if growth in spend has occurred over the last 5 years.</w:t>
      </w:r>
      <w:r w:rsidR="00F53827">
        <w:t xml:space="preserve"> This is unlikely to impact the </w:t>
      </w:r>
      <w:r w:rsidR="00C8101B">
        <w:t xml:space="preserve">initial </w:t>
      </w:r>
      <w:r w:rsidR="00F53827">
        <w:t xml:space="preserve">proportions </w:t>
      </w:r>
      <w:r w:rsidR="002D60EE">
        <w:t>of spend</w:t>
      </w:r>
      <w:r w:rsidR="00CB42FB">
        <w:t xml:space="preserve"> (as it would affect all months equally)</w:t>
      </w:r>
      <w:r w:rsidR="002D60EE">
        <w:t xml:space="preserve"> but may have an effect as estimates are replaced by real data. </w:t>
      </w:r>
    </w:p>
    <w:p w14:paraId="7A454D55" w14:textId="6514C052" w:rsidR="00912B4C" w:rsidRDefault="00912B4C" w:rsidP="00E728CB">
      <w:pPr>
        <w:pStyle w:val="ListParagraph"/>
        <w:numPr>
          <w:ilvl w:val="0"/>
          <w:numId w:val="2"/>
        </w:numPr>
        <w:spacing w:after="100"/>
        <w:ind w:left="414" w:hanging="357"/>
        <w:contextualSpacing w:val="0"/>
      </w:pPr>
      <w:r>
        <w:rPr>
          <w:rFonts w:ascii="Calibri" w:hAnsi="Calibri" w:cs="Calibri"/>
        </w:rPr>
        <w:t xml:space="preserve">This model is likely to be impacted by the effects of the COVID-19 pandemic on prescription spend data. However, the spend only shows a noticeable difference in March and April 2020 meaning </w:t>
      </w:r>
      <w:r w:rsidR="007222A6">
        <w:rPr>
          <w:rFonts w:ascii="Calibri" w:hAnsi="Calibri" w:cs="Calibri"/>
        </w:rPr>
        <w:t xml:space="preserve">averages are unlikely to be dramatically changed by the effects of the pandemic.  </w:t>
      </w:r>
    </w:p>
    <w:p w14:paraId="752F8903" w14:textId="7AC9F4D4" w:rsidR="000D062A" w:rsidRDefault="000D062A" w:rsidP="000D062A">
      <w:pPr>
        <w:pStyle w:val="Heading2"/>
      </w:pPr>
      <w:r>
        <w:t>Technical</w:t>
      </w:r>
      <w:r w:rsidR="002F3B14">
        <w:t xml:space="preserve"> Co</w:t>
      </w:r>
      <w:r w:rsidR="00707698">
        <w:t>nsideration of the Model</w:t>
      </w:r>
    </w:p>
    <w:p w14:paraId="6EFF20DB" w14:textId="75AF74DC" w:rsidR="000D062A" w:rsidRDefault="00707698" w:rsidP="001D58CB">
      <w:pPr>
        <w:pStyle w:val="ListParagraph"/>
        <w:numPr>
          <w:ilvl w:val="0"/>
          <w:numId w:val="2"/>
        </w:numPr>
        <w:spacing w:after="100"/>
        <w:ind w:left="414" w:hanging="357"/>
        <w:contextualSpacing w:val="0"/>
      </w:pPr>
      <w:r>
        <w:t xml:space="preserve">This final section </w:t>
      </w:r>
      <w:r w:rsidR="007C0C57">
        <w:t>summarises</w:t>
      </w:r>
      <w:r>
        <w:t xml:space="preserve"> </w:t>
      </w:r>
      <w:r w:rsidR="007C0C57">
        <w:t xml:space="preserve">the </w:t>
      </w:r>
      <w:r>
        <w:t xml:space="preserve">technical consideration of the </w:t>
      </w:r>
      <w:r w:rsidR="007C0C57">
        <w:t xml:space="preserve">simple averaging </w:t>
      </w:r>
      <w:r>
        <w:t>model</w:t>
      </w:r>
      <w:r w:rsidR="009D11F7">
        <w:t xml:space="preserve"> </w:t>
      </w:r>
      <w:r>
        <w:t xml:space="preserve">and how it compares with the </w:t>
      </w:r>
      <w:r w:rsidR="007C0C57">
        <w:t xml:space="preserve">previous </w:t>
      </w:r>
      <w:r>
        <w:t>linear regression mode</w:t>
      </w:r>
      <w:r w:rsidR="000D5869">
        <w:t>l</w:t>
      </w:r>
      <w:r>
        <w:t xml:space="preserve">. </w:t>
      </w:r>
      <w:r w:rsidR="007C0C57">
        <w:t>T</w:t>
      </w:r>
      <w:r w:rsidR="00AF5B11">
        <w:t xml:space="preserve">he reader should refer to </w:t>
      </w:r>
      <w:r w:rsidR="00352181">
        <w:t>SICBL</w:t>
      </w:r>
      <w:r w:rsidR="006E176C">
        <w:t xml:space="preserve">PrescribingModel_FullWriteUp.docx </w:t>
      </w:r>
      <w:r w:rsidR="00AF5B11">
        <w:t xml:space="preserve">for the full comparison. </w:t>
      </w:r>
    </w:p>
    <w:p w14:paraId="1612EAB3" w14:textId="6D483C05" w:rsidR="001D58CB" w:rsidRDefault="001D58CB" w:rsidP="001D58CB">
      <w:pPr>
        <w:pStyle w:val="ListParagraph"/>
        <w:numPr>
          <w:ilvl w:val="0"/>
          <w:numId w:val="2"/>
        </w:numPr>
        <w:spacing w:after="100"/>
        <w:ind w:left="414" w:hanging="357"/>
        <w:contextualSpacing w:val="0"/>
      </w:pPr>
      <w:r>
        <w:t>Both model</w:t>
      </w:r>
      <w:r w:rsidR="007C0C57">
        <w:t>s</w:t>
      </w:r>
      <w:r>
        <w:t xml:space="preserve"> </w:t>
      </w:r>
      <w:r w:rsidR="002D7525">
        <w:t>have patterns in the residuals suggesting there are unmodelled dynamics or omitted variables</w:t>
      </w:r>
      <w:r w:rsidR="008F4BFB">
        <w:t xml:space="preserve">, suggesting both models </w:t>
      </w:r>
      <w:r w:rsidR="007C0C57">
        <w:t xml:space="preserve">will have weaknesses when it comes to </w:t>
      </w:r>
      <w:r w:rsidR="008F4BFB">
        <w:t xml:space="preserve">long-term </w:t>
      </w:r>
      <w:r w:rsidR="007C0C57">
        <w:t>changes</w:t>
      </w:r>
      <w:r w:rsidR="008F4BFB">
        <w:t>.</w:t>
      </w:r>
      <w:r w:rsidR="00C146D6">
        <w:t xml:space="preserve"> This means </w:t>
      </w:r>
      <w:r w:rsidR="007C0C57">
        <w:t xml:space="preserve">both </w:t>
      </w:r>
      <w:r w:rsidR="00C146D6">
        <w:t>mode</w:t>
      </w:r>
      <w:r w:rsidR="00B77506">
        <w:t>l</w:t>
      </w:r>
      <w:r w:rsidR="007C0C57">
        <w:t>s</w:t>
      </w:r>
      <w:r w:rsidR="00B77506">
        <w:t xml:space="preserve"> </w:t>
      </w:r>
      <w:r w:rsidR="007C0C57">
        <w:t>are not a complete</w:t>
      </w:r>
      <w:r w:rsidR="005B021A">
        <w:t xml:space="preserve"> tool </w:t>
      </w:r>
      <w:r w:rsidR="007C0C57">
        <w:t xml:space="preserve">for </w:t>
      </w:r>
      <w:r w:rsidR="005B021A">
        <w:t>monitoring</w:t>
      </w:r>
      <w:r w:rsidR="007C0C57">
        <w:t xml:space="preserve"> risks to spend</w:t>
      </w:r>
      <w:r w:rsidR="005B021A">
        <w:t xml:space="preserve"> </w:t>
      </w:r>
      <w:r w:rsidR="007C0C57">
        <w:t>n</w:t>
      </w:r>
      <w:r w:rsidR="005B021A">
        <w:t xml:space="preserve">or </w:t>
      </w:r>
      <w:r w:rsidR="007C0C57">
        <w:t xml:space="preserve">are they </w:t>
      </w:r>
      <w:r w:rsidR="005B021A">
        <w:t>an early warning system for</w:t>
      </w:r>
      <w:r w:rsidR="007C0C57">
        <w:t xml:space="preserve"> any </w:t>
      </w:r>
      <w:r w:rsidR="00927D67">
        <w:t xml:space="preserve">major </w:t>
      </w:r>
      <w:r w:rsidR="007C0C57">
        <w:t xml:space="preserve">emerging trends in </w:t>
      </w:r>
      <w:r w:rsidR="00AF5F80">
        <w:t xml:space="preserve">prescription spend. </w:t>
      </w:r>
    </w:p>
    <w:p w14:paraId="2D00EE4A" w14:textId="2F8B99E8" w:rsidR="003C17A8" w:rsidRDefault="003C17A8" w:rsidP="001D58CB">
      <w:pPr>
        <w:pStyle w:val="ListParagraph"/>
        <w:numPr>
          <w:ilvl w:val="0"/>
          <w:numId w:val="2"/>
        </w:numPr>
        <w:spacing w:after="100"/>
        <w:ind w:left="414" w:hanging="357"/>
        <w:contextualSpacing w:val="0"/>
      </w:pPr>
      <w:r>
        <w:t xml:space="preserve">The </w:t>
      </w:r>
      <w:r w:rsidR="000D5869">
        <w:t>simple averaging</w:t>
      </w:r>
      <w:r w:rsidR="00927D67">
        <w:t xml:space="preserve"> model</w:t>
      </w:r>
      <w:r>
        <w:t xml:space="preserve"> was more accurate </w:t>
      </w:r>
      <w:r w:rsidR="001E7789">
        <w:t xml:space="preserve">at </w:t>
      </w:r>
      <w:r w:rsidR="00927D67">
        <w:t>forecasting</w:t>
      </w:r>
      <w:r w:rsidR="001E7789">
        <w:t xml:space="preserve"> regular month-to-month </w:t>
      </w:r>
      <w:r w:rsidR="005564D2">
        <w:t>fluctuations or “seasonality”</w:t>
      </w:r>
      <w:r w:rsidR="00927D67">
        <w:t xml:space="preserve">. The </w:t>
      </w:r>
      <w:r w:rsidR="006B1AC1">
        <w:t>regression</w:t>
      </w:r>
      <w:r w:rsidR="00927D67">
        <w:t xml:space="preserve"> model </w:t>
      </w:r>
      <w:r w:rsidR="006B1AC1">
        <w:t>included</w:t>
      </w:r>
      <w:r w:rsidR="00927D67">
        <w:t xml:space="preserve"> constrain</w:t>
      </w:r>
      <w:r w:rsidR="006B1AC1">
        <w:t>t</w:t>
      </w:r>
      <w:r w:rsidR="00927D67">
        <w:t xml:space="preserve">s </w:t>
      </w:r>
      <w:r w:rsidR="006B1AC1">
        <w:t>limiting</w:t>
      </w:r>
      <w:r w:rsidR="00927D67">
        <w:t xml:space="preserve"> how much </w:t>
      </w:r>
      <w:r w:rsidR="006B1AC1">
        <w:t>a</w:t>
      </w:r>
      <w:r w:rsidR="00927D67">
        <w:t xml:space="preserve"> month could differ from </w:t>
      </w:r>
      <w:r w:rsidR="006B1AC1">
        <w:t>other months</w:t>
      </w:r>
      <w:r w:rsidR="00927D67">
        <w:t xml:space="preserve">. </w:t>
      </w:r>
      <w:r w:rsidR="00F62FDB">
        <w:t>For example, the</w:t>
      </w:r>
      <w:r w:rsidR="00C70060">
        <w:t xml:space="preserve"> simple</w:t>
      </w:r>
      <w:r w:rsidR="00F62FDB">
        <w:t xml:space="preserve"> </w:t>
      </w:r>
      <w:r w:rsidR="006B1AC1">
        <w:t>averaging</w:t>
      </w:r>
      <w:r w:rsidR="00F62FDB">
        <w:t xml:space="preserve"> model </w:t>
      </w:r>
      <w:r w:rsidR="003F6782">
        <w:t xml:space="preserve">can account for the fact that prescription spend is high in December </w:t>
      </w:r>
      <w:r w:rsidR="006B1AC1">
        <w:t>despite low dispensing days as</w:t>
      </w:r>
      <w:r w:rsidR="003F6782">
        <w:t xml:space="preserve"> patients </w:t>
      </w:r>
      <w:r w:rsidR="00DA232C">
        <w:t xml:space="preserve">still </w:t>
      </w:r>
      <w:r w:rsidR="006B1AC1">
        <w:t xml:space="preserve">require </w:t>
      </w:r>
      <w:r w:rsidR="00DA232C">
        <w:t>prescribed products</w:t>
      </w:r>
      <w:r w:rsidR="006B1AC1">
        <w:t xml:space="preserve"> during</w:t>
      </w:r>
      <w:r w:rsidR="00EF721B">
        <w:t xml:space="preserve"> the Christmas public holidays</w:t>
      </w:r>
      <w:r w:rsidR="00D01A95">
        <w:t xml:space="preserve">. However, this increase is not needed in February which also has a low number of dispensing days. </w:t>
      </w:r>
    </w:p>
    <w:p w14:paraId="09470C5D" w14:textId="77B7D53A" w:rsidR="00020AD8" w:rsidRDefault="00020AD8" w:rsidP="001D58CB">
      <w:pPr>
        <w:pStyle w:val="ListParagraph"/>
        <w:numPr>
          <w:ilvl w:val="0"/>
          <w:numId w:val="2"/>
        </w:numPr>
        <w:spacing w:after="100"/>
        <w:ind w:left="414" w:hanging="357"/>
        <w:contextualSpacing w:val="0"/>
      </w:pPr>
      <w:r>
        <w:t xml:space="preserve">When numerically comparing the models, </w:t>
      </w:r>
      <w:r w:rsidR="00927D67">
        <w:t>the model that</w:t>
      </w:r>
      <w:r w:rsidR="00B056A5">
        <w:t xml:space="preserve"> more accurately predicted the true values </w:t>
      </w:r>
      <w:r w:rsidR="00927D67">
        <w:t xml:space="preserve">varied </w:t>
      </w:r>
      <w:r w:rsidR="00B056A5">
        <w:t xml:space="preserve">depending on which year was considered. </w:t>
      </w:r>
    </w:p>
    <w:p w14:paraId="60359A04" w14:textId="55EB8D3D" w:rsidR="00437A6C" w:rsidRPr="00456449" w:rsidRDefault="00116197" w:rsidP="001D58CB">
      <w:pPr>
        <w:pStyle w:val="ListParagraph"/>
        <w:numPr>
          <w:ilvl w:val="0"/>
          <w:numId w:val="2"/>
        </w:numPr>
        <w:spacing w:after="100"/>
        <w:ind w:left="414" w:hanging="357"/>
        <w:contextualSpacing w:val="0"/>
      </w:pPr>
      <w:r>
        <w:lastRenderedPageBreak/>
        <w:t xml:space="preserve">Both models produced </w:t>
      </w:r>
      <w:r w:rsidR="002F2999">
        <w:t xml:space="preserve">few </w:t>
      </w:r>
      <w:r>
        <w:t xml:space="preserve">forecasts </w:t>
      </w:r>
      <w:r w:rsidR="002F2999">
        <w:t xml:space="preserve">which were outside of the </w:t>
      </w:r>
      <w:r w:rsidR="001C2F46">
        <w:t>historical</w:t>
      </w:r>
      <w:r w:rsidR="002F2999">
        <w:t xml:space="preserve"> range and when it did, the difference was relatively small. </w:t>
      </w:r>
      <w:r w:rsidR="00686164">
        <w:t>For the simple model, t</w:t>
      </w:r>
      <w:r w:rsidR="00292AE0">
        <w:t xml:space="preserve">he most that modelled spend for any month was higher than the highest actual value for that month over the previous 5 years was </w:t>
      </w:r>
      <w:r w:rsidR="009B557C">
        <w:t>+</w:t>
      </w:r>
      <w:r w:rsidR="00292AE0">
        <w:t>2.5%</w:t>
      </w:r>
      <w:r w:rsidR="00686164">
        <w:t xml:space="preserve">. The lowest that modelled spend for any month was lower than the lowest actual value for that month over the previous 5 years was </w:t>
      </w:r>
      <w:r w:rsidR="009B557C">
        <w:t xml:space="preserve">-3.7%. </w:t>
      </w:r>
      <w:r w:rsidR="007E41CF">
        <w:t>For the linear regression model, the most that modelled spend for any month was higher than the highest actual value for that month over the previous 5 years was</w:t>
      </w:r>
      <w:r w:rsidR="008B7021">
        <w:t xml:space="preserve"> +4.0%, whilst no months were forecast below the lowest actual value for that month over the previous 5 years. </w:t>
      </w:r>
    </w:p>
    <w:p w14:paraId="69BF8100" w14:textId="556508E2" w:rsidR="00456449" w:rsidRPr="00D85FE0" w:rsidRDefault="00456449" w:rsidP="001D58CB">
      <w:pPr>
        <w:pStyle w:val="ListParagraph"/>
        <w:numPr>
          <w:ilvl w:val="0"/>
          <w:numId w:val="2"/>
        </w:numPr>
        <w:spacing w:after="100"/>
        <w:ind w:left="414" w:hanging="357"/>
        <w:contextualSpacing w:val="0"/>
      </w:pPr>
      <w:r>
        <w:rPr>
          <w:rFonts w:ascii="Calibri" w:hAnsi="Calibri" w:cs="Calibri"/>
        </w:rPr>
        <w:t xml:space="preserve">When comparing the proportions of spend, </w:t>
      </w:r>
      <w:r w:rsidR="00CE5A5B">
        <w:rPr>
          <w:rFonts w:ascii="Calibri" w:hAnsi="Calibri" w:cs="Calibri"/>
        </w:rPr>
        <w:t>the regression model was found to better estimate the proportions in 2018/19</w:t>
      </w:r>
      <w:r w:rsidR="006B1AC1">
        <w:rPr>
          <w:rFonts w:ascii="Calibri" w:hAnsi="Calibri" w:cs="Calibri"/>
        </w:rPr>
        <w:t>;</w:t>
      </w:r>
      <w:r w:rsidR="00CE5A5B">
        <w:rPr>
          <w:rFonts w:ascii="Calibri" w:hAnsi="Calibri" w:cs="Calibri"/>
        </w:rPr>
        <w:t xml:space="preserve"> the </w:t>
      </w:r>
      <w:r w:rsidR="00C04C20">
        <w:rPr>
          <w:rFonts w:ascii="Calibri" w:hAnsi="Calibri" w:cs="Calibri"/>
        </w:rPr>
        <w:t>averages</w:t>
      </w:r>
      <w:r w:rsidR="00CE5A5B">
        <w:rPr>
          <w:rFonts w:ascii="Calibri" w:hAnsi="Calibri" w:cs="Calibri"/>
        </w:rPr>
        <w:t xml:space="preserve"> model better estimate</w:t>
      </w:r>
      <w:r w:rsidR="004409C1">
        <w:rPr>
          <w:rFonts w:ascii="Calibri" w:hAnsi="Calibri" w:cs="Calibri"/>
        </w:rPr>
        <w:t>d</w:t>
      </w:r>
      <w:r w:rsidR="00CE5A5B">
        <w:rPr>
          <w:rFonts w:ascii="Calibri" w:hAnsi="Calibri" w:cs="Calibri"/>
        </w:rPr>
        <w:t xml:space="preserve"> the proportions in 2019/20</w:t>
      </w:r>
      <w:r w:rsidR="006B1AC1">
        <w:rPr>
          <w:rFonts w:ascii="Calibri" w:hAnsi="Calibri" w:cs="Calibri"/>
        </w:rPr>
        <w:t>;</w:t>
      </w:r>
      <w:r w:rsidR="00CE5A5B">
        <w:rPr>
          <w:rFonts w:ascii="Calibri" w:hAnsi="Calibri" w:cs="Calibri"/>
        </w:rPr>
        <w:t xml:space="preserve"> and there </w:t>
      </w:r>
      <w:r w:rsidR="006B1AC1">
        <w:rPr>
          <w:rFonts w:ascii="Calibri" w:hAnsi="Calibri" w:cs="Calibri"/>
        </w:rPr>
        <w:t>was</w:t>
      </w:r>
      <w:r w:rsidR="00CE5A5B">
        <w:rPr>
          <w:rFonts w:ascii="Calibri" w:hAnsi="Calibri" w:cs="Calibri"/>
        </w:rPr>
        <w:t xml:space="preserve"> very little difference in 2020/21.</w:t>
      </w:r>
    </w:p>
    <w:p w14:paraId="6C21FE05" w14:textId="1182CE09" w:rsidR="00D85FE0" w:rsidRPr="000D062A" w:rsidRDefault="00D85FE0" w:rsidP="001D58CB">
      <w:pPr>
        <w:pStyle w:val="ListParagraph"/>
        <w:numPr>
          <w:ilvl w:val="0"/>
          <w:numId w:val="2"/>
        </w:numPr>
        <w:spacing w:after="100"/>
        <w:ind w:left="414" w:hanging="357"/>
        <w:contextualSpacing w:val="0"/>
      </w:pPr>
      <w:r>
        <w:rPr>
          <w:rFonts w:ascii="Calibri" w:hAnsi="Calibri" w:cs="Calibri"/>
        </w:rPr>
        <w:t xml:space="preserve">When considering the cumulative proportion of spend, both models were found to have a large deviation away from the </w:t>
      </w:r>
      <w:r w:rsidR="000B77AD">
        <w:rPr>
          <w:rFonts w:ascii="Calibri" w:hAnsi="Calibri" w:cs="Calibri"/>
        </w:rPr>
        <w:t xml:space="preserve">true value in the earlier months of the financial year. </w:t>
      </w:r>
      <w:r w:rsidR="00C1218E">
        <w:rPr>
          <w:rFonts w:ascii="Calibri" w:hAnsi="Calibri" w:cs="Calibri"/>
        </w:rPr>
        <w:t xml:space="preserve">Improvements typically started around June, with better </w:t>
      </w:r>
      <w:r w:rsidR="00D71D40">
        <w:rPr>
          <w:rFonts w:ascii="Calibri" w:hAnsi="Calibri" w:cs="Calibri"/>
        </w:rPr>
        <w:t xml:space="preserve">estimates from </w:t>
      </w:r>
      <w:r w:rsidR="006B1AC1">
        <w:rPr>
          <w:rFonts w:ascii="Calibri" w:hAnsi="Calibri" w:cs="Calibri"/>
        </w:rPr>
        <w:t>September</w:t>
      </w:r>
      <w:r w:rsidR="00D71D40">
        <w:rPr>
          <w:rFonts w:ascii="Calibri" w:hAnsi="Calibri" w:cs="Calibri"/>
        </w:rPr>
        <w:t xml:space="preserve"> onwards </w:t>
      </w:r>
    </w:p>
    <w:sectPr w:rsidR="00D85FE0" w:rsidRPr="000D062A">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E84165" w14:textId="77777777" w:rsidR="002136BD" w:rsidRDefault="002136BD" w:rsidP="0062250D">
      <w:pPr>
        <w:spacing w:after="0" w:line="240" w:lineRule="auto"/>
      </w:pPr>
      <w:r>
        <w:separator/>
      </w:r>
    </w:p>
  </w:endnote>
  <w:endnote w:type="continuationSeparator" w:id="0">
    <w:p w14:paraId="2E3F85C0" w14:textId="77777777" w:rsidR="002136BD" w:rsidRDefault="002136BD" w:rsidP="0062250D">
      <w:pPr>
        <w:spacing w:after="0" w:line="240" w:lineRule="auto"/>
      </w:pPr>
      <w:r>
        <w:continuationSeparator/>
      </w:r>
    </w:p>
  </w:endnote>
  <w:endnote w:type="continuationNotice" w:id="1">
    <w:p w14:paraId="173D1EE9" w14:textId="77777777" w:rsidR="002136BD" w:rsidRDefault="002136B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D3E973" w14:textId="77777777" w:rsidR="002136BD" w:rsidRDefault="002136BD" w:rsidP="0062250D">
      <w:pPr>
        <w:spacing w:after="0" w:line="240" w:lineRule="auto"/>
      </w:pPr>
      <w:r>
        <w:separator/>
      </w:r>
    </w:p>
  </w:footnote>
  <w:footnote w:type="continuationSeparator" w:id="0">
    <w:p w14:paraId="0D1896C4" w14:textId="77777777" w:rsidR="002136BD" w:rsidRDefault="002136BD" w:rsidP="0062250D">
      <w:pPr>
        <w:spacing w:after="0" w:line="240" w:lineRule="auto"/>
      </w:pPr>
      <w:r>
        <w:continuationSeparator/>
      </w:r>
    </w:p>
  </w:footnote>
  <w:footnote w:type="continuationNotice" w:id="1">
    <w:p w14:paraId="0F8387C5" w14:textId="77777777" w:rsidR="002136BD" w:rsidRDefault="002136BD">
      <w:pPr>
        <w:spacing w:after="0" w:line="240" w:lineRule="auto"/>
      </w:pPr>
    </w:p>
  </w:footnote>
  <w:footnote w:id="2">
    <w:p w14:paraId="61ACA255" w14:textId="24C62455" w:rsidR="0062250D" w:rsidRDefault="0062250D">
      <w:pPr>
        <w:pStyle w:val="FootnoteText"/>
      </w:pPr>
      <w:r>
        <w:rPr>
          <w:rStyle w:val="FootnoteReference"/>
        </w:rPr>
        <w:footnoteRef/>
      </w:r>
      <w:r>
        <w:t xml:space="preserve"> </w:t>
      </w:r>
      <w:r>
        <w:rPr>
          <w:rFonts w:ascii="Calibri" w:hAnsi="Calibri" w:cs="Calibri"/>
          <w:sz w:val="22"/>
          <w:szCs w:val="22"/>
        </w:rPr>
        <w:t>The community pharmacy sector receive</w:t>
      </w:r>
      <w:r w:rsidR="00D051E1">
        <w:rPr>
          <w:rFonts w:ascii="Calibri" w:hAnsi="Calibri" w:cs="Calibri"/>
          <w:sz w:val="22"/>
          <w:szCs w:val="22"/>
        </w:rPr>
        <w:t>s</w:t>
      </w:r>
      <w:r>
        <w:rPr>
          <w:rFonts w:ascii="Calibri" w:hAnsi="Calibri" w:cs="Calibri"/>
          <w:sz w:val="22"/>
          <w:szCs w:val="22"/>
        </w:rPr>
        <w:t xml:space="preserve"> money as retained buying margin, </w:t>
      </w:r>
      <w:proofErr w:type="gramStart"/>
      <w:r>
        <w:rPr>
          <w:rFonts w:ascii="Calibri" w:hAnsi="Calibri" w:cs="Calibri"/>
          <w:sz w:val="22"/>
          <w:szCs w:val="22"/>
        </w:rPr>
        <w:t>i.e.</w:t>
      </w:r>
      <w:proofErr w:type="gramEnd"/>
      <w:r>
        <w:rPr>
          <w:rFonts w:ascii="Calibri" w:hAnsi="Calibri" w:cs="Calibri"/>
          <w:sz w:val="22"/>
          <w:szCs w:val="22"/>
        </w:rPr>
        <w:t xml:space="preserve"> the profit pharmacies can earn on dispensing drugs through cost-effective purchasing. The margin element is a target that DHSC aim to deliver by adjusting the reimbursement price of drugs and the delivery of margin to pharmacy is carefully monitored by DHSC. </w:t>
      </w:r>
      <w:r w:rsidR="00EE07E2">
        <w:rPr>
          <w:rFonts w:ascii="Calibri" w:hAnsi="Calibri" w:cs="Calibri"/>
          <w:sz w:val="22"/>
          <w:szCs w:val="22"/>
        </w:rPr>
        <w:t>Averaging r</w:t>
      </w:r>
      <w:r w:rsidR="00177002">
        <w:rPr>
          <w:rFonts w:ascii="Calibri" w:hAnsi="Calibri" w:cs="Calibri"/>
          <w:sz w:val="22"/>
          <w:szCs w:val="22"/>
        </w:rPr>
        <w:t xml:space="preserve">esults </w:t>
      </w:r>
      <w:r w:rsidR="00EE07E2">
        <w:rPr>
          <w:rFonts w:ascii="Calibri" w:hAnsi="Calibri" w:cs="Calibri"/>
          <w:sz w:val="22"/>
          <w:szCs w:val="22"/>
        </w:rPr>
        <w:t>may</w:t>
      </w:r>
      <w:r w:rsidR="00177002">
        <w:rPr>
          <w:rFonts w:ascii="Calibri" w:hAnsi="Calibri" w:cs="Calibri"/>
          <w:sz w:val="22"/>
          <w:szCs w:val="22"/>
        </w:rPr>
        <w:t xml:space="preserve"> be very noisy without correcting for policy impacts as they may have occurred in any month of the year.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1685EC" w14:textId="6268F782" w:rsidR="000F3A76" w:rsidRDefault="000F3A76">
    <w:pPr>
      <w:pStyle w:val="Header"/>
    </w:pPr>
    <w:r>
      <w:t>April 2022</w:t>
    </w:r>
  </w:p>
  <w:p w14:paraId="248D74F1" w14:textId="77777777" w:rsidR="000F3A76" w:rsidRDefault="000F3A7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2144F8"/>
    <w:multiLevelType w:val="hybridMultilevel"/>
    <w:tmpl w:val="773E2068"/>
    <w:lvl w:ilvl="0" w:tplc="E9EE04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71B1D4A"/>
    <w:multiLevelType w:val="hybridMultilevel"/>
    <w:tmpl w:val="CE68F8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035233635">
    <w:abstractNumId w:val="0"/>
  </w:num>
  <w:num w:numId="2" w16cid:durableId="14294990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62A"/>
    <w:rsid w:val="00016B53"/>
    <w:rsid w:val="00020AD8"/>
    <w:rsid w:val="0004774C"/>
    <w:rsid w:val="000B77AD"/>
    <w:rsid w:val="000D062A"/>
    <w:rsid w:val="000D5869"/>
    <w:rsid w:val="000F3A76"/>
    <w:rsid w:val="00116197"/>
    <w:rsid w:val="00124BD3"/>
    <w:rsid w:val="00125907"/>
    <w:rsid w:val="00131AAF"/>
    <w:rsid w:val="00166DFF"/>
    <w:rsid w:val="00177002"/>
    <w:rsid w:val="001A11BF"/>
    <w:rsid w:val="001C2F46"/>
    <w:rsid w:val="001D58CB"/>
    <w:rsid w:val="001E7789"/>
    <w:rsid w:val="002136BD"/>
    <w:rsid w:val="002608BE"/>
    <w:rsid w:val="00286EDC"/>
    <w:rsid w:val="00292AE0"/>
    <w:rsid w:val="002D60EE"/>
    <w:rsid w:val="002D7525"/>
    <w:rsid w:val="002F2999"/>
    <w:rsid w:val="002F3B14"/>
    <w:rsid w:val="002F7EF7"/>
    <w:rsid w:val="00301193"/>
    <w:rsid w:val="00311680"/>
    <w:rsid w:val="00352181"/>
    <w:rsid w:val="00374FBF"/>
    <w:rsid w:val="003B14D4"/>
    <w:rsid w:val="003C17A8"/>
    <w:rsid w:val="003F6782"/>
    <w:rsid w:val="00437A6C"/>
    <w:rsid w:val="004409C1"/>
    <w:rsid w:val="00440FEE"/>
    <w:rsid w:val="00456449"/>
    <w:rsid w:val="00463AFC"/>
    <w:rsid w:val="004C0B94"/>
    <w:rsid w:val="004C56F4"/>
    <w:rsid w:val="004F0A63"/>
    <w:rsid w:val="004F233D"/>
    <w:rsid w:val="00500A35"/>
    <w:rsid w:val="00500E11"/>
    <w:rsid w:val="00516207"/>
    <w:rsid w:val="0052489C"/>
    <w:rsid w:val="00532487"/>
    <w:rsid w:val="00546F89"/>
    <w:rsid w:val="005564D2"/>
    <w:rsid w:val="00592414"/>
    <w:rsid w:val="00597B1C"/>
    <w:rsid w:val="005A00CB"/>
    <w:rsid w:val="005B021A"/>
    <w:rsid w:val="005E69F4"/>
    <w:rsid w:val="0062250D"/>
    <w:rsid w:val="00681391"/>
    <w:rsid w:val="006820B6"/>
    <w:rsid w:val="00686164"/>
    <w:rsid w:val="00696779"/>
    <w:rsid w:val="006B1AC1"/>
    <w:rsid w:val="006B6D71"/>
    <w:rsid w:val="006E176C"/>
    <w:rsid w:val="006E5D28"/>
    <w:rsid w:val="00707698"/>
    <w:rsid w:val="007222A6"/>
    <w:rsid w:val="00733089"/>
    <w:rsid w:val="00740AC3"/>
    <w:rsid w:val="00750C36"/>
    <w:rsid w:val="007800F4"/>
    <w:rsid w:val="007A2E9E"/>
    <w:rsid w:val="007C0C57"/>
    <w:rsid w:val="007E41CF"/>
    <w:rsid w:val="007F5A29"/>
    <w:rsid w:val="00801896"/>
    <w:rsid w:val="00880A21"/>
    <w:rsid w:val="0088294C"/>
    <w:rsid w:val="008B7021"/>
    <w:rsid w:val="008F2095"/>
    <w:rsid w:val="008F4BFB"/>
    <w:rsid w:val="00912B4C"/>
    <w:rsid w:val="00927D67"/>
    <w:rsid w:val="0097520C"/>
    <w:rsid w:val="00975C1F"/>
    <w:rsid w:val="009810BA"/>
    <w:rsid w:val="009974CE"/>
    <w:rsid w:val="009A2671"/>
    <w:rsid w:val="009A57A0"/>
    <w:rsid w:val="009B557C"/>
    <w:rsid w:val="009C70E2"/>
    <w:rsid w:val="009D11F7"/>
    <w:rsid w:val="009E5C79"/>
    <w:rsid w:val="00A07AE0"/>
    <w:rsid w:val="00A36AED"/>
    <w:rsid w:val="00AE17C6"/>
    <w:rsid w:val="00AF5B11"/>
    <w:rsid w:val="00AF5F80"/>
    <w:rsid w:val="00AF6F86"/>
    <w:rsid w:val="00B056A5"/>
    <w:rsid w:val="00B0652C"/>
    <w:rsid w:val="00B1440A"/>
    <w:rsid w:val="00B27A0A"/>
    <w:rsid w:val="00B50618"/>
    <w:rsid w:val="00B77506"/>
    <w:rsid w:val="00BA5120"/>
    <w:rsid w:val="00BB1609"/>
    <w:rsid w:val="00BD5C9D"/>
    <w:rsid w:val="00BF2045"/>
    <w:rsid w:val="00C04C20"/>
    <w:rsid w:val="00C1218E"/>
    <w:rsid w:val="00C146D6"/>
    <w:rsid w:val="00C62B42"/>
    <w:rsid w:val="00C70060"/>
    <w:rsid w:val="00C8101B"/>
    <w:rsid w:val="00C9185C"/>
    <w:rsid w:val="00CA36E3"/>
    <w:rsid w:val="00CB42FB"/>
    <w:rsid w:val="00CE21DB"/>
    <w:rsid w:val="00CE4C9E"/>
    <w:rsid w:val="00CE5A5B"/>
    <w:rsid w:val="00D01A95"/>
    <w:rsid w:val="00D051E1"/>
    <w:rsid w:val="00D22C3C"/>
    <w:rsid w:val="00D34202"/>
    <w:rsid w:val="00D47828"/>
    <w:rsid w:val="00D55603"/>
    <w:rsid w:val="00D71D40"/>
    <w:rsid w:val="00D766A5"/>
    <w:rsid w:val="00D85FE0"/>
    <w:rsid w:val="00DA232C"/>
    <w:rsid w:val="00DB6E1B"/>
    <w:rsid w:val="00DC4627"/>
    <w:rsid w:val="00DD13F9"/>
    <w:rsid w:val="00DE5BDB"/>
    <w:rsid w:val="00E256F6"/>
    <w:rsid w:val="00E67F58"/>
    <w:rsid w:val="00E728CB"/>
    <w:rsid w:val="00EE07E2"/>
    <w:rsid w:val="00EF721B"/>
    <w:rsid w:val="00F03FA0"/>
    <w:rsid w:val="00F53827"/>
    <w:rsid w:val="00F62FDB"/>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9BD433"/>
  <w15:chartTrackingRefBased/>
  <w15:docId w15:val="{9C52C8EE-B188-499F-ADA6-5422C4A7C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D062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0D062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D062A"/>
    <w:rPr>
      <w:rFonts w:asciiTheme="majorHAnsi" w:eastAsiaTheme="majorEastAsia" w:hAnsiTheme="majorHAnsi" w:cstheme="majorBidi"/>
      <w:color w:val="2F5496" w:themeColor="accent1" w:themeShade="BF"/>
      <w:sz w:val="32"/>
      <w:szCs w:val="32"/>
    </w:rPr>
  </w:style>
  <w:style w:type="paragraph" w:styleId="ListParagraph">
    <w:name w:val="List Paragraph"/>
    <w:basedOn w:val="Normal"/>
    <w:uiPriority w:val="34"/>
    <w:qFormat/>
    <w:rsid w:val="000D062A"/>
    <w:pPr>
      <w:ind w:left="720"/>
      <w:contextualSpacing/>
    </w:pPr>
  </w:style>
  <w:style w:type="character" w:customStyle="1" w:styleId="Heading2Char">
    <w:name w:val="Heading 2 Char"/>
    <w:basedOn w:val="DefaultParagraphFont"/>
    <w:link w:val="Heading2"/>
    <w:uiPriority w:val="9"/>
    <w:rsid w:val="000D062A"/>
    <w:rPr>
      <w:rFonts w:asciiTheme="majorHAnsi" w:eastAsiaTheme="majorEastAsia" w:hAnsiTheme="majorHAnsi" w:cstheme="majorBidi"/>
      <w:color w:val="2F5496" w:themeColor="accent1" w:themeShade="BF"/>
      <w:sz w:val="26"/>
      <w:szCs w:val="26"/>
    </w:rPr>
  </w:style>
  <w:style w:type="character" w:styleId="CommentReference">
    <w:name w:val="annotation reference"/>
    <w:basedOn w:val="DefaultParagraphFont"/>
    <w:uiPriority w:val="99"/>
    <w:semiHidden/>
    <w:unhideWhenUsed/>
    <w:rsid w:val="005E69F4"/>
    <w:rPr>
      <w:sz w:val="16"/>
      <w:szCs w:val="16"/>
    </w:rPr>
  </w:style>
  <w:style w:type="paragraph" w:styleId="CommentText">
    <w:name w:val="annotation text"/>
    <w:basedOn w:val="Normal"/>
    <w:link w:val="CommentTextChar"/>
    <w:uiPriority w:val="99"/>
    <w:unhideWhenUsed/>
    <w:rsid w:val="005E69F4"/>
    <w:pPr>
      <w:spacing w:line="240" w:lineRule="auto"/>
    </w:pPr>
    <w:rPr>
      <w:sz w:val="20"/>
      <w:szCs w:val="20"/>
    </w:rPr>
  </w:style>
  <w:style w:type="character" w:customStyle="1" w:styleId="CommentTextChar">
    <w:name w:val="Comment Text Char"/>
    <w:basedOn w:val="DefaultParagraphFont"/>
    <w:link w:val="CommentText"/>
    <w:uiPriority w:val="99"/>
    <w:rsid w:val="005E69F4"/>
    <w:rPr>
      <w:sz w:val="20"/>
      <w:szCs w:val="20"/>
    </w:rPr>
  </w:style>
  <w:style w:type="paragraph" w:styleId="CommentSubject">
    <w:name w:val="annotation subject"/>
    <w:basedOn w:val="CommentText"/>
    <w:next w:val="CommentText"/>
    <w:link w:val="CommentSubjectChar"/>
    <w:uiPriority w:val="99"/>
    <w:semiHidden/>
    <w:unhideWhenUsed/>
    <w:rsid w:val="005E69F4"/>
    <w:rPr>
      <w:b/>
      <w:bCs/>
    </w:rPr>
  </w:style>
  <w:style w:type="character" w:customStyle="1" w:styleId="CommentSubjectChar">
    <w:name w:val="Comment Subject Char"/>
    <w:basedOn w:val="CommentTextChar"/>
    <w:link w:val="CommentSubject"/>
    <w:uiPriority w:val="99"/>
    <w:semiHidden/>
    <w:rsid w:val="005E69F4"/>
    <w:rPr>
      <w:b/>
      <w:bCs/>
      <w:sz w:val="20"/>
      <w:szCs w:val="20"/>
    </w:rPr>
  </w:style>
  <w:style w:type="paragraph" w:styleId="FootnoteText">
    <w:name w:val="footnote text"/>
    <w:basedOn w:val="Normal"/>
    <w:link w:val="FootnoteTextChar"/>
    <w:uiPriority w:val="99"/>
    <w:semiHidden/>
    <w:unhideWhenUsed/>
    <w:rsid w:val="0062250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2250D"/>
    <w:rPr>
      <w:sz w:val="20"/>
      <w:szCs w:val="20"/>
    </w:rPr>
  </w:style>
  <w:style w:type="character" w:styleId="FootnoteReference">
    <w:name w:val="footnote reference"/>
    <w:basedOn w:val="DefaultParagraphFont"/>
    <w:uiPriority w:val="99"/>
    <w:semiHidden/>
    <w:unhideWhenUsed/>
    <w:rsid w:val="0062250D"/>
    <w:rPr>
      <w:vertAlign w:val="superscript"/>
    </w:rPr>
  </w:style>
  <w:style w:type="paragraph" w:styleId="Caption">
    <w:name w:val="caption"/>
    <w:basedOn w:val="Normal"/>
    <w:next w:val="Normal"/>
    <w:uiPriority w:val="35"/>
    <w:unhideWhenUsed/>
    <w:qFormat/>
    <w:rsid w:val="0062250D"/>
    <w:pPr>
      <w:spacing w:after="200" w:line="240" w:lineRule="auto"/>
    </w:pPr>
    <w:rPr>
      <w:i/>
      <w:iCs/>
      <w:color w:val="44546A" w:themeColor="text2"/>
      <w:sz w:val="18"/>
      <w:szCs w:val="18"/>
    </w:rPr>
  </w:style>
  <w:style w:type="paragraph" w:styleId="Revision">
    <w:name w:val="Revision"/>
    <w:hidden/>
    <w:uiPriority w:val="99"/>
    <w:semiHidden/>
    <w:rsid w:val="00D766A5"/>
    <w:pPr>
      <w:spacing w:after="0" w:line="240" w:lineRule="auto"/>
    </w:pPr>
  </w:style>
  <w:style w:type="paragraph" w:styleId="Header">
    <w:name w:val="header"/>
    <w:basedOn w:val="Normal"/>
    <w:link w:val="HeaderChar"/>
    <w:uiPriority w:val="99"/>
    <w:unhideWhenUsed/>
    <w:rsid w:val="007A2E9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A2E9E"/>
  </w:style>
  <w:style w:type="paragraph" w:styleId="Footer">
    <w:name w:val="footer"/>
    <w:basedOn w:val="Normal"/>
    <w:link w:val="FooterChar"/>
    <w:uiPriority w:val="99"/>
    <w:unhideWhenUsed/>
    <w:rsid w:val="007A2E9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A2E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561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E4795C3E65564C9995FF23442B81AB" ma:contentTypeVersion="1" ma:contentTypeDescription="Create a new document." ma:contentTypeScope="" ma:versionID="59b15f384a0e5e7ee04ea8faf7e31fd9">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C303FC0-D63E-42EE-B1AA-161AE79DA2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2BD1DD8-33ED-4241-A985-B917F33318A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EC7DFE11-1C95-430F-8C36-DC532F4AB423}">
  <ds:schemaRefs>
    <ds:schemaRef ds:uri="http://schemas.openxmlformats.org/officeDocument/2006/bibliography"/>
  </ds:schemaRefs>
</ds:datastoreItem>
</file>

<file path=customXml/itemProps4.xml><?xml version="1.0" encoding="utf-8"?>
<ds:datastoreItem xmlns:ds="http://schemas.openxmlformats.org/officeDocument/2006/customXml" ds:itemID="{47425D29-2F63-4DD3-BB1E-753061FF161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4</Pages>
  <Words>1430</Words>
  <Characters>8151</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 Eleanor</dc:creator>
  <cp:keywords/>
  <dc:description/>
  <cp:lastModifiedBy>Kate Nordstrom</cp:lastModifiedBy>
  <cp:revision>44</cp:revision>
  <dcterms:created xsi:type="dcterms:W3CDTF">2022-04-04T06:20:00Z</dcterms:created>
  <dcterms:modified xsi:type="dcterms:W3CDTF">2022-08-23T16:12:00Z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0x01010022E4795C3E65564C9995FF23442B81AB</vt:lpwstr>
  </property>
</Properties>
</file>