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36C9" w14:textId="77777777" w:rsidR="00CB164C" w:rsidRDefault="00CB164C" w:rsidP="00E54036">
      <w:pPr>
        <w:pStyle w:val="Heading1"/>
        <w:rPr>
          <w:color w:val="005EB8"/>
          <w:sz w:val="36"/>
          <w:szCs w:val="36"/>
        </w:rPr>
      </w:pPr>
    </w:p>
    <w:p w14:paraId="2BDFE4D3" w14:textId="00F10ECA" w:rsidR="0028475E" w:rsidRPr="00C83C21" w:rsidRDefault="00A777B8" w:rsidP="00E54036">
      <w:pPr>
        <w:pStyle w:val="Heading1"/>
        <w:rPr>
          <w:color w:val="005EB8"/>
          <w:sz w:val="36"/>
          <w:szCs w:val="36"/>
        </w:rPr>
      </w:pPr>
      <w:r w:rsidRPr="00C83C21">
        <w:rPr>
          <w:color w:val="005EB8"/>
          <w:sz w:val="36"/>
          <w:szCs w:val="36"/>
        </w:rPr>
        <w:t>Changes to the FP17 and FP17O</w:t>
      </w:r>
      <w:r w:rsidR="00AF00ED" w:rsidRPr="00C83C21">
        <w:rPr>
          <w:color w:val="005EB8"/>
          <w:sz w:val="36"/>
          <w:szCs w:val="36"/>
        </w:rPr>
        <w:t xml:space="preserve"> from 1 October 2022</w:t>
      </w:r>
      <w:r w:rsidRPr="00C83C21">
        <w:rPr>
          <w:color w:val="005EB8"/>
          <w:sz w:val="36"/>
          <w:szCs w:val="36"/>
        </w:rPr>
        <w:t xml:space="preserve"> </w:t>
      </w:r>
      <w:r w:rsidR="00AF00ED" w:rsidRPr="00C83C21">
        <w:rPr>
          <w:color w:val="005EB8"/>
          <w:sz w:val="36"/>
          <w:szCs w:val="36"/>
        </w:rPr>
        <w:t xml:space="preserve">– </w:t>
      </w:r>
      <w:r w:rsidR="61A413B5" w:rsidRPr="09993E2D">
        <w:rPr>
          <w:color w:val="005EB8"/>
          <w:sz w:val="36"/>
          <w:szCs w:val="36"/>
        </w:rPr>
        <w:t>a quick reference guide</w:t>
      </w:r>
      <w:r w:rsidR="00AF00ED" w:rsidRPr="00C83C21">
        <w:rPr>
          <w:color w:val="005EB8"/>
          <w:sz w:val="36"/>
          <w:szCs w:val="36"/>
        </w:rPr>
        <w:t xml:space="preserve"> for dental teams</w:t>
      </w:r>
    </w:p>
    <w:p w14:paraId="672A6659" w14:textId="77777777" w:rsidR="001F7ED7" w:rsidRPr="00B17D83" w:rsidRDefault="001F7ED7" w:rsidP="00E54036">
      <w:pPr>
        <w:pStyle w:val="Heading2"/>
      </w:pPr>
    </w:p>
    <w:p w14:paraId="11C3EFAB" w14:textId="293BD283" w:rsidR="00AF00ED" w:rsidRPr="00B17D83" w:rsidRDefault="00AF00ED" w:rsidP="00E54036">
      <w:pPr>
        <w:rPr>
          <w:rFonts w:ascii="Arial" w:eastAsia="Arial" w:hAnsi="Arial" w:cs="Arial"/>
        </w:rPr>
      </w:pPr>
      <w:r w:rsidRPr="00B17D83">
        <w:rPr>
          <w:rFonts w:ascii="Arial" w:eastAsia="Arial" w:hAnsi="Arial" w:cs="Arial"/>
        </w:rPr>
        <w:t xml:space="preserve">From 1 October 2022, NHS England is introducing changes to the dental contract. These changes are referenced in NHS England’s </w:t>
      </w:r>
      <w:hyperlink r:id="rId11" w:history="1">
        <w:r w:rsidRPr="00F56B1C">
          <w:rPr>
            <w:rStyle w:val="Hyperlink"/>
            <w:rFonts w:ascii="Arial" w:eastAsia="Arial" w:hAnsi="Arial" w:cs="Arial"/>
            <w:color w:val="005EB8"/>
          </w:rPr>
          <w:t>first stage of Dental Reform letter</w:t>
        </w:r>
      </w:hyperlink>
      <w:r w:rsidRPr="00B17D83">
        <w:rPr>
          <w:rFonts w:ascii="Arial" w:eastAsia="Arial" w:hAnsi="Arial" w:cs="Arial"/>
        </w:rPr>
        <w:t xml:space="preserve"> and affect all NHS dental teams in England. </w:t>
      </w:r>
    </w:p>
    <w:p w14:paraId="487F04C3" w14:textId="77777777" w:rsidR="00AF00ED" w:rsidRPr="00B17D83" w:rsidRDefault="00AF00ED" w:rsidP="00E54036"/>
    <w:p w14:paraId="3B673DD2" w14:textId="77777777" w:rsidR="00AF00ED" w:rsidRPr="00B17D83" w:rsidRDefault="00AF00ED" w:rsidP="00E54036">
      <w:pPr>
        <w:rPr>
          <w:rFonts w:ascii="Arial" w:eastAsia="Arial" w:hAnsi="Arial" w:cs="Arial"/>
        </w:rPr>
      </w:pPr>
      <w:r w:rsidRPr="00B17D83">
        <w:rPr>
          <w:rFonts w:ascii="Arial" w:eastAsia="Arial" w:hAnsi="Arial" w:cs="Arial"/>
        </w:rPr>
        <w:t>To support the dental contract changes, in collaboration with your dental practice management system supplier, we’re rolling out changes to the FP17 and FP17O.</w:t>
      </w:r>
    </w:p>
    <w:p w14:paraId="6E0AABAD" w14:textId="77777777" w:rsidR="00AF00ED" w:rsidRPr="00B17D83" w:rsidRDefault="00AF00ED" w:rsidP="00E54036">
      <w:pPr>
        <w:rPr>
          <w:rFonts w:ascii="Arial" w:eastAsia="Arial" w:hAnsi="Arial" w:cs="Arial"/>
        </w:rPr>
      </w:pPr>
    </w:p>
    <w:p w14:paraId="2A68ECE2" w14:textId="3FEE01DD" w:rsidR="00AF00ED" w:rsidRPr="00B17D83" w:rsidRDefault="00AF00ED" w:rsidP="00E54036">
      <w:pPr>
        <w:rPr>
          <w:rStyle w:val="Hyperlink"/>
          <w:rFonts w:ascii="Arial" w:hAnsi="Arial" w:cs="Arial"/>
        </w:rPr>
      </w:pPr>
      <w:r w:rsidRPr="00B17D83">
        <w:rPr>
          <w:rFonts w:ascii="Arial" w:hAnsi="Arial" w:cs="Arial"/>
        </w:rPr>
        <w:t xml:space="preserve">For any questions on FP17s, FP17Os or Compass, you can contact us: </w:t>
      </w:r>
      <w:hyperlink r:id="rId12">
        <w:r w:rsidRPr="00F56B1C">
          <w:rPr>
            <w:rStyle w:val="Hyperlink"/>
            <w:rFonts w:ascii="Arial" w:hAnsi="Arial" w:cs="Arial"/>
            <w:color w:val="005EB8"/>
          </w:rPr>
          <w:t>nhsbsa.dentalservices@nhsbsa.nhs.uk</w:t>
        </w:r>
      </w:hyperlink>
    </w:p>
    <w:p w14:paraId="28CA47F0" w14:textId="77777777" w:rsidR="00AF00ED" w:rsidRPr="00B17D83" w:rsidRDefault="00AF00ED" w:rsidP="00E54036">
      <w:pPr>
        <w:rPr>
          <w:rFonts w:ascii="Arial" w:hAnsi="Arial" w:cs="Arial"/>
        </w:rPr>
      </w:pPr>
    </w:p>
    <w:p w14:paraId="16546D33" w14:textId="389971E0" w:rsidR="00AF00ED" w:rsidRPr="00B17D83" w:rsidRDefault="5432D801" w:rsidP="00E54036">
      <w:pPr>
        <w:rPr>
          <w:rFonts w:ascii="Arial" w:eastAsia="Arial" w:hAnsi="Arial" w:cs="Arial"/>
        </w:rPr>
      </w:pPr>
      <w:r w:rsidRPr="567DD90D">
        <w:rPr>
          <w:rFonts w:ascii="Arial" w:eastAsia="Arial" w:hAnsi="Arial" w:cs="Arial"/>
        </w:rPr>
        <w:t xml:space="preserve">For any questions regarding dental policy, please </w:t>
      </w:r>
      <w:hyperlink r:id="rId13">
        <w:r w:rsidRPr="567DD90D">
          <w:rPr>
            <w:rStyle w:val="Hyperlink"/>
            <w:rFonts w:ascii="Arial" w:eastAsia="Arial" w:hAnsi="Arial" w:cs="Arial"/>
            <w:color w:val="005EB8"/>
          </w:rPr>
          <w:t>contact NHS England</w:t>
        </w:r>
      </w:hyperlink>
      <w:r w:rsidRPr="567DD90D">
        <w:rPr>
          <w:rFonts w:ascii="Arial" w:eastAsia="Arial" w:hAnsi="Arial" w:cs="Arial"/>
          <w:color w:val="005EB8"/>
        </w:rPr>
        <w:t>.</w:t>
      </w:r>
    </w:p>
    <w:p w14:paraId="3347D644" w14:textId="5E8DB15F" w:rsidR="567DD90D" w:rsidRDefault="567DD90D" w:rsidP="567DD90D">
      <w:pPr>
        <w:rPr>
          <w:rFonts w:ascii="Arial" w:eastAsia="Arial" w:hAnsi="Arial" w:cs="Arial"/>
          <w:color w:val="005EB8"/>
        </w:rPr>
      </w:pPr>
    </w:p>
    <w:p w14:paraId="3F96F150" w14:textId="255CD132" w:rsidR="59247041" w:rsidRDefault="59247041" w:rsidP="567DD90D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1A661F4" wp14:editId="0D64C8CB">
                <wp:extent cx="6147435" cy="1491095"/>
                <wp:effectExtent l="0" t="0" r="5715" b="0"/>
                <wp:docPr id="621616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4910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82F7D" w14:textId="56AF43BB" w:rsidR="00726B27" w:rsidRDefault="00000000" w:rsidP="00726B27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Upcoming changes to the FP17</w:t>
                            </w:r>
                            <w:r w:rsidR="00981E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</w:p>
                          <w:p w14:paraId="6FC2CE16" w14:textId="77777777" w:rsidR="00726B27" w:rsidRDefault="00000000" w:rsidP="00726B27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amendment for awarding additional UDAs for Band 2 treatment is awaiting regulatory change. When the amendment comes into effect, additional UDAs will only apply to claims with a ‘Date of Acceptance’ on or after the date of regulation change. </w:t>
                            </w:r>
                          </w:p>
                          <w:p w14:paraId="00505D16" w14:textId="77777777" w:rsidR="00981EA8" w:rsidRDefault="00981EA8" w:rsidP="00726B27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F690F9D" w14:textId="7707C653" w:rsidR="00726B27" w:rsidRDefault="00000000" w:rsidP="00726B27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This amendment is expected to come into effect by the end of November 2022.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661F4" id="Rectangle 2" o:spid="_x0000_s1026" style="width:484.05pt;height:1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" fillcolor="#dbe5f1 [660]" stroked="f" strokeweight="2pt">
                <v:textbox>
                  <w:txbxContent>
                    <w:p w14:paraId="7A782F7D" w14:textId="56AF43BB" w:rsidR="00726B27" w:rsidRDefault="00000000" w:rsidP="00726B27">
                      <w:pPr>
                        <w:spacing w:line="252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Upcoming changes to the FP17</w:t>
                      </w:r>
                      <w:r w:rsidR="00981E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</w:p>
                    <w:p w14:paraId="6FC2CE16" w14:textId="77777777" w:rsidR="00726B27" w:rsidRDefault="00000000" w:rsidP="00726B27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The amendment for awarding additional UDAs for Band 2 treatment is awaiting regulatory change. When the amendment comes into effect, additional UDAs will only apply to claims with a ‘Date of Acceptance’ on or after the date of regulation change. </w:t>
                      </w:r>
                    </w:p>
                    <w:p w14:paraId="00505D16" w14:textId="77777777" w:rsidR="00981EA8" w:rsidRDefault="00981EA8" w:rsidP="00726B27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F690F9D" w14:textId="7707C653" w:rsidR="00726B27" w:rsidRDefault="00000000" w:rsidP="00726B27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This amendment is expected to come into effect by the end of November 2022.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22427">
        <w:rPr>
          <w:rFonts w:ascii="Arial" w:eastAsia="Arial" w:hAnsi="Arial" w:cs="Arial"/>
        </w:rPr>
        <w:br/>
      </w:r>
    </w:p>
    <w:p w14:paraId="649EA055" w14:textId="28295FA3" w:rsidR="00AF00ED" w:rsidRPr="00B17D83" w:rsidRDefault="00BD4F0F" w:rsidP="00E54036">
      <w:pPr>
        <w:rPr>
          <w:rFonts w:ascii="Arial" w:eastAsia="Arial" w:hAnsi="Arial" w:cs="Arial"/>
        </w:rPr>
      </w:pPr>
      <w:r w:rsidRPr="00C51022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B14C07B" wp14:editId="764A7FEB">
                <wp:simplePos x="0" y="0"/>
                <wp:positionH relativeFrom="column">
                  <wp:posOffset>-29845</wp:posOffset>
                </wp:positionH>
                <wp:positionV relativeFrom="paragraph">
                  <wp:posOffset>142826</wp:posOffset>
                </wp:positionV>
                <wp:extent cx="6147435" cy="287655"/>
                <wp:effectExtent l="0" t="0" r="571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28765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2D86D" id="Rectangle 9" o:spid="_x0000_s1026" style="position:absolute;margin-left:-2.35pt;margin-top:11.25pt;width:484.05pt;height:22.6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" fillcolor="#005eb8" stroked="f" strokeweight="2pt"/>
            </w:pict>
          </mc:Fallback>
        </mc:AlternateContent>
      </w:r>
      <w:r w:rsidR="00AF00ED" w:rsidRPr="00B17D83">
        <w:rPr>
          <w:rFonts w:ascii="Arial" w:eastAsia="Arial" w:hAnsi="Arial" w:cs="Arial"/>
        </w:rPr>
        <w:t xml:space="preserve"> </w:t>
      </w:r>
    </w:p>
    <w:p w14:paraId="1001363F" w14:textId="1391E39B" w:rsidR="00AF00ED" w:rsidRPr="00BD4F0F" w:rsidRDefault="00BD4F0F" w:rsidP="00E54036">
      <w:pPr>
        <w:pStyle w:val="Heading2"/>
        <w:rPr>
          <w:rFonts w:eastAsia="Arial"/>
          <w:color w:val="FFFFFF" w:themeColor="background1"/>
          <w:sz w:val="28"/>
          <w:szCs w:val="24"/>
        </w:rPr>
      </w:pPr>
      <w:r>
        <w:rPr>
          <w:rFonts w:eastAsia="Arial"/>
          <w:color w:val="FFFFFF" w:themeColor="background1"/>
          <w:sz w:val="28"/>
          <w:szCs w:val="24"/>
        </w:rPr>
        <w:t xml:space="preserve">  </w:t>
      </w:r>
      <w:r w:rsidR="00AF00ED" w:rsidRPr="00BD4F0F">
        <w:rPr>
          <w:rFonts w:eastAsia="Arial"/>
          <w:color w:val="FFFFFF" w:themeColor="background1"/>
          <w:sz w:val="28"/>
          <w:szCs w:val="24"/>
        </w:rPr>
        <w:t>Changes to FP17s</w:t>
      </w:r>
      <w:r w:rsidR="00981EA8">
        <w:rPr>
          <w:rFonts w:eastAsia="Arial"/>
          <w:color w:val="FFFFFF" w:themeColor="background1"/>
          <w:sz w:val="28"/>
          <w:szCs w:val="24"/>
        </w:rPr>
        <w:t xml:space="preserve"> from 1 October 2022</w:t>
      </w:r>
    </w:p>
    <w:p w14:paraId="3529FA3F" w14:textId="77777777" w:rsidR="00B17D83" w:rsidRPr="00B17D83" w:rsidRDefault="00B17D83" w:rsidP="00E54036"/>
    <w:p w14:paraId="17602294" w14:textId="34B60A0B" w:rsidR="00AF00ED" w:rsidRDefault="00AF00ED" w:rsidP="00E54036">
      <w:pPr>
        <w:rPr>
          <w:rFonts w:ascii="Arial" w:eastAsia="Arial" w:hAnsi="Arial" w:cs="Arial"/>
        </w:rPr>
      </w:pPr>
      <w:r w:rsidRPr="00B17D83">
        <w:rPr>
          <w:rFonts w:ascii="Arial" w:eastAsia="Arial" w:hAnsi="Arial" w:cs="Arial"/>
        </w:rPr>
        <w:t>On FP17s, new mandatory fields are being introduced so you can record:</w:t>
      </w:r>
    </w:p>
    <w:p w14:paraId="46AC195E" w14:textId="77777777" w:rsidR="003F5869" w:rsidRPr="00B17D83" w:rsidRDefault="003F5869" w:rsidP="00E54036">
      <w:pPr>
        <w:rPr>
          <w:rFonts w:ascii="Arial" w:eastAsia="Arial" w:hAnsi="Arial" w:cs="Arial"/>
        </w:rPr>
      </w:pPr>
    </w:p>
    <w:p w14:paraId="5E1B4FEC" w14:textId="74F251E8" w:rsidR="00AF00ED" w:rsidRPr="00B17D83" w:rsidRDefault="00AF00ED" w:rsidP="00E54036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B17D83">
        <w:rPr>
          <w:rFonts w:ascii="Arial" w:eastAsia="Arial" w:hAnsi="Arial" w:cs="Arial"/>
          <w:sz w:val="24"/>
          <w:szCs w:val="24"/>
        </w:rPr>
        <w:t xml:space="preserve">a GDC number for a Dental Care Professional (DCP) involved </w:t>
      </w:r>
      <w:proofErr w:type="gramStart"/>
      <w:r w:rsidRPr="00B17D83">
        <w:rPr>
          <w:rFonts w:ascii="Arial" w:eastAsia="Arial" w:hAnsi="Arial" w:cs="Arial"/>
          <w:sz w:val="24"/>
          <w:szCs w:val="24"/>
        </w:rPr>
        <w:t>in the course of</w:t>
      </w:r>
      <w:proofErr w:type="gramEnd"/>
      <w:r w:rsidRPr="00B17D83">
        <w:rPr>
          <w:rFonts w:ascii="Arial" w:eastAsia="Arial" w:hAnsi="Arial" w:cs="Arial"/>
          <w:sz w:val="24"/>
          <w:szCs w:val="24"/>
        </w:rPr>
        <w:t xml:space="preserve"> treatment</w:t>
      </w:r>
    </w:p>
    <w:p w14:paraId="58D5E780" w14:textId="29A3E73C" w:rsidR="00AF00ED" w:rsidRPr="00B17D83" w:rsidRDefault="00AF00ED" w:rsidP="00E54036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B17D83">
        <w:rPr>
          <w:rFonts w:ascii="Arial" w:eastAsia="Arial" w:hAnsi="Arial" w:cs="Arial"/>
          <w:sz w:val="24"/>
          <w:szCs w:val="24"/>
        </w:rPr>
        <w:t>information about each patient’s oral health risk</w:t>
      </w:r>
    </w:p>
    <w:p w14:paraId="211F0061" w14:textId="63122307" w:rsidR="00AF00ED" w:rsidRPr="00B17D83" w:rsidRDefault="00AF00ED" w:rsidP="00E54036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B17D83">
        <w:rPr>
          <w:rFonts w:ascii="Arial" w:eastAsia="Arial" w:hAnsi="Arial" w:cs="Arial"/>
          <w:sz w:val="24"/>
          <w:szCs w:val="24"/>
        </w:rPr>
        <w:t xml:space="preserve">the patient’s maximum recall period based on their oral health risk and in accordance with </w:t>
      </w:r>
      <w:hyperlink r:id="rId14" w:history="1">
        <w:r w:rsidRPr="00F56B1C">
          <w:rPr>
            <w:rStyle w:val="Hyperlink"/>
            <w:rFonts w:ascii="Arial" w:eastAsia="Arial" w:hAnsi="Arial" w:cs="Arial"/>
            <w:color w:val="005EB8"/>
            <w:sz w:val="24"/>
            <w:szCs w:val="24"/>
          </w:rPr>
          <w:t>NICE guidelines</w:t>
        </w:r>
      </w:hyperlink>
    </w:p>
    <w:p w14:paraId="4B3181C1" w14:textId="5646AC88" w:rsidR="00130F50" w:rsidRPr="00B17D83" w:rsidRDefault="00BD4F0F" w:rsidP="00E54036">
      <w:pPr>
        <w:rPr>
          <w:rFonts w:ascii="Arial" w:eastAsia="Arial" w:hAnsi="Arial" w:cs="Arial"/>
        </w:rPr>
      </w:pPr>
      <w:r w:rsidRPr="00C51022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A246FB" wp14:editId="19ACADAA">
                <wp:simplePos x="0" y="0"/>
                <wp:positionH relativeFrom="column">
                  <wp:posOffset>-40005</wp:posOffset>
                </wp:positionH>
                <wp:positionV relativeFrom="paragraph">
                  <wp:posOffset>170229</wp:posOffset>
                </wp:positionV>
                <wp:extent cx="6147435" cy="287655"/>
                <wp:effectExtent l="0" t="0" r="571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28765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99B74" id="Rectangle 10" o:spid="_x0000_s1026" style="position:absolute;margin-left:-3.15pt;margin-top:13.4pt;width:484.05pt;height:22.6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" fillcolor="#005eb8" stroked="f" strokeweight="2pt"/>
            </w:pict>
          </mc:Fallback>
        </mc:AlternateContent>
      </w:r>
    </w:p>
    <w:p w14:paraId="053162A6" w14:textId="2AA16B52" w:rsidR="00130F50" w:rsidRPr="00BD4F0F" w:rsidRDefault="00BD4F0F" w:rsidP="00E54036">
      <w:pPr>
        <w:pStyle w:val="Heading3"/>
        <w:rPr>
          <w:rFonts w:eastAsia="Arial"/>
          <w:color w:val="FFFFFF" w:themeColor="background1"/>
        </w:rPr>
      </w:pPr>
      <w:r>
        <w:rPr>
          <w:rFonts w:eastAsia="Arial"/>
          <w:color w:val="FFFFFF" w:themeColor="background1"/>
        </w:rPr>
        <w:t xml:space="preserve">  </w:t>
      </w:r>
      <w:r w:rsidR="00130F50" w:rsidRPr="00BD4F0F">
        <w:rPr>
          <w:rFonts w:eastAsia="Arial"/>
          <w:color w:val="FFFFFF" w:themeColor="background1"/>
        </w:rPr>
        <w:t>Recording your GDC number on an FP17 as a DCP</w:t>
      </w:r>
    </w:p>
    <w:p w14:paraId="19D90BC5" w14:textId="77777777" w:rsidR="00B17D83" w:rsidRPr="00B17D83" w:rsidRDefault="00B17D83" w:rsidP="00E54036"/>
    <w:p w14:paraId="0345782C" w14:textId="277382A9" w:rsidR="00130F50" w:rsidRPr="00B17D83" w:rsidRDefault="00130F50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As outlined in NHS England’s </w:t>
      </w:r>
      <w:hyperlink r:id="rId15" w:history="1">
        <w:r w:rsidRPr="00F56B1C">
          <w:rPr>
            <w:rStyle w:val="Hyperlink"/>
            <w:rFonts w:ascii="Arial" w:eastAsia="Arial" w:hAnsi="Arial" w:cs="Arial"/>
            <w:color w:val="005EB8"/>
          </w:rPr>
          <w:t>first stage of Dental Reform letter</w:t>
        </w:r>
      </w:hyperlink>
      <w:r w:rsidRPr="00B17D83">
        <w:rPr>
          <w:rFonts w:ascii="Arial" w:hAnsi="Arial" w:cs="Arial"/>
        </w:rPr>
        <w:t>, dental therapists and others operating within their scope of practice and competence can open courses of treatment.</w:t>
      </w:r>
    </w:p>
    <w:p w14:paraId="51376EC5" w14:textId="77777777" w:rsidR="00130F50" w:rsidRPr="00B17D83" w:rsidRDefault="00130F50" w:rsidP="00E54036">
      <w:pPr>
        <w:rPr>
          <w:rFonts w:ascii="Arial" w:hAnsi="Arial" w:cs="Arial"/>
        </w:rPr>
      </w:pPr>
    </w:p>
    <w:p w14:paraId="1B1FD18E" w14:textId="5189B472" w:rsidR="00130F50" w:rsidRDefault="00130F50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lastRenderedPageBreak/>
        <w:t>To support you with this, the FP17 has fields to record your information as</w:t>
      </w:r>
      <w:r w:rsidR="00614D25" w:rsidRPr="00B17D83">
        <w:rPr>
          <w:rFonts w:ascii="Arial" w:hAnsi="Arial" w:cs="Arial"/>
        </w:rPr>
        <w:t xml:space="preserve"> a</w:t>
      </w:r>
      <w:r w:rsidRPr="00B17D83">
        <w:rPr>
          <w:rFonts w:ascii="Arial" w:hAnsi="Arial" w:cs="Arial"/>
        </w:rPr>
        <w:t xml:space="preserve"> DCP. If you’re a DCP and you’ve carried out all or part of a course</w:t>
      </w:r>
      <w:r w:rsidR="00614D25" w:rsidRPr="00B17D83">
        <w:rPr>
          <w:rFonts w:ascii="Arial" w:hAnsi="Arial" w:cs="Arial"/>
        </w:rPr>
        <w:t xml:space="preserve"> of</w:t>
      </w:r>
      <w:r w:rsidRPr="00B17D83">
        <w:rPr>
          <w:rFonts w:ascii="Arial" w:hAnsi="Arial" w:cs="Arial"/>
        </w:rPr>
        <w:t xml:space="preserve"> treatment, you must record your:</w:t>
      </w:r>
    </w:p>
    <w:p w14:paraId="2ADC6A7C" w14:textId="77777777" w:rsidR="00DD2762" w:rsidRPr="00B17D83" w:rsidRDefault="00DD2762" w:rsidP="00E54036">
      <w:pPr>
        <w:rPr>
          <w:rFonts w:ascii="Arial" w:hAnsi="Arial" w:cs="Arial"/>
        </w:rPr>
      </w:pPr>
    </w:p>
    <w:p w14:paraId="2EB6F674" w14:textId="5B0009AD" w:rsidR="00130F50" w:rsidRPr="00B17D83" w:rsidRDefault="00130F50" w:rsidP="00E5403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 xml:space="preserve">DCP type – </w:t>
      </w:r>
      <w:r w:rsidR="00CD435C" w:rsidRPr="00B17D83">
        <w:rPr>
          <w:rFonts w:ascii="Arial" w:hAnsi="Arial" w:cs="Arial"/>
          <w:sz w:val="24"/>
          <w:szCs w:val="24"/>
        </w:rPr>
        <w:t xml:space="preserve">tick </w:t>
      </w:r>
      <w:r w:rsidRPr="00B17D83">
        <w:rPr>
          <w:rFonts w:ascii="Arial" w:hAnsi="Arial" w:cs="Arial"/>
          <w:sz w:val="24"/>
          <w:szCs w:val="24"/>
        </w:rPr>
        <w:t>only one option</w:t>
      </w:r>
      <w:r w:rsidR="00CD435C" w:rsidRPr="00B17D83">
        <w:rPr>
          <w:rFonts w:ascii="Arial" w:hAnsi="Arial" w:cs="Arial"/>
          <w:sz w:val="24"/>
          <w:szCs w:val="24"/>
        </w:rPr>
        <w:t xml:space="preserve"> from the list</w:t>
      </w:r>
    </w:p>
    <w:p w14:paraId="3C197DA8" w14:textId="77777777" w:rsidR="00130F50" w:rsidRPr="00B17D83" w:rsidRDefault="00130F50" w:rsidP="00E5403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GDC number – this will be validated against the GDC list held in Compass</w:t>
      </w:r>
    </w:p>
    <w:p w14:paraId="38F674BE" w14:textId="7F529A97" w:rsidR="00130F50" w:rsidRPr="00B17D83" w:rsidRDefault="004F76C1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You must enter your DCP type and GDC number </w:t>
      </w:r>
      <w:r w:rsidR="00130F50" w:rsidRPr="00B17D83">
        <w:rPr>
          <w:rFonts w:ascii="Arial" w:hAnsi="Arial" w:cs="Arial"/>
        </w:rPr>
        <w:t xml:space="preserve">to prevent the FP17 from being rejected. </w:t>
      </w:r>
    </w:p>
    <w:p w14:paraId="080E14AC" w14:textId="77777777" w:rsidR="00130F50" w:rsidRPr="00B17D83" w:rsidRDefault="00130F50" w:rsidP="00E54036">
      <w:pPr>
        <w:rPr>
          <w:rFonts w:ascii="Arial" w:hAnsi="Arial" w:cs="Arial"/>
        </w:rPr>
      </w:pPr>
    </w:p>
    <w:p w14:paraId="61E96747" w14:textId="630EAF33" w:rsidR="00130F50" w:rsidRPr="00B17D83" w:rsidRDefault="00130F50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You must also include a dentist’s performer </w:t>
      </w:r>
      <w:r w:rsidR="00525F3D" w:rsidRPr="00B17D83">
        <w:rPr>
          <w:rFonts w:ascii="Arial" w:hAnsi="Arial" w:cs="Arial"/>
        </w:rPr>
        <w:t>number</w:t>
      </w:r>
      <w:r w:rsidRPr="00B17D83">
        <w:rPr>
          <w:rFonts w:ascii="Arial" w:hAnsi="Arial" w:cs="Arial"/>
        </w:rPr>
        <w:t>, even if you carried out the full course of treatment as a DCP.</w:t>
      </w:r>
      <w:r w:rsidR="00980099" w:rsidRPr="00B17D83">
        <w:rPr>
          <w:rFonts w:ascii="Arial" w:hAnsi="Arial" w:cs="Arial"/>
        </w:rPr>
        <w:t xml:space="preserve"> </w:t>
      </w:r>
      <w:r w:rsidR="00614D25" w:rsidRPr="00B17D83">
        <w:rPr>
          <w:rFonts w:ascii="Arial" w:hAnsi="Arial" w:cs="Arial"/>
        </w:rPr>
        <w:t xml:space="preserve">This might be </w:t>
      </w:r>
      <w:r w:rsidR="00980099" w:rsidRPr="00B17D83">
        <w:rPr>
          <w:rFonts w:ascii="Arial" w:hAnsi="Arial" w:cs="Arial"/>
        </w:rPr>
        <w:t xml:space="preserve">the performer number of the dentist supervising treatment, or the performer number for the contract holder (your provider). </w:t>
      </w:r>
    </w:p>
    <w:p w14:paraId="456430E9" w14:textId="17AB1B74" w:rsidR="00533CB9" w:rsidRPr="00B17D83" w:rsidRDefault="00533CB9" w:rsidP="00E54036">
      <w:pPr>
        <w:rPr>
          <w:rFonts w:ascii="Arial" w:hAnsi="Arial" w:cs="Arial"/>
        </w:rPr>
      </w:pPr>
    </w:p>
    <w:p w14:paraId="1A48FCBF" w14:textId="5CE1BC96" w:rsidR="00533CB9" w:rsidRPr="00B17D83" w:rsidRDefault="00533CB9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If your dental practice management system is not yet showing a field to record your details as a DCP, you can use the online form in </w:t>
      </w:r>
      <w:hyperlink r:id="rId16" w:history="1">
        <w:r w:rsidRPr="00F56B1C">
          <w:rPr>
            <w:rStyle w:val="Hyperlink"/>
            <w:rFonts w:ascii="Arial" w:hAnsi="Arial" w:cs="Arial"/>
            <w:color w:val="005EB8"/>
          </w:rPr>
          <w:t>Compass</w:t>
        </w:r>
      </w:hyperlink>
      <w:r w:rsidRPr="00F56B1C">
        <w:rPr>
          <w:rFonts w:ascii="Arial" w:hAnsi="Arial" w:cs="Arial"/>
          <w:color w:val="005EB8"/>
        </w:rPr>
        <w:t>.</w:t>
      </w:r>
    </w:p>
    <w:p w14:paraId="47A35026" w14:textId="4AF6EFF3" w:rsidR="004F76C1" w:rsidRPr="00B17D83" w:rsidRDefault="004F76C1" w:rsidP="00E54036">
      <w:pPr>
        <w:rPr>
          <w:rFonts w:ascii="Arial" w:hAnsi="Arial" w:cs="Arial"/>
        </w:rPr>
      </w:pPr>
    </w:p>
    <w:p w14:paraId="3EC01779" w14:textId="77777777" w:rsidR="00297327" w:rsidRDefault="00297327" w:rsidP="00297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this is available in our </w:t>
      </w:r>
      <w:hyperlink r:id="rId17" w:history="1">
        <w:r w:rsidRPr="009F5B74">
          <w:rPr>
            <w:rStyle w:val="Hyperlink"/>
            <w:rFonts w:ascii="Arial" w:hAnsi="Arial" w:cs="Arial"/>
          </w:rPr>
          <w:t>completion of form guidance – FP17</w:t>
        </w:r>
      </w:hyperlink>
      <w:r>
        <w:rPr>
          <w:rFonts w:ascii="Arial" w:hAnsi="Arial" w:cs="Arial"/>
        </w:rPr>
        <w:t xml:space="preserve"> (under the ‘Dental forms’ heading).</w:t>
      </w:r>
    </w:p>
    <w:p w14:paraId="08218866" w14:textId="67043C0C" w:rsidR="004F76C1" w:rsidRPr="00B17D83" w:rsidRDefault="001A6EEF" w:rsidP="00E54036">
      <w:pPr>
        <w:rPr>
          <w:rFonts w:ascii="Arial" w:hAnsi="Arial" w:cs="Arial"/>
        </w:rPr>
      </w:pPr>
      <w:r w:rsidRPr="00C51022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2F67BD5" wp14:editId="63E611F9">
                <wp:simplePos x="0" y="0"/>
                <wp:positionH relativeFrom="column">
                  <wp:posOffset>-5520</wp:posOffset>
                </wp:positionH>
                <wp:positionV relativeFrom="paragraph">
                  <wp:posOffset>159141</wp:posOffset>
                </wp:positionV>
                <wp:extent cx="6147435" cy="287655"/>
                <wp:effectExtent l="0" t="0" r="571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28765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D7EEC" id="Rectangle 8" o:spid="_x0000_s1026" style="position:absolute;margin-left:-.45pt;margin-top:12.55pt;width:484.05pt;height:22.65pt;z-index:-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" fillcolor="#005eb8" stroked="f" strokeweight="2pt"/>
            </w:pict>
          </mc:Fallback>
        </mc:AlternateContent>
      </w:r>
    </w:p>
    <w:p w14:paraId="7623567A" w14:textId="6DD155F6" w:rsidR="00130F50" w:rsidRPr="00297327" w:rsidRDefault="001A6EEF" w:rsidP="00E54036">
      <w:pPr>
        <w:pStyle w:val="Heading3"/>
        <w:rPr>
          <w:color w:val="FFFFFF" w:themeColor="background1"/>
        </w:rPr>
      </w:pPr>
      <w:r>
        <w:rPr>
          <w:color w:val="FFFFFF" w:themeColor="background1"/>
        </w:rPr>
        <w:t xml:space="preserve">  </w:t>
      </w:r>
      <w:r w:rsidR="004F76C1" w:rsidRPr="001A6EEF">
        <w:rPr>
          <w:color w:val="FFFFFF" w:themeColor="background1"/>
        </w:rPr>
        <w:t xml:space="preserve">Recording information about </w:t>
      </w:r>
      <w:r w:rsidR="00297327" w:rsidRPr="00297327">
        <w:rPr>
          <w:color w:val="FFFFFF" w:themeColor="background1"/>
        </w:rPr>
        <w:t>a patient’s</w:t>
      </w:r>
      <w:r w:rsidR="004F76C1" w:rsidRPr="00297327">
        <w:rPr>
          <w:color w:val="FFFFFF" w:themeColor="background1"/>
        </w:rPr>
        <w:t xml:space="preserve"> oral health risk </w:t>
      </w:r>
    </w:p>
    <w:p w14:paraId="7D7D62FB" w14:textId="77777777" w:rsidR="00B17D83" w:rsidRPr="00B17D83" w:rsidRDefault="00B17D83" w:rsidP="00E54036"/>
    <w:p w14:paraId="474A9F13" w14:textId="23551C9D" w:rsidR="00533CB9" w:rsidRPr="00B17D83" w:rsidRDefault="00263CF5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As highlighted in NHS England’s </w:t>
      </w:r>
      <w:hyperlink r:id="rId18" w:history="1">
        <w:r w:rsidRPr="00F56B1C">
          <w:rPr>
            <w:rStyle w:val="Hyperlink"/>
            <w:rFonts w:ascii="Arial" w:hAnsi="Arial" w:cs="Arial"/>
            <w:color w:val="005EB8"/>
          </w:rPr>
          <w:t>first stage of</w:t>
        </w:r>
        <w:r w:rsidR="000F23CF" w:rsidRPr="00F56B1C">
          <w:rPr>
            <w:rStyle w:val="Hyperlink"/>
            <w:rFonts w:ascii="Arial" w:hAnsi="Arial" w:cs="Arial"/>
            <w:color w:val="005EB8"/>
          </w:rPr>
          <w:t xml:space="preserve"> Dental Reform letter</w:t>
        </w:r>
      </w:hyperlink>
      <w:r w:rsidR="000F23CF" w:rsidRPr="00F56B1C">
        <w:rPr>
          <w:rFonts w:ascii="Arial" w:hAnsi="Arial" w:cs="Arial"/>
          <w:color w:val="005EB8"/>
        </w:rPr>
        <w:t xml:space="preserve">, </w:t>
      </w:r>
      <w:r w:rsidR="000F23CF" w:rsidRPr="00B17D83">
        <w:rPr>
          <w:rFonts w:ascii="Arial" w:hAnsi="Arial" w:cs="Arial"/>
        </w:rPr>
        <w:t xml:space="preserve">data is required covering a patient’s oral health at the point of check-up. </w:t>
      </w:r>
      <w:r w:rsidR="001C246E" w:rsidRPr="00B17D83">
        <w:rPr>
          <w:rFonts w:ascii="Arial" w:hAnsi="Arial" w:cs="Arial"/>
        </w:rPr>
        <w:t xml:space="preserve">Therefore, we’ve made some changes to the clinical data set. </w:t>
      </w:r>
    </w:p>
    <w:p w14:paraId="13378A68" w14:textId="01690507" w:rsidR="00533CB9" w:rsidRPr="00B17D83" w:rsidRDefault="00533CB9" w:rsidP="00E54036">
      <w:pPr>
        <w:rPr>
          <w:rFonts w:ascii="Arial" w:hAnsi="Arial" w:cs="Arial"/>
        </w:rPr>
      </w:pPr>
    </w:p>
    <w:p w14:paraId="448852D3" w14:textId="53560F07" w:rsidR="00330084" w:rsidRDefault="00533CB9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>If the clinical data set in your dental practice management system has not been updated, you can</w:t>
      </w:r>
      <w:r w:rsidR="00330084" w:rsidRPr="00B17D83">
        <w:rPr>
          <w:rFonts w:ascii="Arial" w:hAnsi="Arial" w:cs="Arial"/>
        </w:rPr>
        <w:t xml:space="preserve"> either:</w:t>
      </w:r>
    </w:p>
    <w:p w14:paraId="278B5E41" w14:textId="77777777" w:rsidR="003F5869" w:rsidRPr="00B17D83" w:rsidRDefault="003F5869" w:rsidP="00E54036">
      <w:pPr>
        <w:rPr>
          <w:rFonts w:ascii="Arial" w:hAnsi="Arial" w:cs="Arial"/>
        </w:rPr>
      </w:pPr>
    </w:p>
    <w:p w14:paraId="6F2C49B7" w14:textId="77777777" w:rsidR="00330084" w:rsidRPr="00B17D83" w:rsidRDefault="00533CB9" w:rsidP="00E5403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use the online form in Compass</w:t>
      </w:r>
    </w:p>
    <w:p w14:paraId="34F29152" w14:textId="3F2DA70E" w:rsidR="00533CB9" w:rsidRPr="00B17D83" w:rsidRDefault="00330084" w:rsidP="00E5403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B17D83">
        <w:rPr>
          <w:rFonts w:ascii="Arial" w:hAnsi="Arial" w:cs="Arial"/>
          <w:sz w:val="24"/>
          <w:szCs w:val="24"/>
        </w:rPr>
        <w:t>submit using your normal system and a comment code will be generated on the FP17 – it will not be rejected</w:t>
      </w:r>
    </w:p>
    <w:p w14:paraId="731DD538" w14:textId="5F671F04" w:rsidR="00760369" w:rsidRPr="00B17D83" w:rsidRDefault="00760369" w:rsidP="00297327">
      <w:pPr>
        <w:jc w:val="both"/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Information about the changes is summarised below. </w:t>
      </w:r>
      <w:r w:rsidR="00297327">
        <w:rPr>
          <w:rFonts w:ascii="Arial" w:hAnsi="Arial" w:cs="Arial"/>
        </w:rPr>
        <w:t xml:space="preserve">For further information, please read </w:t>
      </w:r>
      <w:hyperlink r:id="rId19" w:history="1">
        <w:r w:rsidR="00297327" w:rsidRPr="009F5B74">
          <w:rPr>
            <w:rStyle w:val="Hyperlink"/>
            <w:rFonts w:ascii="Arial" w:hAnsi="Arial" w:cs="Arial"/>
          </w:rPr>
          <w:t>completion of form guidance – FP17</w:t>
        </w:r>
      </w:hyperlink>
      <w:r w:rsidR="00297327">
        <w:rPr>
          <w:rFonts w:ascii="Arial" w:hAnsi="Arial" w:cs="Arial"/>
        </w:rPr>
        <w:t xml:space="preserve"> (under the ‘Dental forms’ heading).</w:t>
      </w:r>
    </w:p>
    <w:p w14:paraId="4DFB9E14" w14:textId="57FEDA29" w:rsidR="004A4EB6" w:rsidRPr="00B17D83" w:rsidRDefault="001C7DEB" w:rsidP="00E54036">
      <w:pPr>
        <w:rPr>
          <w:rFonts w:ascii="Arial" w:hAnsi="Arial" w:cs="Arial"/>
        </w:rPr>
      </w:pPr>
      <w:r w:rsidRPr="00C51022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EF33F8E" wp14:editId="1E796554">
                <wp:simplePos x="0" y="0"/>
                <wp:positionH relativeFrom="column">
                  <wp:posOffset>-3126</wp:posOffset>
                </wp:positionH>
                <wp:positionV relativeFrom="paragraph">
                  <wp:posOffset>174625</wp:posOffset>
                </wp:positionV>
                <wp:extent cx="6147435" cy="287655"/>
                <wp:effectExtent l="0" t="0" r="571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28765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F37CA" id="Rectangle 7" o:spid="_x0000_s1026" style="position:absolute;margin-left:-.25pt;margin-top:13.75pt;width:484.05pt;height:22.65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" fillcolor="#005eb8" stroked="f" strokeweight="2pt"/>
            </w:pict>
          </mc:Fallback>
        </mc:AlternateContent>
      </w:r>
    </w:p>
    <w:p w14:paraId="3D987276" w14:textId="143CA641" w:rsidR="004B6CA3" w:rsidRPr="001C7DEB" w:rsidRDefault="001C7DEB" w:rsidP="00E54036">
      <w:pPr>
        <w:pStyle w:val="Heading3"/>
        <w:rPr>
          <w:color w:val="FFFFFF" w:themeColor="background1"/>
        </w:rPr>
      </w:pPr>
      <w:r>
        <w:rPr>
          <w:color w:val="FFFFFF" w:themeColor="background1"/>
        </w:rPr>
        <w:t xml:space="preserve">  </w:t>
      </w:r>
      <w:r w:rsidR="004B6CA3" w:rsidRPr="001C7DEB">
        <w:rPr>
          <w:color w:val="FFFFFF" w:themeColor="background1"/>
        </w:rPr>
        <w:t>Recording endodontic treatment</w:t>
      </w:r>
    </w:p>
    <w:p w14:paraId="38396FE3" w14:textId="6DFFA90B" w:rsidR="00B17D83" w:rsidRPr="00B17D83" w:rsidRDefault="00B17D83" w:rsidP="00E54036"/>
    <w:p w14:paraId="74AE03D9" w14:textId="139D5499" w:rsidR="005F06DA" w:rsidRDefault="004A4EB6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For courses of treatment starting on or after 1 October 2022, </w:t>
      </w:r>
      <w:r w:rsidR="005F06DA" w:rsidRPr="00B17D83">
        <w:rPr>
          <w:rFonts w:ascii="Arial" w:hAnsi="Arial" w:cs="Arial"/>
        </w:rPr>
        <w:t>Endodontic treatment is now split into two categories:</w:t>
      </w:r>
    </w:p>
    <w:p w14:paraId="5D39F7B6" w14:textId="77777777" w:rsidR="003F5869" w:rsidRPr="00B17D83" w:rsidRDefault="003F5869" w:rsidP="00E54036">
      <w:pPr>
        <w:rPr>
          <w:rFonts w:ascii="Arial" w:hAnsi="Arial" w:cs="Arial"/>
        </w:rPr>
      </w:pPr>
    </w:p>
    <w:p w14:paraId="5A658E2F" w14:textId="2368D833" w:rsidR="005F06DA" w:rsidRPr="00B17D83" w:rsidRDefault="005F06DA" w:rsidP="00E5403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Endodontic – Molar</w:t>
      </w:r>
    </w:p>
    <w:p w14:paraId="10BA26CC" w14:textId="26499338" w:rsidR="004B6CA3" w:rsidRPr="00981EA8" w:rsidRDefault="005F06DA" w:rsidP="00E5403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Endodontic – Non-mola</w:t>
      </w:r>
      <w:r w:rsidR="004B6CA3" w:rsidRPr="00B17D83">
        <w:rPr>
          <w:rFonts w:ascii="Arial" w:hAnsi="Arial" w:cs="Arial"/>
          <w:sz w:val="24"/>
          <w:szCs w:val="24"/>
        </w:rPr>
        <w:t>r</w:t>
      </w:r>
    </w:p>
    <w:p w14:paraId="121D675D" w14:textId="75FF5806" w:rsidR="005F06DA" w:rsidRPr="00C83C21" w:rsidRDefault="005F06DA" w:rsidP="00E54036">
      <w:pPr>
        <w:rPr>
          <w:rFonts w:ascii="Arial" w:hAnsi="Arial" w:cs="Arial"/>
          <w:b/>
          <w:bCs/>
          <w:color w:val="005EB8"/>
        </w:rPr>
      </w:pPr>
      <w:r w:rsidRPr="00C83C21">
        <w:rPr>
          <w:rFonts w:ascii="Arial" w:hAnsi="Arial" w:cs="Arial"/>
          <w:b/>
          <w:bCs/>
          <w:color w:val="005EB8"/>
        </w:rPr>
        <w:t>Endodontic – Molar</w:t>
      </w:r>
    </w:p>
    <w:p w14:paraId="5FE0D517" w14:textId="77777777" w:rsidR="00B17D83" w:rsidRPr="00B17D83" w:rsidRDefault="00B17D83" w:rsidP="00E54036">
      <w:pPr>
        <w:rPr>
          <w:rFonts w:ascii="Arial" w:hAnsi="Arial" w:cs="Arial"/>
          <w:b/>
          <w:bCs/>
        </w:rPr>
      </w:pPr>
    </w:p>
    <w:p w14:paraId="586DAC77" w14:textId="603B3BE2" w:rsidR="005F06DA" w:rsidRPr="00B17D83" w:rsidRDefault="005F06DA" w:rsidP="00E54036">
      <w:pPr>
        <w:rPr>
          <w:rFonts w:ascii="Arial" w:hAnsi="Arial" w:cs="Arial"/>
          <w:color w:val="000000"/>
        </w:rPr>
      </w:pPr>
      <w:r w:rsidRPr="00B17D83">
        <w:rPr>
          <w:rFonts w:ascii="Arial" w:hAnsi="Arial" w:cs="Arial"/>
          <w:color w:val="000000"/>
        </w:rPr>
        <w:t xml:space="preserve">The number of </w:t>
      </w:r>
      <w:r w:rsidR="00AD76BD" w:rsidRPr="00B17D83">
        <w:rPr>
          <w:rFonts w:ascii="Arial" w:hAnsi="Arial" w:cs="Arial"/>
          <w:color w:val="000000"/>
        </w:rPr>
        <w:t xml:space="preserve">permanent </w:t>
      </w:r>
      <w:r w:rsidRPr="00B17D83">
        <w:rPr>
          <w:rFonts w:ascii="Arial" w:hAnsi="Arial" w:cs="Arial"/>
          <w:color w:val="000000"/>
        </w:rPr>
        <w:t>molar teeth endodontically treated (root filled) should be entered in this box.</w:t>
      </w:r>
      <w:r w:rsidR="004B6CA3" w:rsidRPr="00B17D83">
        <w:rPr>
          <w:rFonts w:ascii="Arial" w:hAnsi="Arial" w:cs="Arial"/>
          <w:color w:val="000000"/>
        </w:rPr>
        <w:t xml:space="preserve"> </w:t>
      </w:r>
      <w:r w:rsidR="004B6CA3" w:rsidRPr="00B17D83">
        <w:rPr>
          <w:rFonts w:ascii="Arial" w:hAnsi="Arial" w:cs="Arial"/>
          <w:color w:val="000000"/>
          <w:lang w:eastAsia="en-GB"/>
        </w:rPr>
        <w:t>Treatment on deciduous teeth must not be included.</w:t>
      </w:r>
    </w:p>
    <w:p w14:paraId="2D06632C" w14:textId="77777777" w:rsidR="005F06DA" w:rsidRPr="00B17D83" w:rsidRDefault="005F06DA" w:rsidP="00E54036">
      <w:pPr>
        <w:rPr>
          <w:rFonts w:ascii="Arial" w:hAnsi="Arial" w:cs="Arial"/>
          <w:b/>
          <w:bCs/>
        </w:rPr>
      </w:pPr>
    </w:p>
    <w:p w14:paraId="399BA648" w14:textId="0FF1A83F" w:rsidR="005F06DA" w:rsidRPr="00C83C21" w:rsidRDefault="005F06DA" w:rsidP="00E54036">
      <w:pPr>
        <w:rPr>
          <w:rFonts w:ascii="Arial" w:hAnsi="Arial" w:cs="Arial"/>
          <w:b/>
          <w:bCs/>
          <w:color w:val="005EB8"/>
        </w:rPr>
      </w:pPr>
      <w:r w:rsidRPr="00C83C21">
        <w:rPr>
          <w:rFonts w:ascii="Arial" w:hAnsi="Arial" w:cs="Arial"/>
          <w:b/>
          <w:bCs/>
          <w:color w:val="005EB8"/>
        </w:rPr>
        <w:t>Endodontic – Non-molar</w:t>
      </w:r>
    </w:p>
    <w:p w14:paraId="0C971740" w14:textId="77777777" w:rsidR="00B17D83" w:rsidRPr="00B17D83" w:rsidRDefault="00B17D83" w:rsidP="00E54036">
      <w:pPr>
        <w:rPr>
          <w:rFonts w:ascii="Arial" w:hAnsi="Arial" w:cs="Arial"/>
          <w:b/>
          <w:bCs/>
        </w:rPr>
      </w:pPr>
    </w:p>
    <w:p w14:paraId="2C9B5453" w14:textId="3E5E0F30" w:rsidR="005F06DA" w:rsidRPr="00B17D83" w:rsidRDefault="005F06DA" w:rsidP="00E54036">
      <w:pPr>
        <w:pStyle w:val="ListParagraph"/>
        <w:spacing w:line="240" w:lineRule="auto"/>
        <w:ind w:left="0"/>
        <w:rPr>
          <w:rFonts w:ascii="Arial" w:hAnsi="Arial" w:cs="Arial"/>
          <w:color w:val="000000"/>
          <w:lang w:eastAsia="en-GB"/>
        </w:rPr>
      </w:pPr>
      <w:r w:rsidRPr="00B17D83">
        <w:rPr>
          <w:rFonts w:ascii="Arial" w:hAnsi="Arial" w:cs="Arial"/>
          <w:color w:val="000000"/>
          <w:sz w:val="24"/>
          <w:szCs w:val="24"/>
        </w:rPr>
        <w:t xml:space="preserve">The number of </w:t>
      </w:r>
      <w:r w:rsidR="00AD76BD" w:rsidRPr="00B17D83">
        <w:rPr>
          <w:rFonts w:ascii="Arial" w:hAnsi="Arial" w:cs="Arial"/>
          <w:color w:val="000000"/>
          <w:sz w:val="24"/>
          <w:szCs w:val="24"/>
        </w:rPr>
        <w:t xml:space="preserve">permanent </w:t>
      </w:r>
      <w:r w:rsidRPr="00B17D83">
        <w:rPr>
          <w:rFonts w:ascii="Arial" w:hAnsi="Arial" w:cs="Arial"/>
          <w:color w:val="000000"/>
          <w:sz w:val="24"/>
          <w:szCs w:val="24"/>
        </w:rPr>
        <w:t>non-molar teeth endodontically treated (root filled) should be entered in this box.</w:t>
      </w:r>
      <w:r w:rsidR="004B6CA3" w:rsidRPr="00B1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4B6CA3" w:rsidRPr="00B17D83">
        <w:rPr>
          <w:rFonts w:ascii="Arial" w:hAnsi="Arial" w:cs="Arial"/>
          <w:color w:val="000000"/>
          <w:sz w:val="24"/>
          <w:szCs w:val="24"/>
          <w:lang w:eastAsia="en-GB"/>
        </w:rPr>
        <w:t>Treatment on deciduous teeth must not be included</w:t>
      </w:r>
      <w:r w:rsidR="004B6CA3" w:rsidRPr="00B17D83">
        <w:rPr>
          <w:rFonts w:ascii="Arial" w:hAnsi="Arial" w:cs="Arial"/>
          <w:color w:val="000000"/>
          <w:lang w:eastAsia="en-GB"/>
        </w:rPr>
        <w:t>.</w:t>
      </w:r>
      <w:r w:rsidR="00122427">
        <w:rPr>
          <w:rFonts w:ascii="Arial" w:hAnsi="Arial" w:cs="Arial"/>
          <w:color w:val="000000"/>
          <w:lang w:eastAsia="en-GB"/>
        </w:rPr>
        <w:br/>
      </w:r>
      <w:r w:rsidR="00122427">
        <w:rPr>
          <w:rFonts w:ascii="Arial" w:hAnsi="Arial" w:cs="Arial"/>
          <w:color w:val="000000"/>
          <w:lang w:eastAsia="en-GB"/>
        </w:rPr>
        <w:br/>
      </w:r>
    </w:p>
    <w:p w14:paraId="39240618" w14:textId="51E12EBE" w:rsidR="004B6CA3" w:rsidRPr="00B17D83" w:rsidRDefault="00F70420" w:rsidP="00E54036">
      <w:pPr>
        <w:pStyle w:val="ListParagraph"/>
        <w:spacing w:line="240" w:lineRule="auto"/>
        <w:ind w:left="0"/>
        <w:rPr>
          <w:rFonts w:ascii="Arial" w:hAnsi="Arial" w:cs="Arial"/>
          <w:color w:val="000000"/>
          <w:lang w:eastAsia="en-GB"/>
        </w:rPr>
      </w:pPr>
      <w:r w:rsidRPr="00C51022">
        <w:rPr>
          <w:rFonts w:ascii="Arial" w:hAnsi="Arial" w:cs="Arial"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CFCFA87" wp14:editId="63A9E543">
                <wp:simplePos x="0" y="0"/>
                <wp:positionH relativeFrom="column">
                  <wp:posOffset>-12065</wp:posOffset>
                </wp:positionH>
                <wp:positionV relativeFrom="paragraph">
                  <wp:posOffset>234999</wp:posOffset>
                </wp:positionV>
                <wp:extent cx="6147435" cy="288000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288000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69D09" id="Rectangle 6" o:spid="_x0000_s1026" style="position:absolute;margin-left:-.95pt;margin-top:18.5pt;width:484.05pt;height:22.7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" fillcolor="#005eb8" stroked="f" strokeweight="2pt"/>
            </w:pict>
          </mc:Fallback>
        </mc:AlternateContent>
      </w:r>
    </w:p>
    <w:p w14:paraId="4D4067D7" w14:textId="7CBB674A" w:rsidR="004B6CA3" w:rsidRPr="00297327" w:rsidRDefault="00F70420" w:rsidP="00E54036">
      <w:pPr>
        <w:pStyle w:val="Heading3"/>
        <w:rPr>
          <w:color w:val="FFFFFF" w:themeColor="background1"/>
          <w:lang w:eastAsia="en-GB"/>
        </w:rPr>
      </w:pPr>
      <w:r>
        <w:rPr>
          <w:color w:val="FFFFFF" w:themeColor="background1"/>
          <w:lang w:eastAsia="en-GB"/>
        </w:rPr>
        <w:t xml:space="preserve">  </w:t>
      </w:r>
      <w:r w:rsidR="004B6CA3" w:rsidRPr="00297327">
        <w:rPr>
          <w:color w:val="FFFFFF" w:themeColor="background1"/>
          <w:lang w:eastAsia="en-GB"/>
        </w:rPr>
        <w:t>Recording the highest BPE sextant score</w:t>
      </w:r>
    </w:p>
    <w:p w14:paraId="49BD15EF" w14:textId="77777777" w:rsidR="00B17D83" w:rsidRPr="00B17D83" w:rsidRDefault="00B17D83" w:rsidP="00E54036">
      <w:pPr>
        <w:rPr>
          <w:lang w:eastAsia="en-GB"/>
        </w:rPr>
      </w:pPr>
    </w:p>
    <w:p w14:paraId="0E0F0B1F" w14:textId="6DD31A92" w:rsidR="0094164E" w:rsidRDefault="004B6CA3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>Entry of the highest Basic Periodontal Examination (</w:t>
      </w:r>
      <w:r w:rsidRPr="00B17D83">
        <w:rPr>
          <w:rFonts w:ascii="Arial" w:eastAsiaTheme="majorEastAsia" w:hAnsi="Arial" w:cs="Arial"/>
        </w:rPr>
        <w:t>BPE</w:t>
      </w:r>
      <w:r w:rsidRPr="00B17D83">
        <w:rPr>
          <w:rFonts w:ascii="Arial" w:hAnsi="Arial" w:cs="Arial"/>
        </w:rPr>
        <w:t>) score</w:t>
      </w:r>
      <w:r w:rsidR="004C6E40" w:rsidRPr="00B17D83">
        <w:rPr>
          <w:rFonts w:ascii="Arial" w:hAnsi="Arial" w:cs="Arial"/>
        </w:rPr>
        <w:t xml:space="preserve"> is mandatory on all FP17 claims when the date of acceptance is on or after 1 October 2022 and the patient is 18 or over. It is optional for patients under 18.</w:t>
      </w:r>
    </w:p>
    <w:p w14:paraId="60FB56B9" w14:textId="6B6281EA" w:rsidR="0094164E" w:rsidRDefault="0094164E" w:rsidP="00E54036">
      <w:pPr>
        <w:rPr>
          <w:rFonts w:ascii="Arial" w:hAnsi="Arial" w:cs="Arial"/>
        </w:rPr>
      </w:pPr>
    </w:p>
    <w:p w14:paraId="411874BE" w14:textId="722A6F43" w:rsidR="005B5869" w:rsidRDefault="005B5869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Use the </w:t>
      </w:r>
      <w:r w:rsidR="003C07BB" w:rsidRPr="00B17D83">
        <w:rPr>
          <w:rFonts w:ascii="Arial" w:hAnsi="Arial" w:cs="Arial"/>
        </w:rPr>
        <w:t>drop-down</w:t>
      </w:r>
      <w:r w:rsidRPr="00B17D83">
        <w:rPr>
          <w:rFonts w:ascii="Arial" w:hAnsi="Arial" w:cs="Arial"/>
        </w:rPr>
        <w:t xml:space="preserve"> list next to ‘Highest BPE Sextant Score’ to record either:</w:t>
      </w:r>
    </w:p>
    <w:p w14:paraId="120C2205" w14:textId="77777777" w:rsidR="00DD2762" w:rsidRPr="00B17D83" w:rsidRDefault="00DD2762" w:rsidP="00E54036">
      <w:pPr>
        <w:rPr>
          <w:rFonts w:ascii="Arial" w:hAnsi="Arial" w:cs="Arial"/>
        </w:rPr>
      </w:pPr>
    </w:p>
    <w:p w14:paraId="4F03472D" w14:textId="5F5567F0" w:rsidR="005B5869" w:rsidRPr="00B17D83" w:rsidRDefault="005B5869" w:rsidP="00E5403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Score of zero</w:t>
      </w:r>
    </w:p>
    <w:p w14:paraId="6A813DD3" w14:textId="4A81B133" w:rsidR="005B5869" w:rsidRPr="00B17D83" w:rsidRDefault="005B5869" w:rsidP="00E5403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Score of 1</w:t>
      </w:r>
    </w:p>
    <w:p w14:paraId="6C77C059" w14:textId="25EC6091" w:rsidR="005B5869" w:rsidRPr="00B17D83" w:rsidRDefault="005B5869" w:rsidP="00E5403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Score of 2</w:t>
      </w:r>
    </w:p>
    <w:p w14:paraId="78415D5C" w14:textId="7830D26A" w:rsidR="005B5869" w:rsidRPr="00B17D83" w:rsidRDefault="005B5869" w:rsidP="00E5403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Score of 3</w:t>
      </w:r>
    </w:p>
    <w:p w14:paraId="040537A7" w14:textId="4B8FD632" w:rsidR="005B5869" w:rsidRPr="00B17D83" w:rsidRDefault="005B5869" w:rsidP="00E5403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Score</w:t>
      </w:r>
      <w:r w:rsidR="003C07BB" w:rsidRPr="00B17D83">
        <w:rPr>
          <w:rFonts w:ascii="Arial" w:hAnsi="Arial" w:cs="Arial"/>
          <w:sz w:val="24"/>
          <w:szCs w:val="24"/>
        </w:rPr>
        <w:t xml:space="preserve"> </w:t>
      </w:r>
      <w:r w:rsidRPr="00B17D83">
        <w:rPr>
          <w:rFonts w:ascii="Arial" w:hAnsi="Arial" w:cs="Arial"/>
          <w:sz w:val="24"/>
          <w:szCs w:val="24"/>
        </w:rPr>
        <w:t>of 4</w:t>
      </w:r>
    </w:p>
    <w:p w14:paraId="25BA872F" w14:textId="665EF791" w:rsidR="005B5869" w:rsidRPr="00B17D83" w:rsidRDefault="005B5869" w:rsidP="00E5403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- (hyphen)</w:t>
      </w:r>
    </w:p>
    <w:p w14:paraId="3084EF0D" w14:textId="5C73E702" w:rsidR="005B5869" w:rsidRPr="00B17D83" w:rsidRDefault="005B5869" w:rsidP="00E54036">
      <w:pPr>
        <w:spacing w:before="240"/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The </w:t>
      </w:r>
      <w:r w:rsidR="003C07BB" w:rsidRPr="00B17D83">
        <w:rPr>
          <w:rFonts w:ascii="Arial" w:hAnsi="Arial" w:cs="Arial"/>
        </w:rPr>
        <w:t xml:space="preserve">hyphen must only be used if it is not possible to carry out a BPE. </w:t>
      </w:r>
    </w:p>
    <w:p w14:paraId="47611E61" w14:textId="5274A710" w:rsidR="005B5869" w:rsidRPr="00B17D83" w:rsidRDefault="00C51022" w:rsidP="00E5403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B489061" wp14:editId="6453FFD1">
                <wp:simplePos x="0" y="0"/>
                <wp:positionH relativeFrom="column">
                  <wp:posOffset>-26474</wp:posOffset>
                </wp:positionH>
                <wp:positionV relativeFrom="paragraph">
                  <wp:posOffset>179656</wp:posOffset>
                </wp:positionV>
                <wp:extent cx="6147435" cy="288000"/>
                <wp:effectExtent l="0" t="0" r="571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288000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91DC" id="Rectangle 4" o:spid="_x0000_s1026" style="position:absolute;margin-left:-2.1pt;margin-top:14.15pt;width:484.05pt;height:22.7pt;z-index:-2516582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" fillcolor="#005eb8" stroked="f" strokeweight="2pt"/>
            </w:pict>
          </mc:Fallback>
        </mc:AlternateContent>
      </w:r>
    </w:p>
    <w:p w14:paraId="424CB69D" w14:textId="57C03AF9" w:rsidR="00F67869" w:rsidRPr="00C51022" w:rsidRDefault="00C51022" w:rsidP="00E54036">
      <w:pPr>
        <w:pStyle w:val="Heading3"/>
        <w:rPr>
          <w:color w:val="FFFFFF" w:themeColor="background1"/>
        </w:rPr>
      </w:pPr>
      <w:r>
        <w:rPr>
          <w:color w:val="FFFFFF" w:themeColor="background1"/>
        </w:rPr>
        <w:t xml:space="preserve">  </w:t>
      </w:r>
      <w:r w:rsidR="000C4EF8" w:rsidRPr="00C51022">
        <w:rPr>
          <w:color w:val="FFFFFF" w:themeColor="background1"/>
        </w:rPr>
        <w:t>Recording the number of untreated decayed teeth</w:t>
      </w:r>
    </w:p>
    <w:p w14:paraId="5B074927" w14:textId="77777777" w:rsidR="00B17D83" w:rsidRPr="00B17D83" w:rsidRDefault="00B17D83" w:rsidP="00E54036"/>
    <w:p w14:paraId="5ED18EE7" w14:textId="4F131576" w:rsidR="000C4EF8" w:rsidRPr="00B17D83" w:rsidRDefault="000C4EF8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Recording the number of untreated decayed teeth is mandatory on all FP17 claims when the date of acceptance is on or after 1 October 2022 and the patient is 18 or over. It is optional for patients under 18. </w:t>
      </w:r>
    </w:p>
    <w:p w14:paraId="2A2B2151" w14:textId="22BA900D" w:rsidR="000C4EF8" w:rsidRPr="00B17D83" w:rsidRDefault="000C4EF8" w:rsidP="00E54036">
      <w:pPr>
        <w:rPr>
          <w:rFonts w:ascii="Arial" w:hAnsi="Arial" w:cs="Arial"/>
        </w:rPr>
      </w:pPr>
    </w:p>
    <w:p w14:paraId="504B09AB" w14:textId="5EB5D67B" w:rsidR="000C4EF8" w:rsidRPr="00B17D83" w:rsidRDefault="000C4EF8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You must use the untreated decayed teeth field to record </w:t>
      </w:r>
      <w:r w:rsidR="00215FC6" w:rsidRPr="00B17D83">
        <w:rPr>
          <w:rFonts w:ascii="Arial" w:hAnsi="Arial" w:cs="Arial"/>
        </w:rPr>
        <w:t xml:space="preserve">the number of </w:t>
      </w:r>
      <w:r w:rsidRPr="00B17D83">
        <w:rPr>
          <w:rFonts w:ascii="Arial" w:hAnsi="Arial" w:cs="Arial"/>
        </w:rPr>
        <w:t>teet</w:t>
      </w:r>
      <w:r w:rsidR="00215FC6" w:rsidRPr="00B17D83">
        <w:rPr>
          <w:rFonts w:ascii="Arial" w:hAnsi="Arial" w:cs="Arial"/>
        </w:rPr>
        <w:t>h</w:t>
      </w:r>
      <w:r w:rsidR="00760369" w:rsidRPr="00B17D83">
        <w:rPr>
          <w:rFonts w:ascii="Arial" w:hAnsi="Arial" w:cs="Arial"/>
        </w:rPr>
        <w:t xml:space="preserve"> with active caries</w:t>
      </w:r>
      <w:r w:rsidR="00215FC6" w:rsidRPr="00B17D83">
        <w:rPr>
          <w:rFonts w:ascii="Arial" w:hAnsi="Arial" w:cs="Arial"/>
        </w:rPr>
        <w:t xml:space="preserve"> </w:t>
      </w:r>
      <w:r w:rsidR="00125FDD" w:rsidRPr="00B17D83">
        <w:rPr>
          <w:rFonts w:ascii="Arial" w:hAnsi="Arial" w:cs="Arial"/>
        </w:rPr>
        <w:t xml:space="preserve">which extends into dentine, including teeth which have recurrent decay around fillings. This </w:t>
      </w:r>
      <w:r w:rsidRPr="00B17D83">
        <w:rPr>
          <w:rFonts w:ascii="Arial" w:hAnsi="Arial" w:cs="Arial"/>
        </w:rPr>
        <w:t>exclu</w:t>
      </w:r>
      <w:r w:rsidR="00125FDD" w:rsidRPr="00B17D83">
        <w:rPr>
          <w:rFonts w:ascii="Arial" w:hAnsi="Arial" w:cs="Arial"/>
        </w:rPr>
        <w:t>des</w:t>
      </w:r>
      <w:r w:rsidRPr="00B17D83">
        <w:rPr>
          <w:rFonts w:ascii="Arial" w:hAnsi="Arial" w:cs="Arial"/>
        </w:rPr>
        <w:t xml:space="preserve"> arrested decay</w:t>
      </w:r>
      <w:r w:rsidR="0032486F" w:rsidRPr="00B17D83">
        <w:rPr>
          <w:rFonts w:ascii="Arial" w:hAnsi="Arial" w:cs="Arial"/>
        </w:rPr>
        <w:t>.</w:t>
      </w:r>
    </w:p>
    <w:p w14:paraId="6C4326AC" w14:textId="7BB97E38" w:rsidR="004B6CA3" w:rsidRPr="00B17D83" w:rsidRDefault="00F56D27" w:rsidP="00E5403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129A7A85" wp14:editId="26C778F2">
                <wp:simplePos x="0" y="0"/>
                <wp:positionH relativeFrom="column">
                  <wp:posOffset>-24130</wp:posOffset>
                </wp:positionH>
                <wp:positionV relativeFrom="paragraph">
                  <wp:posOffset>145464</wp:posOffset>
                </wp:positionV>
                <wp:extent cx="6147435" cy="288000"/>
                <wp:effectExtent l="0" t="0" r="571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288000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D6126" id="Rectangle 3" o:spid="_x0000_s1026" style="position:absolute;margin-left:-1.9pt;margin-top:11.45pt;width:484.05pt;height:22.7pt;z-index:-251658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" fillcolor="#005eb8" stroked="f" strokeweight="2pt"/>
            </w:pict>
          </mc:Fallback>
        </mc:AlternateContent>
      </w:r>
    </w:p>
    <w:p w14:paraId="7009E766" w14:textId="61247611" w:rsidR="00125FDD" w:rsidRPr="00F56D27" w:rsidRDefault="00F56D27" w:rsidP="00E54036">
      <w:pPr>
        <w:pStyle w:val="Heading2"/>
        <w:rPr>
          <w:color w:val="FFFFFF" w:themeColor="background1"/>
        </w:rPr>
      </w:pPr>
      <w:r>
        <w:rPr>
          <w:color w:val="FFFFFF" w:themeColor="background1"/>
          <w:sz w:val="28"/>
          <w:szCs w:val="24"/>
        </w:rPr>
        <w:t xml:space="preserve">  </w:t>
      </w:r>
      <w:r w:rsidR="00125FDD" w:rsidRPr="00F56D27">
        <w:rPr>
          <w:color w:val="FFFFFF" w:themeColor="background1"/>
          <w:sz w:val="28"/>
          <w:szCs w:val="24"/>
        </w:rPr>
        <w:t xml:space="preserve">Recording the patient’s </w:t>
      </w:r>
      <w:r w:rsidR="003C2064" w:rsidRPr="00F56D27">
        <w:rPr>
          <w:color w:val="FFFFFF" w:themeColor="background1"/>
          <w:sz w:val="28"/>
          <w:szCs w:val="24"/>
        </w:rPr>
        <w:t>recommended</w:t>
      </w:r>
      <w:r w:rsidR="00125FDD" w:rsidRPr="00F56D27">
        <w:rPr>
          <w:color w:val="FFFFFF" w:themeColor="background1"/>
          <w:sz w:val="28"/>
          <w:szCs w:val="24"/>
        </w:rPr>
        <w:t xml:space="preserve"> recall period</w:t>
      </w:r>
    </w:p>
    <w:p w14:paraId="08BB8F93" w14:textId="1CE11B83" w:rsidR="00B17D83" w:rsidRPr="00B17D83" w:rsidRDefault="00B17D83" w:rsidP="00E54036"/>
    <w:p w14:paraId="223BAE0D" w14:textId="31B65118" w:rsidR="00B17D83" w:rsidRDefault="00125FDD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>NHS England</w:t>
      </w:r>
      <w:r w:rsidR="003C2064" w:rsidRPr="00B17D83">
        <w:rPr>
          <w:rFonts w:ascii="Arial" w:hAnsi="Arial" w:cs="Arial"/>
        </w:rPr>
        <w:t xml:space="preserve">, in their </w:t>
      </w:r>
      <w:hyperlink r:id="rId20" w:history="1">
        <w:r w:rsidR="003C2064" w:rsidRPr="00F56B1C">
          <w:rPr>
            <w:rStyle w:val="Hyperlink"/>
            <w:rFonts w:ascii="Arial" w:hAnsi="Arial" w:cs="Arial"/>
            <w:color w:val="005EB8"/>
          </w:rPr>
          <w:t>first stage of Dental Reform letter</w:t>
        </w:r>
      </w:hyperlink>
      <w:r w:rsidR="003C2064" w:rsidRPr="00B17D83">
        <w:rPr>
          <w:rFonts w:ascii="Arial" w:hAnsi="Arial" w:cs="Arial"/>
        </w:rPr>
        <w:t xml:space="preserve">, </w:t>
      </w:r>
      <w:r w:rsidRPr="00B17D83">
        <w:rPr>
          <w:rFonts w:ascii="Arial" w:hAnsi="Arial" w:cs="Arial"/>
        </w:rPr>
        <w:t xml:space="preserve">has set out the requirement to personalise </w:t>
      </w:r>
      <w:r w:rsidR="003C2064" w:rsidRPr="00B17D83">
        <w:rPr>
          <w:rFonts w:ascii="Arial" w:hAnsi="Arial" w:cs="Arial"/>
        </w:rPr>
        <w:t xml:space="preserve">each </w:t>
      </w:r>
      <w:r w:rsidRPr="00B17D83">
        <w:rPr>
          <w:rFonts w:ascii="Arial" w:hAnsi="Arial" w:cs="Arial"/>
        </w:rPr>
        <w:t>patient</w:t>
      </w:r>
      <w:r w:rsidR="003C2064" w:rsidRPr="00B17D83">
        <w:rPr>
          <w:rFonts w:ascii="Arial" w:hAnsi="Arial" w:cs="Arial"/>
        </w:rPr>
        <w:t>’s</w:t>
      </w:r>
      <w:r w:rsidRPr="00B17D83">
        <w:rPr>
          <w:rFonts w:ascii="Arial" w:hAnsi="Arial" w:cs="Arial"/>
        </w:rPr>
        <w:t xml:space="preserve"> recall period</w:t>
      </w:r>
      <w:r w:rsidR="003C2064" w:rsidRPr="00B17D83">
        <w:rPr>
          <w:rFonts w:ascii="Arial" w:hAnsi="Arial" w:cs="Arial"/>
        </w:rPr>
        <w:t xml:space="preserve"> based on their oral health risk and the</w:t>
      </w:r>
    </w:p>
    <w:p w14:paraId="129FCBBA" w14:textId="6690F55F" w:rsidR="00125FDD" w:rsidRPr="00B17D83" w:rsidRDefault="00000000" w:rsidP="00E54036">
      <w:pPr>
        <w:rPr>
          <w:rFonts w:ascii="Arial" w:hAnsi="Arial" w:cs="Arial"/>
        </w:rPr>
      </w:pPr>
      <w:hyperlink r:id="rId21" w:history="1">
        <w:r w:rsidR="003C2064" w:rsidRPr="00F56B1C">
          <w:rPr>
            <w:rStyle w:val="Hyperlink"/>
            <w:rFonts w:ascii="Arial" w:hAnsi="Arial" w:cs="Arial"/>
            <w:color w:val="005EB8"/>
          </w:rPr>
          <w:t>NICE guidelines</w:t>
        </w:r>
      </w:hyperlink>
      <w:r w:rsidR="003C2064" w:rsidRPr="00B17D83">
        <w:rPr>
          <w:rFonts w:ascii="Arial" w:hAnsi="Arial" w:cs="Arial"/>
        </w:rPr>
        <w:t>.</w:t>
      </w:r>
      <w:r w:rsidR="00125FDD" w:rsidRPr="00B17D83">
        <w:rPr>
          <w:rFonts w:ascii="Arial" w:hAnsi="Arial" w:cs="Arial"/>
        </w:rPr>
        <w:t xml:space="preserve"> </w:t>
      </w:r>
    </w:p>
    <w:p w14:paraId="50379636" w14:textId="7F8A6E1B" w:rsidR="00FD5B78" w:rsidRPr="00B17D83" w:rsidRDefault="00FD5B78" w:rsidP="00E54036">
      <w:pPr>
        <w:rPr>
          <w:rFonts w:ascii="Arial" w:hAnsi="Arial" w:cs="Arial"/>
        </w:rPr>
      </w:pPr>
    </w:p>
    <w:p w14:paraId="5C858FBC" w14:textId="77777777" w:rsidR="006F5A50" w:rsidRDefault="00FD5B78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>Recording the patient’s recall period is mandatory on all FP17 claims when the date of acceptance is on or after 1 October 2022 and the patient is 18 or over. It is optional for patients under 18</w:t>
      </w:r>
      <w:r w:rsidR="006F5A50">
        <w:rPr>
          <w:rFonts w:ascii="Arial" w:hAnsi="Arial" w:cs="Arial"/>
        </w:rPr>
        <w:t xml:space="preserve">. </w:t>
      </w:r>
    </w:p>
    <w:p w14:paraId="7B348037" w14:textId="2827CAB3" w:rsidR="00B06AD6" w:rsidRPr="00B17D83" w:rsidRDefault="00B06AD6" w:rsidP="00E54036">
      <w:pPr>
        <w:rPr>
          <w:rFonts w:ascii="Arial" w:hAnsi="Arial" w:cs="Arial"/>
        </w:rPr>
      </w:pPr>
    </w:p>
    <w:p w14:paraId="1997ED4D" w14:textId="1C73D6B4" w:rsidR="00B06AD6" w:rsidRDefault="00B06AD6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 xml:space="preserve">The patient’s recall period can be recorded in the NICE Guidance field. This should be between 3 and 24 months. </w:t>
      </w:r>
    </w:p>
    <w:p w14:paraId="212E0BDC" w14:textId="77777777" w:rsidR="00A771ED" w:rsidRDefault="00A771ED" w:rsidP="00A771ED">
      <w:pPr>
        <w:rPr>
          <w:rFonts w:ascii="Arial" w:hAnsi="Arial" w:cs="Arial"/>
        </w:rPr>
      </w:pPr>
    </w:p>
    <w:p w14:paraId="065FB84D" w14:textId="210C473A" w:rsidR="00A771ED" w:rsidRPr="00B17D83" w:rsidRDefault="1F69D6BE" w:rsidP="00E54036">
      <w:pPr>
        <w:rPr>
          <w:rFonts w:ascii="Arial" w:hAnsi="Arial" w:cs="Arial"/>
        </w:rPr>
      </w:pPr>
      <w:r w:rsidRPr="567DD90D">
        <w:rPr>
          <w:rFonts w:ascii="Arial" w:hAnsi="Arial" w:cs="Arial"/>
        </w:rPr>
        <w:t xml:space="preserve">Recording the patient’s recommended recall period does not apply to treatment on referral. </w:t>
      </w:r>
    </w:p>
    <w:p w14:paraId="7CAEEF80" w14:textId="77777777" w:rsidR="00FD5B78" w:rsidRPr="00B17D83" w:rsidRDefault="00FD5B78" w:rsidP="00E54036">
      <w:pPr>
        <w:rPr>
          <w:rFonts w:ascii="Arial" w:hAnsi="Arial" w:cs="Arial"/>
        </w:rPr>
      </w:pPr>
    </w:p>
    <w:p w14:paraId="6AD5E668" w14:textId="7681C2B9" w:rsidR="00330084" w:rsidRDefault="00330084" w:rsidP="00E54036">
      <w:pPr>
        <w:rPr>
          <w:rFonts w:ascii="Arial" w:hAnsi="Arial" w:cs="Arial"/>
        </w:rPr>
      </w:pPr>
      <w:r w:rsidRPr="00B17D83">
        <w:rPr>
          <w:rFonts w:ascii="Arial" w:hAnsi="Arial" w:cs="Arial"/>
        </w:rPr>
        <w:t>If your dental practice management system has not been updated, you can either:</w:t>
      </w:r>
    </w:p>
    <w:p w14:paraId="6B183A27" w14:textId="77777777" w:rsidR="00DD2762" w:rsidRPr="00B17D83" w:rsidRDefault="00DD2762" w:rsidP="00E54036">
      <w:pPr>
        <w:rPr>
          <w:rFonts w:ascii="Arial" w:hAnsi="Arial" w:cs="Arial"/>
        </w:rPr>
      </w:pPr>
    </w:p>
    <w:p w14:paraId="2AF50DCE" w14:textId="77777777" w:rsidR="00330084" w:rsidRPr="00B17D83" w:rsidRDefault="00330084" w:rsidP="00E5403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use the online form in Compass</w:t>
      </w:r>
    </w:p>
    <w:p w14:paraId="161F7294" w14:textId="77777777" w:rsidR="00330084" w:rsidRPr="00B17D83" w:rsidRDefault="00330084" w:rsidP="00E5403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B17D83">
        <w:rPr>
          <w:rFonts w:ascii="Arial" w:hAnsi="Arial" w:cs="Arial"/>
          <w:sz w:val="24"/>
          <w:szCs w:val="24"/>
        </w:rPr>
        <w:t>submit using your normal system and a comment code will be generated on the FP17 – it will not be rejected</w:t>
      </w:r>
    </w:p>
    <w:p w14:paraId="67B764B7" w14:textId="57361131" w:rsidR="00297327" w:rsidRDefault="00297327" w:rsidP="00297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information, please read </w:t>
      </w:r>
      <w:hyperlink r:id="rId22" w:history="1">
        <w:r w:rsidRPr="009F5B74">
          <w:rPr>
            <w:rStyle w:val="Hyperlink"/>
            <w:rFonts w:ascii="Arial" w:hAnsi="Arial" w:cs="Arial"/>
          </w:rPr>
          <w:t>completion of form guidance – FP17</w:t>
        </w:r>
      </w:hyperlink>
      <w:r>
        <w:rPr>
          <w:rFonts w:ascii="Arial" w:hAnsi="Arial" w:cs="Arial"/>
        </w:rPr>
        <w:t xml:space="preserve"> (under the ‘Dental forms’ heading).</w:t>
      </w:r>
    </w:p>
    <w:p w14:paraId="002E4C2F" w14:textId="34FCB686" w:rsidR="0094164E" w:rsidRPr="00B17D83" w:rsidRDefault="00981EA8" w:rsidP="00E5403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14:paraId="606B60C4" w14:textId="126C1646" w:rsidR="00125FDD" w:rsidRPr="00B17D83" w:rsidRDefault="00125FDD" w:rsidP="00E54036">
      <w:pPr>
        <w:rPr>
          <w:rFonts w:ascii="Arial" w:hAnsi="Arial" w:cs="Arial"/>
        </w:rPr>
      </w:pPr>
    </w:p>
    <w:p w14:paraId="6060CBDF" w14:textId="5599473C" w:rsidR="00B06AD6" w:rsidRPr="00297327" w:rsidRDefault="00C51022" w:rsidP="00E54036">
      <w:pPr>
        <w:pStyle w:val="Heading2"/>
        <w:rPr>
          <w:color w:val="FFFFFF" w:themeColor="background1"/>
          <w:sz w:val="28"/>
          <w:szCs w:val="24"/>
        </w:rPr>
      </w:pPr>
      <w:r w:rsidRPr="00C51022">
        <w:rPr>
          <w:rFonts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B0B5685" wp14:editId="584E83B9">
                <wp:simplePos x="0" y="0"/>
                <wp:positionH relativeFrom="column">
                  <wp:posOffset>-40005</wp:posOffset>
                </wp:positionH>
                <wp:positionV relativeFrom="paragraph">
                  <wp:posOffset>-33069</wp:posOffset>
                </wp:positionV>
                <wp:extent cx="6147435" cy="288000"/>
                <wp:effectExtent l="0" t="0" r="571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288000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21DA6" id="Rectangle 5" o:spid="_x0000_s1026" style="position:absolute;margin-left:-3.15pt;margin-top:-2.6pt;width:484.05pt;height:22.7pt;z-index:-2516582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" fillcolor="#005eb8" stroked="f" strokeweight="2pt"/>
            </w:pict>
          </mc:Fallback>
        </mc:AlternateContent>
      </w:r>
      <w:r>
        <w:rPr>
          <w:color w:val="FFFFFF" w:themeColor="background1"/>
          <w:sz w:val="28"/>
          <w:szCs w:val="24"/>
        </w:rPr>
        <w:t xml:space="preserve">  </w:t>
      </w:r>
      <w:r w:rsidR="003E4E82" w:rsidRPr="00297327">
        <w:rPr>
          <w:color w:val="FFFFFF" w:themeColor="background1"/>
          <w:sz w:val="28"/>
          <w:szCs w:val="24"/>
        </w:rPr>
        <w:t xml:space="preserve">New </w:t>
      </w:r>
      <w:r w:rsidR="00A4178F" w:rsidRPr="00297327">
        <w:rPr>
          <w:color w:val="FFFFFF" w:themeColor="background1"/>
          <w:sz w:val="28"/>
          <w:szCs w:val="24"/>
        </w:rPr>
        <w:t xml:space="preserve">orthodontic assessment </w:t>
      </w:r>
      <w:r w:rsidR="003E4E82" w:rsidRPr="00297327">
        <w:rPr>
          <w:color w:val="FFFFFF" w:themeColor="background1"/>
          <w:sz w:val="28"/>
          <w:szCs w:val="24"/>
        </w:rPr>
        <w:t>item o</w:t>
      </w:r>
      <w:r w:rsidR="00A4178F" w:rsidRPr="00297327">
        <w:rPr>
          <w:color w:val="FFFFFF" w:themeColor="background1"/>
          <w:sz w:val="28"/>
          <w:szCs w:val="24"/>
        </w:rPr>
        <w:t>n</w:t>
      </w:r>
      <w:r w:rsidR="003E4E82" w:rsidRPr="00297327">
        <w:rPr>
          <w:color w:val="FFFFFF" w:themeColor="background1"/>
          <w:sz w:val="28"/>
          <w:szCs w:val="24"/>
        </w:rPr>
        <w:t xml:space="preserve"> FP17Os</w:t>
      </w:r>
      <w:r w:rsidR="00F668F5" w:rsidRPr="00297327">
        <w:rPr>
          <w:color w:val="FFFFFF" w:themeColor="background1"/>
          <w:sz w:val="28"/>
          <w:szCs w:val="24"/>
        </w:rPr>
        <w:t xml:space="preserve"> </w:t>
      </w:r>
    </w:p>
    <w:p w14:paraId="559B132E" w14:textId="77777777" w:rsidR="00B17D83" w:rsidRPr="00B17D83" w:rsidRDefault="00B17D83" w:rsidP="00E54036"/>
    <w:p w14:paraId="09C3ADE4" w14:textId="1E379379" w:rsidR="003E4E82" w:rsidRPr="00B17D83" w:rsidRDefault="00AF00ED" w:rsidP="00E54036">
      <w:pPr>
        <w:rPr>
          <w:rFonts w:ascii="Arial" w:eastAsia="Arial" w:hAnsi="Arial" w:cs="Arial"/>
        </w:rPr>
      </w:pPr>
      <w:r w:rsidRPr="00B17D83">
        <w:rPr>
          <w:rFonts w:ascii="Arial" w:eastAsia="Arial" w:hAnsi="Arial" w:cs="Arial"/>
        </w:rPr>
        <w:t>On FP17O</w:t>
      </w:r>
      <w:r w:rsidR="00F53D43" w:rsidRPr="00B17D83">
        <w:rPr>
          <w:rFonts w:ascii="Arial" w:eastAsia="Arial" w:hAnsi="Arial" w:cs="Arial"/>
        </w:rPr>
        <w:t>s</w:t>
      </w:r>
      <w:r w:rsidRPr="00B17D83">
        <w:rPr>
          <w:rFonts w:ascii="Arial" w:eastAsia="Arial" w:hAnsi="Arial" w:cs="Arial"/>
        </w:rPr>
        <w:t>, ‘Orthodontic assessment and de-bond</w:t>
      </w:r>
      <w:r w:rsidR="003E4E82" w:rsidRPr="00B17D83">
        <w:rPr>
          <w:rFonts w:ascii="Arial" w:eastAsia="Arial" w:hAnsi="Arial" w:cs="Arial"/>
        </w:rPr>
        <w:t xml:space="preserve"> – Overseas patient</w:t>
      </w:r>
      <w:r w:rsidRPr="00B17D83">
        <w:rPr>
          <w:rFonts w:ascii="Arial" w:eastAsia="Arial" w:hAnsi="Arial" w:cs="Arial"/>
        </w:rPr>
        <w:t xml:space="preserve">' is being introduced as a new </w:t>
      </w:r>
      <w:r w:rsidR="003E4E82" w:rsidRPr="00B17D83">
        <w:rPr>
          <w:rFonts w:ascii="Arial" w:eastAsia="Arial" w:hAnsi="Arial" w:cs="Arial"/>
        </w:rPr>
        <w:t xml:space="preserve">item. </w:t>
      </w:r>
    </w:p>
    <w:p w14:paraId="571CDAD5" w14:textId="090401A3" w:rsidR="003E4E82" w:rsidRPr="00B17D83" w:rsidRDefault="003E4E82" w:rsidP="00E54036">
      <w:pPr>
        <w:rPr>
          <w:rFonts w:ascii="Arial" w:eastAsia="Arial" w:hAnsi="Arial" w:cs="Arial"/>
        </w:rPr>
      </w:pPr>
    </w:p>
    <w:p w14:paraId="79BF7F09" w14:textId="1B7BC941" w:rsidR="003E4E82" w:rsidRDefault="003E4E82" w:rsidP="00E54036">
      <w:pPr>
        <w:rPr>
          <w:rFonts w:ascii="Arial" w:eastAsia="Arial" w:hAnsi="Arial" w:cs="Arial"/>
        </w:rPr>
      </w:pPr>
      <w:r w:rsidRPr="00B17D83">
        <w:rPr>
          <w:rFonts w:ascii="Arial" w:eastAsia="Arial" w:hAnsi="Arial" w:cs="Arial"/>
        </w:rPr>
        <w:t>This item must only be used if</w:t>
      </w:r>
      <w:r w:rsidR="00C94159" w:rsidRPr="00B17D83">
        <w:rPr>
          <w:rFonts w:ascii="Arial" w:eastAsia="Arial" w:hAnsi="Arial" w:cs="Arial"/>
        </w:rPr>
        <w:t xml:space="preserve"> the</w:t>
      </w:r>
      <w:r w:rsidRPr="00B17D83">
        <w:rPr>
          <w:rFonts w:ascii="Arial" w:eastAsia="Arial" w:hAnsi="Arial" w:cs="Arial"/>
        </w:rPr>
        <w:t>:</w:t>
      </w:r>
    </w:p>
    <w:p w14:paraId="76E4896B" w14:textId="77777777" w:rsidR="00DD2762" w:rsidRPr="00B17D83" w:rsidRDefault="00DD2762" w:rsidP="00E54036">
      <w:pPr>
        <w:rPr>
          <w:rFonts w:ascii="Arial" w:eastAsia="Arial" w:hAnsi="Arial" w:cs="Arial"/>
        </w:rPr>
      </w:pPr>
    </w:p>
    <w:p w14:paraId="5D338B2D" w14:textId="1B823D9B" w:rsidR="003E4E82" w:rsidRPr="00981EA8" w:rsidRDefault="003E4E82" w:rsidP="00E54036">
      <w:pPr>
        <w:pStyle w:val="ListParagraph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981EA8">
        <w:rPr>
          <w:rFonts w:ascii="Arial" w:eastAsia="Arial" w:hAnsi="Arial" w:cs="Arial"/>
          <w:sz w:val="24"/>
          <w:szCs w:val="24"/>
        </w:rPr>
        <w:t xml:space="preserve">date of assessment </w:t>
      </w:r>
      <w:r w:rsidR="00F53D43" w:rsidRPr="00981EA8">
        <w:rPr>
          <w:rFonts w:ascii="Arial" w:eastAsia="Arial" w:hAnsi="Arial" w:cs="Arial"/>
          <w:sz w:val="24"/>
          <w:szCs w:val="24"/>
        </w:rPr>
        <w:t>is 1 October 2022 or later</w:t>
      </w:r>
    </w:p>
    <w:p w14:paraId="39A6BE1D" w14:textId="18387B51" w:rsidR="00F53D43" w:rsidRPr="00981EA8" w:rsidRDefault="00C94159" w:rsidP="00E54036">
      <w:pPr>
        <w:pStyle w:val="ListParagraph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981EA8">
        <w:rPr>
          <w:rFonts w:ascii="Arial" w:eastAsia="Arial" w:hAnsi="Arial" w:cs="Arial"/>
          <w:sz w:val="24"/>
          <w:szCs w:val="24"/>
        </w:rPr>
        <w:t>IOTN score is present or IOTN not applicable is selected</w:t>
      </w:r>
    </w:p>
    <w:p w14:paraId="43E4C552" w14:textId="59904A55" w:rsidR="00C94159" w:rsidRPr="00981EA8" w:rsidRDefault="059B863B" w:rsidP="00E5403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81EA8">
        <w:rPr>
          <w:rFonts w:ascii="Arial" w:hAnsi="Arial" w:cs="Arial"/>
          <w:sz w:val="24"/>
          <w:szCs w:val="24"/>
        </w:rPr>
        <w:t>patient is from overseas</w:t>
      </w:r>
      <w:r w:rsidR="516741BB" w:rsidRPr="00981EA8">
        <w:rPr>
          <w:rFonts w:ascii="Arial" w:hAnsi="Arial" w:cs="Arial"/>
          <w:sz w:val="24"/>
          <w:szCs w:val="24"/>
        </w:rPr>
        <w:t xml:space="preserve"> and </w:t>
      </w:r>
      <w:r w:rsidR="276656F8" w:rsidRPr="00981EA8">
        <w:rPr>
          <w:rFonts w:ascii="Arial" w:hAnsi="Arial" w:cs="Arial"/>
          <w:sz w:val="24"/>
          <w:szCs w:val="24"/>
        </w:rPr>
        <w:t xml:space="preserve">they </w:t>
      </w:r>
      <w:r w:rsidR="5C0DC39F" w:rsidRPr="00981EA8">
        <w:rPr>
          <w:rFonts w:ascii="Arial" w:hAnsi="Arial" w:cs="Arial"/>
          <w:sz w:val="24"/>
          <w:szCs w:val="24"/>
        </w:rPr>
        <w:t xml:space="preserve">are unable to </w:t>
      </w:r>
      <w:r w:rsidR="6CA1FB7A" w:rsidRPr="00981EA8">
        <w:rPr>
          <w:rFonts w:ascii="Arial" w:hAnsi="Arial" w:cs="Arial"/>
          <w:sz w:val="24"/>
          <w:szCs w:val="24"/>
        </w:rPr>
        <w:t>provide</w:t>
      </w:r>
      <w:r w:rsidR="276656F8" w:rsidRPr="00981EA8">
        <w:rPr>
          <w:rFonts w:ascii="Arial" w:hAnsi="Arial" w:cs="Arial"/>
          <w:sz w:val="24"/>
          <w:szCs w:val="24"/>
        </w:rPr>
        <w:t xml:space="preserve"> their </w:t>
      </w:r>
      <w:r w:rsidR="6E342157" w:rsidRPr="00981EA8">
        <w:rPr>
          <w:rFonts w:ascii="Arial" w:hAnsi="Arial" w:cs="Arial"/>
          <w:sz w:val="24"/>
          <w:szCs w:val="24"/>
        </w:rPr>
        <w:t xml:space="preserve">orthodontic </w:t>
      </w:r>
      <w:r w:rsidR="7EF31762" w:rsidRPr="00981EA8">
        <w:rPr>
          <w:rFonts w:ascii="Arial" w:hAnsi="Arial" w:cs="Arial"/>
          <w:sz w:val="24"/>
          <w:szCs w:val="24"/>
        </w:rPr>
        <w:t xml:space="preserve">treatment </w:t>
      </w:r>
      <w:r w:rsidR="6E342157" w:rsidRPr="00981EA8">
        <w:rPr>
          <w:rFonts w:ascii="Arial" w:hAnsi="Arial" w:cs="Arial"/>
          <w:sz w:val="24"/>
          <w:szCs w:val="24"/>
        </w:rPr>
        <w:t>records</w:t>
      </w:r>
      <w:r w:rsidR="7EF31762" w:rsidRPr="00981EA8">
        <w:rPr>
          <w:rFonts w:ascii="Arial" w:hAnsi="Arial" w:cs="Arial"/>
          <w:sz w:val="24"/>
          <w:szCs w:val="24"/>
        </w:rPr>
        <w:t xml:space="preserve"> due to circumstances outside of their control</w:t>
      </w:r>
    </w:p>
    <w:p w14:paraId="0FFB655A" w14:textId="1F73127B" w:rsidR="00C94159" w:rsidRPr="00981EA8" w:rsidRDefault="00C94159" w:rsidP="00E5403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81EA8">
        <w:rPr>
          <w:rFonts w:ascii="Arial" w:hAnsi="Arial" w:cs="Arial"/>
          <w:sz w:val="24"/>
          <w:szCs w:val="24"/>
        </w:rPr>
        <w:t>patient has an orthodontic appliance</w:t>
      </w:r>
    </w:p>
    <w:p w14:paraId="7428BEA6" w14:textId="0A86C4EE" w:rsidR="00C94159" w:rsidRPr="00981EA8" w:rsidRDefault="00C94159" w:rsidP="00E5403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81EA8">
        <w:rPr>
          <w:rFonts w:ascii="Arial" w:hAnsi="Arial" w:cs="Arial"/>
          <w:sz w:val="24"/>
          <w:szCs w:val="24"/>
        </w:rPr>
        <w:t>patient has no history of NHS orthodontic treatment</w:t>
      </w:r>
    </w:p>
    <w:p w14:paraId="01344AF4" w14:textId="49783DAA" w:rsidR="00C94159" w:rsidRPr="00981EA8" w:rsidRDefault="00C94159" w:rsidP="00E5403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81EA8">
        <w:rPr>
          <w:rFonts w:ascii="Arial" w:hAnsi="Arial" w:cs="Arial"/>
          <w:sz w:val="24"/>
          <w:szCs w:val="24"/>
        </w:rPr>
        <w:t xml:space="preserve">patient </w:t>
      </w:r>
      <w:r w:rsidR="001F5906" w:rsidRPr="00981EA8">
        <w:rPr>
          <w:rFonts w:ascii="Arial" w:hAnsi="Arial" w:cs="Arial"/>
          <w:sz w:val="24"/>
          <w:szCs w:val="24"/>
        </w:rPr>
        <w:t>does</w:t>
      </w:r>
      <w:r w:rsidRPr="00981EA8">
        <w:rPr>
          <w:rFonts w:ascii="Arial" w:hAnsi="Arial" w:cs="Arial"/>
          <w:sz w:val="24"/>
          <w:szCs w:val="24"/>
        </w:rPr>
        <w:t xml:space="preserve"> not pay for NHS dental treatmen</w:t>
      </w:r>
      <w:r w:rsidR="001F5906" w:rsidRPr="00981EA8">
        <w:rPr>
          <w:rFonts w:ascii="Arial" w:hAnsi="Arial" w:cs="Arial"/>
          <w:sz w:val="24"/>
          <w:szCs w:val="24"/>
        </w:rPr>
        <w:t>t</w:t>
      </w:r>
    </w:p>
    <w:p w14:paraId="20706F30" w14:textId="77777777" w:rsidR="00297327" w:rsidRPr="00B40EBB" w:rsidRDefault="00297327" w:rsidP="00297327">
      <w:pPr>
        <w:ind w:right="113"/>
        <w:rPr>
          <w:rFonts w:ascii="Arial" w:hAnsi="Arial" w:cs="Arial"/>
        </w:rPr>
      </w:pPr>
      <w:r w:rsidRPr="00B40EBB">
        <w:rPr>
          <w:rFonts w:ascii="Arial" w:hAnsi="Arial" w:cs="Arial"/>
        </w:rPr>
        <w:t>Once your FP17O claim is successfully validated, you will receive 1 UOA.</w:t>
      </w:r>
    </w:p>
    <w:p w14:paraId="14663B5D" w14:textId="77777777" w:rsidR="00297327" w:rsidRPr="00B40EBB" w:rsidRDefault="00297327" w:rsidP="00297327">
      <w:pPr>
        <w:ind w:left="170" w:right="113"/>
        <w:rPr>
          <w:rFonts w:ascii="Arial" w:hAnsi="Arial" w:cs="Arial"/>
        </w:rPr>
      </w:pPr>
    </w:p>
    <w:p w14:paraId="310017BB" w14:textId="77777777" w:rsidR="00297327" w:rsidRPr="00B40EBB" w:rsidRDefault="00297327" w:rsidP="00297327">
      <w:pPr>
        <w:ind w:right="113"/>
        <w:rPr>
          <w:rFonts w:ascii="Arial" w:hAnsi="Arial" w:cs="Arial"/>
        </w:rPr>
      </w:pPr>
      <w:r w:rsidRPr="00B40EBB">
        <w:rPr>
          <w:rFonts w:ascii="Arial" w:hAnsi="Arial" w:cs="Arial"/>
        </w:rPr>
        <w:t xml:space="preserve">If </w:t>
      </w:r>
      <w:r w:rsidRPr="00B40EBB">
        <w:rPr>
          <w:rFonts w:ascii="Arial" w:eastAsia="Arial" w:hAnsi="Arial" w:cs="Arial"/>
        </w:rPr>
        <w:t>Orthodontic assessment and de-bond – Overseas patient is not available on your dental practice management system</w:t>
      </w:r>
      <w:r w:rsidRPr="00B40EBB">
        <w:rPr>
          <w:rFonts w:ascii="Arial" w:hAnsi="Arial" w:cs="Arial"/>
        </w:rPr>
        <w:t xml:space="preserve">, you can use the online form in </w:t>
      </w:r>
      <w:hyperlink r:id="rId23" w:history="1">
        <w:r w:rsidRPr="00981EA8">
          <w:rPr>
            <w:rStyle w:val="Hyperlink"/>
            <w:rFonts w:ascii="Arial" w:hAnsi="Arial" w:cs="Arial"/>
          </w:rPr>
          <w:t>Compass</w:t>
        </w:r>
      </w:hyperlink>
      <w:r w:rsidRPr="00B40EBB">
        <w:rPr>
          <w:rFonts w:ascii="Arial" w:hAnsi="Arial" w:cs="Arial"/>
          <w:b/>
          <w:bCs/>
        </w:rPr>
        <w:t>.</w:t>
      </w:r>
    </w:p>
    <w:p w14:paraId="71CD64BE" w14:textId="77777777" w:rsidR="00297327" w:rsidRDefault="00297327" w:rsidP="00297327">
      <w:pPr>
        <w:jc w:val="both"/>
        <w:rPr>
          <w:rFonts w:ascii="Arial" w:hAnsi="Arial" w:cs="Arial"/>
        </w:rPr>
      </w:pPr>
    </w:p>
    <w:p w14:paraId="3D6F8C80" w14:textId="4E1409EB" w:rsidR="00297327" w:rsidRDefault="00297327" w:rsidP="00297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information, please read </w:t>
      </w:r>
      <w:hyperlink r:id="rId24" w:history="1">
        <w:r w:rsidRPr="009F5B74">
          <w:rPr>
            <w:rStyle w:val="Hyperlink"/>
            <w:rFonts w:ascii="Arial" w:hAnsi="Arial" w:cs="Arial"/>
          </w:rPr>
          <w:t>completion of form guidance – FP1</w:t>
        </w:r>
        <w:r>
          <w:rPr>
            <w:rStyle w:val="Hyperlink"/>
            <w:rFonts w:ascii="Arial" w:hAnsi="Arial" w:cs="Arial"/>
          </w:rPr>
          <w:t>7O</w:t>
        </w:r>
      </w:hyperlink>
      <w:r>
        <w:rPr>
          <w:rFonts w:ascii="Arial" w:hAnsi="Arial" w:cs="Arial"/>
        </w:rPr>
        <w:t xml:space="preserve"> (under the ‘Dental forms’ heading).</w:t>
      </w:r>
    </w:p>
    <w:p w14:paraId="34F7C5EA" w14:textId="71C04418" w:rsidR="00297327" w:rsidRDefault="00297327" w:rsidP="00E54036">
      <w:pPr>
        <w:spacing w:before="240"/>
        <w:rPr>
          <w:rFonts w:ascii="Arial" w:eastAsia="Arial" w:hAnsi="Arial" w:cs="Arial"/>
        </w:rPr>
      </w:pPr>
      <w:r w:rsidRPr="00B40EB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04AD600" wp14:editId="1CC9BD47">
                <wp:simplePos x="0" y="0"/>
                <wp:positionH relativeFrom="column">
                  <wp:posOffset>-81915</wp:posOffset>
                </wp:positionH>
                <wp:positionV relativeFrom="paragraph">
                  <wp:posOffset>365761</wp:posOffset>
                </wp:positionV>
                <wp:extent cx="6147435" cy="1162050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8B6C" id="Rectangle 2" o:spid="_x0000_s1026" style="position:absolute;margin-left:-6.45pt;margin-top:28.8pt;width:484.05pt;height:91.5pt;z-index:-2516582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" fillcolor="#dbe5f1 [660]" stroked="f" strokeweight="2pt"/>
            </w:pict>
          </mc:Fallback>
        </mc:AlternateContent>
      </w:r>
    </w:p>
    <w:p w14:paraId="0307B1D8" w14:textId="7829AC34" w:rsidR="00CF2C98" w:rsidRPr="00B40EBB" w:rsidRDefault="001F5906" w:rsidP="002709EA">
      <w:pPr>
        <w:spacing w:before="240"/>
        <w:ind w:left="170" w:right="113"/>
        <w:rPr>
          <w:rFonts w:ascii="Arial" w:eastAsia="Arial" w:hAnsi="Arial" w:cs="Arial"/>
        </w:rPr>
      </w:pPr>
      <w:r w:rsidRPr="00B40EBB">
        <w:rPr>
          <w:rFonts w:ascii="Arial" w:eastAsia="Arial" w:hAnsi="Arial" w:cs="Arial"/>
        </w:rPr>
        <w:t>Patients can check whether they’re eligible for free NHS dental treatment</w:t>
      </w:r>
      <w:r w:rsidR="00CF2C98" w:rsidRPr="00B40EBB">
        <w:rPr>
          <w:rFonts w:ascii="Arial" w:eastAsia="Arial" w:hAnsi="Arial" w:cs="Arial"/>
        </w:rPr>
        <w:t xml:space="preserve"> using the</w:t>
      </w:r>
      <w:r w:rsidRPr="00B40EBB">
        <w:rPr>
          <w:rFonts w:ascii="Arial" w:eastAsia="Arial" w:hAnsi="Arial" w:cs="Arial"/>
        </w:rPr>
        <w:t xml:space="preserve"> </w:t>
      </w:r>
      <w:r w:rsidR="00F56B1C" w:rsidRPr="00B40EBB">
        <w:rPr>
          <w:rFonts w:ascii="Arial" w:eastAsia="Arial" w:hAnsi="Arial" w:cs="Arial"/>
        </w:rPr>
        <w:br/>
      </w:r>
      <w:hyperlink r:id="rId25" w:history="1">
        <w:r w:rsidRPr="00EF39D7">
          <w:rPr>
            <w:rStyle w:val="Hyperlink"/>
            <w:rFonts w:ascii="Arial" w:eastAsia="Arial" w:hAnsi="Arial" w:cs="Arial"/>
            <w:b/>
            <w:bCs/>
            <w:color w:val="005EB8"/>
          </w:rPr>
          <w:t>online</w:t>
        </w:r>
        <w:r w:rsidR="00CF2C98" w:rsidRPr="00EF39D7">
          <w:rPr>
            <w:rStyle w:val="Hyperlink"/>
            <w:rFonts w:ascii="Arial" w:eastAsia="Arial" w:hAnsi="Arial" w:cs="Arial"/>
            <w:b/>
            <w:bCs/>
            <w:color w:val="005EB8"/>
          </w:rPr>
          <w:t xml:space="preserve"> eligibility checker</w:t>
        </w:r>
      </w:hyperlink>
      <w:r w:rsidRPr="00B40EBB">
        <w:rPr>
          <w:rFonts w:ascii="Arial" w:eastAsia="Arial" w:hAnsi="Arial" w:cs="Arial"/>
        </w:rPr>
        <w:t>.</w:t>
      </w:r>
    </w:p>
    <w:p w14:paraId="2CF42048" w14:textId="2CC95C88" w:rsidR="00CF2C98" w:rsidRPr="00B40EBB" w:rsidRDefault="00CF2C98" w:rsidP="002709EA">
      <w:pPr>
        <w:ind w:left="170" w:right="113"/>
        <w:rPr>
          <w:rFonts w:ascii="Arial" w:eastAsia="Arial" w:hAnsi="Arial" w:cs="Arial"/>
        </w:rPr>
      </w:pPr>
    </w:p>
    <w:p w14:paraId="3DEEC669" w14:textId="7476C6D3" w:rsidR="00C46460" w:rsidRDefault="00000000" w:rsidP="00297327">
      <w:pPr>
        <w:ind w:left="170" w:right="113"/>
        <w:rPr>
          <w:rFonts w:ascii="Arial" w:eastAsia="Arial" w:hAnsi="Arial" w:cs="Arial"/>
        </w:rPr>
      </w:pPr>
      <w:hyperlink r:id="rId26" w:history="1">
        <w:r w:rsidR="00CB0699" w:rsidRPr="00EF39D7">
          <w:rPr>
            <w:rStyle w:val="Hyperlink"/>
            <w:rFonts w:ascii="Arial" w:eastAsia="Arial" w:hAnsi="Arial" w:cs="Arial"/>
            <w:b/>
            <w:bCs/>
            <w:color w:val="005EB8"/>
          </w:rPr>
          <w:t>Exemption checking guidance and a communications toolkit</w:t>
        </w:r>
      </w:hyperlink>
      <w:r w:rsidR="00CB0699" w:rsidRPr="00B40EBB">
        <w:rPr>
          <w:rFonts w:ascii="Arial" w:eastAsia="Arial" w:hAnsi="Arial" w:cs="Arial"/>
        </w:rPr>
        <w:t xml:space="preserve"> is available for </w:t>
      </w:r>
      <w:r w:rsidR="007527E2" w:rsidRPr="00B40EBB">
        <w:rPr>
          <w:rFonts w:ascii="Arial" w:eastAsia="Arial" w:hAnsi="Arial" w:cs="Arial"/>
        </w:rPr>
        <w:br/>
      </w:r>
      <w:r w:rsidR="00CB0699" w:rsidRPr="00B40EBB">
        <w:rPr>
          <w:rFonts w:ascii="Arial" w:eastAsia="Arial" w:hAnsi="Arial" w:cs="Arial"/>
        </w:rPr>
        <w:t xml:space="preserve">dental teams. </w:t>
      </w:r>
    </w:p>
    <w:p w14:paraId="3912F1E9" w14:textId="7A217AD2" w:rsidR="0068475E" w:rsidRPr="0068475E" w:rsidRDefault="0068475E" w:rsidP="567DD90D">
      <w:pPr>
        <w:rPr>
          <w:rFonts w:ascii="Arial" w:eastAsia="Arial" w:hAnsi="Arial" w:cs="Arial"/>
        </w:rPr>
      </w:pPr>
    </w:p>
    <w:sectPr w:rsidR="0068475E" w:rsidRPr="0068475E" w:rsidSect="00901C2B">
      <w:headerReference w:type="default" r:id="rId27"/>
      <w:headerReference w:type="first" r:id="rId28"/>
      <w:footerReference w:type="first" r:id="rId29"/>
      <w:pgSz w:w="11900" w:h="16840"/>
      <w:pgMar w:top="1134" w:right="1134" w:bottom="1077" w:left="1134" w:header="5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3542" w14:textId="77777777" w:rsidR="007B4664" w:rsidRDefault="007B4664" w:rsidP="00D023EC">
      <w:r>
        <w:separator/>
      </w:r>
    </w:p>
  </w:endnote>
  <w:endnote w:type="continuationSeparator" w:id="0">
    <w:p w14:paraId="05AD51C0" w14:textId="77777777" w:rsidR="007B4664" w:rsidRDefault="007B4664" w:rsidP="00D023EC">
      <w:r>
        <w:continuationSeparator/>
      </w:r>
    </w:p>
  </w:endnote>
  <w:endnote w:type="continuationNotice" w:id="1">
    <w:p w14:paraId="7899A0C7" w14:textId="77777777" w:rsidR="007B4664" w:rsidRDefault="007B4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B681" w14:textId="29E0B95A" w:rsidR="00901C2B" w:rsidRPr="00EF414C" w:rsidRDefault="00901C2B" w:rsidP="00901C2B">
    <w:pPr>
      <w:pStyle w:val="Heading1"/>
      <w:jc w:val="right"/>
      <w:rPr>
        <w:b w:val="0"/>
        <w:bCs w:val="0"/>
        <w:color w:val="000000" w:themeColor="text1"/>
        <w:sz w:val="16"/>
        <w:szCs w:val="16"/>
      </w:rPr>
    </w:pPr>
    <w:r w:rsidRPr="00EF414C">
      <w:rPr>
        <w:b w:val="0"/>
        <w:bCs w:val="0"/>
        <w:color w:val="000000" w:themeColor="text1"/>
        <w:sz w:val="16"/>
        <w:szCs w:val="16"/>
      </w:rPr>
      <w:t>Changes to the FP17 and FP17O</w:t>
    </w:r>
    <w:r w:rsidR="00EB2D07" w:rsidRPr="00EF414C">
      <w:rPr>
        <w:b w:val="0"/>
        <w:bCs w:val="0"/>
        <w:color w:val="000000" w:themeColor="text1"/>
        <w:sz w:val="16"/>
        <w:szCs w:val="16"/>
      </w:rPr>
      <w:t xml:space="preserve"> </w:t>
    </w:r>
    <w:r w:rsidRPr="00EF414C">
      <w:rPr>
        <w:b w:val="0"/>
        <w:bCs w:val="0"/>
        <w:color w:val="000000" w:themeColor="text1"/>
        <w:sz w:val="16"/>
        <w:szCs w:val="16"/>
      </w:rPr>
      <w:t>(V1) 09.2022</w:t>
    </w:r>
  </w:p>
  <w:p w14:paraId="73336FDE" w14:textId="77777777" w:rsidR="00901C2B" w:rsidRDefault="00901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6BAC" w14:textId="77777777" w:rsidR="007B4664" w:rsidRDefault="007B4664" w:rsidP="00D023EC">
      <w:r>
        <w:separator/>
      </w:r>
    </w:p>
  </w:footnote>
  <w:footnote w:type="continuationSeparator" w:id="0">
    <w:p w14:paraId="31982AB8" w14:textId="77777777" w:rsidR="007B4664" w:rsidRDefault="007B4664" w:rsidP="00D023EC">
      <w:r>
        <w:continuationSeparator/>
      </w:r>
    </w:p>
  </w:footnote>
  <w:footnote w:type="continuationNotice" w:id="1">
    <w:p w14:paraId="1342C4D0" w14:textId="77777777" w:rsidR="007B4664" w:rsidRDefault="007B4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8563" w14:textId="77777777" w:rsidR="00BD561F" w:rsidRDefault="001F7E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0EF4E01" wp14:editId="5A4DF1DD">
          <wp:simplePos x="0" y="0"/>
          <wp:positionH relativeFrom="column">
            <wp:posOffset>-720090</wp:posOffset>
          </wp:positionH>
          <wp:positionV relativeFrom="paragraph">
            <wp:posOffset>-103928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FF1"/>
    <w:multiLevelType w:val="hybridMultilevel"/>
    <w:tmpl w:val="3E0A99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8B08A7"/>
    <w:multiLevelType w:val="hybridMultilevel"/>
    <w:tmpl w:val="31DA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E29E2"/>
    <w:multiLevelType w:val="hybridMultilevel"/>
    <w:tmpl w:val="FB36E5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65176D"/>
    <w:multiLevelType w:val="hybridMultilevel"/>
    <w:tmpl w:val="E12280A2"/>
    <w:lvl w:ilvl="0" w:tplc="2B303F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4E0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CA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2C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24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8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C7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4A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E5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B0072"/>
    <w:multiLevelType w:val="hybridMultilevel"/>
    <w:tmpl w:val="641013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441ED8"/>
    <w:multiLevelType w:val="hybridMultilevel"/>
    <w:tmpl w:val="1E2C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10E5"/>
    <w:multiLevelType w:val="hybridMultilevel"/>
    <w:tmpl w:val="A2A64E82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7E65495D"/>
    <w:multiLevelType w:val="hybridMultilevel"/>
    <w:tmpl w:val="8C4E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5570">
    <w:abstractNumId w:val="3"/>
  </w:num>
  <w:num w:numId="2" w16cid:durableId="774666148">
    <w:abstractNumId w:val="1"/>
  </w:num>
  <w:num w:numId="3" w16cid:durableId="1019743726">
    <w:abstractNumId w:val="6"/>
  </w:num>
  <w:num w:numId="4" w16cid:durableId="596252437">
    <w:abstractNumId w:val="7"/>
  </w:num>
  <w:num w:numId="5" w16cid:durableId="505094608">
    <w:abstractNumId w:val="4"/>
  </w:num>
  <w:num w:numId="6" w16cid:durableId="1259020317">
    <w:abstractNumId w:val="5"/>
  </w:num>
  <w:num w:numId="7" w16cid:durableId="1856185288">
    <w:abstractNumId w:val="2"/>
  </w:num>
  <w:num w:numId="8" w16cid:durableId="211971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12"/>
    <w:rsid w:val="0001448D"/>
    <w:rsid w:val="00080904"/>
    <w:rsid w:val="000C4EF8"/>
    <w:rsid w:val="000F23CF"/>
    <w:rsid w:val="000F36B6"/>
    <w:rsid w:val="00122427"/>
    <w:rsid w:val="00125FDD"/>
    <w:rsid w:val="00130F50"/>
    <w:rsid w:val="00136D79"/>
    <w:rsid w:val="0014539E"/>
    <w:rsid w:val="001A6EEF"/>
    <w:rsid w:val="001C246E"/>
    <w:rsid w:val="001C7DEB"/>
    <w:rsid w:val="001F2FBF"/>
    <w:rsid w:val="001F5906"/>
    <w:rsid w:val="001F7ED7"/>
    <w:rsid w:val="002019D9"/>
    <w:rsid w:val="00215FC6"/>
    <w:rsid w:val="00232DB0"/>
    <w:rsid w:val="00237FE1"/>
    <w:rsid w:val="00263CF5"/>
    <w:rsid w:val="00266EE0"/>
    <w:rsid w:val="002709EA"/>
    <w:rsid w:val="0028475E"/>
    <w:rsid w:val="00297327"/>
    <w:rsid w:val="002A728C"/>
    <w:rsid w:val="002B5692"/>
    <w:rsid w:val="0032486F"/>
    <w:rsid w:val="00330084"/>
    <w:rsid w:val="00331683"/>
    <w:rsid w:val="00350100"/>
    <w:rsid w:val="00386F12"/>
    <w:rsid w:val="00391EE2"/>
    <w:rsid w:val="003C07BB"/>
    <w:rsid w:val="003C2064"/>
    <w:rsid w:val="003E3A3D"/>
    <w:rsid w:val="003E4E82"/>
    <w:rsid w:val="003F5869"/>
    <w:rsid w:val="004074DA"/>
    <w:rsid w:val="004A3C32"/>
    <w:rsid w:val="004A4EB6"/>
    <w:rsid w:val="004B6CA3"/>
    <w:rsid w:val="004C6E40"/>
    <w:rsid w:val="004C783D"/>
    <w:rsid w:val="004D1566"/>
    <w:rsid w:val="004F76C1"/>
    <w:rsid w:val="004F7882"/>
    <w:rsid w:val="00501365"/>
    <w:rsid w:val="00523F63"/>
    <w:rsid w:val="00525F3D"/>
    <w:rsid w:val="00527F40"/>
    <w:rsid w:val="00533CB9"/>
    <w:rsid w:val="00572256"/>
    <w:rsid w:val="005939AB"/>
    <w:rsid w:val="00595F98"/>
    <w:rsid w:val="005B5869"/>
    <w:rsid w:val="005D0E66"/>
    <w:rsid w:val="005F06DA"/>
    <w:rsid w:val="00614D25"/>
    <w:rsid w:val="0063459D"/>
    <w:rsid w:val="0068475E"/>
    <w:rsid w:val="006A3F67"/>
    <w:rsid w:val="006A5A39"/>
    <w:rsid w:val="006F5A50"/>
    <w:rsid w:val="0070180D"/>
    <w:rsid w:val="00713FA0"/>
    <w:rsid w:val="007527E2"/>
    <w:rsid w:val="00760369"/>
    <w:rsid w:val="0078618D"/>
    <w:rsid w:val="007A2E5D"/>
    <w:rsid w:val="007B4664"/>
    <w:rsid w:val="007B6F5C"/>
    <w:rsid w:val="008005D4"/>
    <w:rsid w:val="00886E34"/>
    <w:rsid w:val="008A4F37"/>
    <w:rsid w:val="008A6CBF"/>
    <w:rsid w:val="008D30C5"/>
    <w:rsid w:val="00901BBA"/>
    <w:rsid w:val="00901C2B"/>
    <w:rsid w:val="00902028"/>
    <w:rsid w:val="00931A47"/>
    <w:rsid w:val="00933DE2"/>
    <w:rsid w:val="0094164E"/>
    <w:rsid w:val="0094666E"/>
    <w:rsid w:val="00980099"/>
    <w:rsid w:val="00981EA8"/>
    <w:rsid w:val="009E2F97"/>
    <w:rsid w:val="009E5C47"/>
    <w:rsid w:val="009F1AC1"/>
    <w:rsid w:val="00A4178F"/>
    <w:rsid w:val="00A771ED"/>
    <w:rsid w:val="00A777B8"/>
    <w:rsid w:val="00AA0856"/>
    <w:rsid w:val="00AA3310"/>
    <w:rsid w:val="00AB4601"/>
    <w:rsid w:val="00AD0D11"/>
    <w:rsid w:val="00AD76BD"/>
    <w:rsid w:val="00AF00ED"/>
    <w:rsid w:val="00B06AD6"/>
    <w:rsid w:val="00B1729B"/>
    <w:rsid w:val="00B1792D"/>
    <w:rsid w:val="00B17D83"/>
    <w:rsid w:val="00B37332"/>
    <w:rsid w:val="00B40EBB"/>
    <w:rsid w:val="00B67C44"/>
    <w:rsid w:val="00BD1212"/>
    <w:rsid w:val="00BD4F0F"/>
    <w:rsid w:val="00BD561F"/>
    <w:rsid w:val="00C00BE3"/>
    <w:rsid w:val="00C0237D"/>
    <w:rsid w:val="00C46460"/>
    <w:rsid w:val="00C51022"/>
    <w:rsid w:val="00C65736"/>
    <w:rsid w:val="00C83C21"/>
    <w:rsid w:val="00C94159"/>
    <w:rsid w:val="00CB0699"/>
    <w:rsid w:val="00CB164C"/>
    <w:rsid w:val="00CC3046"/>
    <w:rsid w:val="00CD435C"/>
    <w:rsid w:val="00CD5CE4"/>
    <w:rsid w:val="00CF01C6"/>
    <w:rsid w:val="00CF2C98"/>
    <w:rsid w:val="00D023EC"/>
    <w:rsid w:val="00D513FA"/>
    <w:rsid w:val="00D613C4"/>
    <w:rsid w:val="00DA0523"/>
    <w:rsid w:val="00DA2BBD"/>
    <w:rsid w:val="00DA3A2A"/>
    <w:rsid w:val="00DA6F09"/>
    <w:rsid w:val="00DD2762"/>
    <w:rsid w:val="00DF0559"/>
    <w:rsid w:val="00E24127"/>
    <w:rsid w:val="00E54036"/>
    <w:rsid w:val="00E602DA"/>
    <w:rsid w:val="00E967CC"/>
    <w:rsid w:val="00EA706D"/>
    <w:rsid w:val="00EB2D07"/>
    <w:rsid w:val="00EF39D7"/>
    <w:rsid w:val="00EF414C"/>
    <w:rsid w:val="00F53D43"/>
    <w:rsid w:val="00F56B1C"/>
    <w:rsid w:val="00F56D27"/>
    <w:rsid w:val="00F65DFB"/>
    <w:rsid w:val="00F668F5"/>
    <w:rsid w:val="00F67869"/>
    <w:rsid w:val="00F70420"/>
    <w:rsid w:val="00F91878"/>
    <w:rsid w:val="00FD5B78"/>
    <w:rsid w:val="059B863B"/>
    <w:rsid w:val="09993E2D"/>
    <w:rsid w:val="101522D1"/>
    <w:rsid w:val="1F69D6BE"/>
    <w:rsid w:val="276656F8"/>
    <w:rsid w:val="2E945F2D"/>
    <w:rsid w:val="516741BB"/>
    <w:rsid w:val="5432D801"/>
    <w:rsid w:val="567DD90D"/>
    <w:rsid w:val="59247041"/>
    <w:rsid w:val="594693E3"/>
    <w:rsid w:val="5C077EFE"/>
    <w:rsid w:val="5C0DC39F"/>
    <w:rsid w:val="61A413B5"/>
    <w:rsid w:val="6C22873F"/>
    <w:rsid w:val="6CA1FB7A"/>
    <w:rsid w:val="6E342157"/>
    <w:rsid w:val="7EF3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DCA0B9"/>
  <w15:docId w15:val="{9E154528-8C12-4242-AA73-E4D2CA9B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F50"/>
    <w:pPr>
      <w:keepNext/>
      <w:keepLines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F50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30F50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paragraph" w:styleId="ListParagraph">
    <w:name w:val="List Paragraph"/>
    <w:aliases w:val="Paragraph Text Indented"/>
    <w:basedOn w:val="Normal"/>
    <w:uiPriority w:val="34"/>
    <w:qFormat/>
    <w:rsid w:val="00AF00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30F50"/>
    <w:rPr>
      <w:rFonts w:ascii="Arial" w:eastAsiaTheme="majorEastAsia" w:hAnsi="Arial" w:cstheme="majorBidi"/>
      <w:b/>
      <w:sz w:val="2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C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6B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4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7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7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primary-care/dentistry/dental-commissioning/" TargetMode="External"/><Relationship Id="rId18" Type="http://schemas.openxmlformats.org/officeDocument/2006/relationships/hyperlink" Target="https://www.england.nhs.uk/publication/first-stage-of-dental-reform/" TargetMode="External"/><Relationship Id="rId26" Type="http://schemas.openxmlformats.org/officeDocument/2006/relationships/hyperlink" Target="https://www.nhsbsa.nhs.uk/patient-exemption-checking-guide-dental-teams-englan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ce.org.uk/guidance/cg19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nhsbsa.dentalservices@nhsbsa.nhs.uk" TargetMode="External"/><Relationship Id="rId17" Type="http://schemas.openxmlformats.org/officeDocument/2006/relationships/hyperlink" Target="https://www.nhsbsa.nhs.uk/activity-payment-and-pension-services/dental-activity-processing" TargetMode="External"/><Relationship Id="rId25" Type="http://schemas.openxmlformats.org/officeDocument/2006/relationships/hyperlink" Target="https://www.nhsbsa.nhs.uk/check-if-youre-eligible-hel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sbsa.nhs.uk/compass" TargetMode="External"/><Relationship Id="rId20" Type="http://schemas.openxmlformats.org/officeDocument/2006/relationships/hyperlink" Target="https://www.england.nhs.uk/publication/first-stage-of-dental-reform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publication/first-stage-of-dental-reform/" TargetMode="External"/><Relationship Id="rId24" Type="http://schemas.openxmlformats.org/officeDocument/2006/relationships/hyperlink" Target="https://www.nhsbsa.nhs.uk/activity-payment-and-pension-services/dental-activity-proces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ngland.nhs.uk/publication/first-stage-of-dental-reform/" TargetMode="External"/><Relationship Id="rId23" Type="http://schemas.openxmlformats.org/officeDocument/2006/relationships/hyperlink" Target="http://www.nhsbsa.nhs.uk/compass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nhsbsa.nhs.uk/activity-payment-and-pension-services/dental-activity-processin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cg19" TargetMode="External"/><Relationship Id="rId22" Type="http://schemas.openxmlformats.org/officeDocument/2006/relationships/hyperlink" Target="https://www.nhsbsa.nhs.uk/activity-payment-and-pension-services/dental-activity-processing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6F2E0-276C-4E75-952B-1BFA1A091507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customXml/itemProps2.xml><?xml version="1.0" encoding="utf-8"?>
<ds:datastoreItem xmlns:ds="http://schemas.openxmlformats.org/officeDocument/2006/customXml" ds:itemID="{0BEEEF22-DE99-4DD8-A904-9608E949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F64AA-9BE4-4F1E-9B85-2111AD87B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412C8-437F-4A3F-A624-FED00B9E6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cp:lastModifiedBy>Samantha Murphy</cp:lastModifiedBy>
  <cp:revision>2</cp:revision>
  <cp:lastPrinted>2013-06-25T07:38:00Z</cp:lastPrinted>
  <dcterms:created xsi:type="dcterms:W3CDTF">2022-10-11T07:39:00Z</dcterms:created>
  <dcterms:modified xsi:type="dcterms:W3CDTF">2022-10-11T07:39:00Z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  <property fmtid="{D5CDD505-2E9C-101B-9397-08002B2CF9AE}" pid="3" name="IntranetCategory">
    <vt:lpwstr/>
  </property>
  <property fmtid="{D5CDD505-2E9C-101B-9397-08002B2CF9AE}" pid="4" name="MHArea">
    <vt:lpwstr>1;#Communications and Marketing|08088193-41ae-4630-9e22-b6f5a964e91c</vt:lpwstr>
  </property>
  <property fmtid="{D5CDD505-2E9C-101B-9397-08002B2CF9AE}" pid="5" name="o3a3c54fcb954df5bc9a110c60848d6a">
    <vt:lpwstr/>
  </property>
  <property fmtid="{D5CDD505-2E9C-101B-9397-08002B2CF9AE}" pid="6" name="MHCategory">
    <vt:lpwstr/>
  </property>
  <property fmtid="{D5CDD505-2E9C-101B-9397-08002B2CF9AE}" pid="7" name="MediaServiceImageTags">
    <vt:lpwstr/>
  </property>
</Properties>
</file>