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6132" w14:textId="77777777" w:rsidR="002547CC" w:rsidRPr="008E7AB8" w:rsidRDefault="002547CC" w:rsidP="002547CC">
      <w:pPr>
        <w:spacing w:after="0"/>
        <w:rPr>
          <w:rFonts w:ascii="Arial" w:hAnsi="Arial" w:cs="Arial"/>
          <w:b/>
          <w:color w:val="548DD4"/>
          <w:sz w:val="28"/>
          <w:szCs w:val="28"/>
        </w:rPr>
      </w:pPr>
    </w:p>
    <w:p w14:paraId="7E59B093" w14:textId="77777777" w:rsidR="00535DC1" w:rsidRPr="008E7AB8" w:rsidRDefault="00535DC1" w:rsidP="002547CC">
      <w:pPr>
        <w:spacing w:after="0"/>
        <w:rPr>
          <w:rFonts w:ascii="Arial" w:hAnsi="Arial" w:cs="Arial"/>
          <w:b/>
          <w:color w:val="548DD4"/>
          <w:sz w:val="28"/>
          <w:szCs w:val="28"/>
        </w:rPr>
      </w:pPr>
    </w:p>
    <w:p w14:paraId="51D7E971" w14:textId="77777777" w:rsidR="005C7751" w:rsidRPr="008E7AB8" w:rsidRDefault="00D400A3" w:rsidP="00D400A3">
      <w:pPr>
        <w:tabs>
          <w:tab w:val="left" w:pos="2322"/>
        </w:tabs>
        <w:spacing w:after="0"/>
        <w:rPr>
          <w:rFonts w:ascii="Arial" w:hAnsi="Arial" w:cs="Arial"/>
          <w:b/>
          <w:color w:val="548DD4"/>
          <w:sz w:val="48"/>
          <w:szCs w:val="48"/>
        </w:rPr>
      </w:pPr>
      <w:r w:rsidRPr="008E7AB8">
        <w:rPr>
          <w:rFonts w:ascii="Arial" w:hAnsi="Arial" w:cs="Arial"/>
          <w:b/>
          <w:color w:val="548DD4"/>
          <w:sz w:val="48"/>
          <w:szCs w:val="48"/>
        </w:rPr>
        <w:tab/>
      </w:r>
    </w:p>
    <w:p w14:paraId="63237F92" w14:textId="5E3C8842" w:rsidR="002547CC" w:rsidRPr="008E7AB8" w:rsidRDefault="00304514" w:rsidP="002547CC">
      <w:pPr>
        <w:spacing w:after="0"/>
        <w:rPr>
          <w:rFonts w:ascii="Arial" w:hAnsi="Arial" w:cs="Arial"/>
          <w:b/>
          <w:color w:val="548DD4"/>
          <w:sz w:val="48"/>
          <w:szCs w:val="48"/>
        </w:rPr>
      </w:pPr>
      <w:r w:rsidRPr="008E7AB8">
        <w:rPr>
          <w:rFonts w:ascii="Arial" w:hAnsi="Arial" w:cs="Arial"/>
          <w:b/>
          <w:color w:val="548DD4"/>
          <w:sz w:val="48"/>
          <w:szCs w:val="48"/>
        </w:rPr>
        <w:t>Children’s Liquid Dashboard</w:t>
      </w:r>
    </w:p>
    <w:p w14:paraId="63E1F6FA" w14:textId="77777777" w:rsidR="003A5E47" w:rsidRPr="008E7AB8" w:rsidRDefault="003A5E47" w:rsidP="002547CC">
      <w:pPr>
        <w:spacing w:after="0"/>
        <w:rPr>
          <w:rFonts w:ascii="Arial" w:hAnsi="Arial" w:cs="Arial"/>
          <w:b/>
          <w:color w:val="548DD4"/>
          <w:sz w:val="48"/>
          <w:szCs w:val="48"/>
        </w:rPr>
      </w:pPr>
    </w:p>
    <w:p w14:paraId="40FE70E8" w14:textId="77777777" w:rsidR="00C726A3" w:rsidRPr="008E7AB8" w:rsidRDefault="00C726A3" w:rsidP="002547CC">
      <w:pPr>
        <w:spacing w:after="0"/>
        <w:rPr>
          <w:rFonts w:ascii="Arial" w:hAnsi="Arial" w:cs="Arial"/>
          <w:b/>
          <w:color w:val="548DD4"/>
          <w:sz w:val="44"/>
          <w:szCs w:val="44"/>
        </w:rPr>
      </w:pPr>
    </w:p>
    <w:p w14:paraId="7C3E4CEB" w14:textId="0B285F29" w:rsidR="0052604E" w:rsidRPr="008E7AB8" w:rsidRDefault="00C726A3" w:rsidP="002547CC">
      <w:pPr>
        <w:spacing w:after="0"/>
        <w:rPr>
          <w:rFonts w:ascii="Arial" w:hAnsi="Arial" w:cs="Arial"/>
          <w:b/>
          <w:color w:val="548DD4"/>
          <w:sz w:val="44"/>
          <w:szCs w:val="44"/>
        </w:rPr>
      </w:pPr>
      <w:r w:rsidRPr="008E7AB8">
        <w:rPr>
          <w:rFonts w:ascii="Arial" w:hAnsi="Arial" w:cs="Arial"/>
          <w:b/>
          <w:color w:val="548DD4"/>
          <w:sz w:val="44"/>
          <w:szCs w:val="44"/>
        </w:rPr>
        <w:t xml:space="preserve">Version: </w:t>
      </w:r>
      <w:r w:rsidR="00AB662C">
        <w:rPr>
          <w:rFonts w:ascii="Arial" w:hAnsi="Arial" w:cs="Arial"/>
          <w:b/>
          <w:color w:val="548DD4"/>
          <w:sz w:val="44"/>
          <w:szCs w:val="44"/>
        </w:rPr>
        <w:t>1.0</w:t>
      </w:r>
      <w:r w:rsidR="00304514" w:rsidRPr="008E7AB8">
        <w:rPr>
          <w:rFonts w:ascii="Arial" w:hAnsi="Arial" w:cs="Arial"/>
          <w:b/>
          <w:color w:val="548DD4"/>
          <w:sz w:val="44"/>
          <w:szCs w:val="44"/>
        </w:rPr>
        <w:t xml:space="preserve"> </w:t>
      </w:r>
      <w:proofErr w:type="spellStart"/>
      <w:r w:rsidR="00AB662C">
        <w:rPr>
          <w:rFonts w:ascii="Arial" w:hAnsi="Arial" w:cs="Arial"/>
          <w:b/>
          <w:color w:val="548DD4"/>
          <w:sz w:val="44"/>
          <w:szCs w:val="44"/>
        </w:rPr>
        <w:t>Novemeber</w:t>
      </w:r>
      <w:proofErr w:type="spellEnd"/>
      <w:r w:rsidR="00304514" w:rsidRPr="008E7AB8">
        <w:rPr>
          <w:rFonts w:ascii="Arial" w:hAnsi="Arial" w:cs="Arial"/>
          <w:b/>
          <w:color w:val="548DD4"/>
          <w:sz w:val="44"/>
          <w:szCs w:val="44"/>
        </w:rPr>
        <w:t xml:space="preserve"> 2022</w:t>
      </w:r>
    </w:p>
    <w:p w14:paraId="7D19CF00" w14:textId="77777777" w:rsidR="0052604E" w:rsidRPr="008E7AB8" w:rsidRDefault="0052604E" w:rsidP="002547CC">
      <w:pPr>
        <w:spacing w:after="0"/>
        <w:rPr>
          <w:rFonts w:ascii="Arial" w:hAnsi="Arial" w:cs="Arial"/>
          <w:b/>
          <w:color w:val="548DD4"/>
          <w:sz w:val="48"/>
          <w:szCs w:val="48"/>
        </w:rPr>
      </w:pPr>
    </w:p>
    <w:p w14:paraId="6227281C" w14:textId="77777777" w:rsidR="005C7751" w:rsidRPr="008E7AB8" w:rsidRDefault="005C7751" w:rsidP="002547CC">
      <w:pPr>
        <w:spacing w:after="0"/>
        <w:rPr>
          <w:rFonts w:ascii="Arial" w:hAnsi="Arial" w:cs="Arial"/>
          <w:b/>
          <w:color w:val="548DD4"/>
          <w:sz w:val="44"/>
          <w:szCs w:val="44"/>
        </w:rPr>
      </w:pPr>
    </w:p>
    <w:p w14:paraId="133AB6C8" w14:textId="77777777" w:rsidR="00C9175E" w:rsidRPr="008E7AB8" w:rsidRDefault="0052604E" w:rsidP="002547CC">
      <w:pPr>
        <w:spacing w:after="0"/>
        <w:rPr>
          <w:rFonts w:ascii="Arial" w:hAnsi="Arial" w:cs="Arial"/>
          <w:b/>
          <w:color w:val="548DD4"/>
          <w:sz w:val="44"/>
          <w:szCs w:val="44"/>
        </w:rPr>
      </w:pPr>
      <w:r w:rsidRPr="008E7AB8">
        <w:rPr>
          <w:rFonts w:ascii="Arial" w:hAnsi="Arial" w:cs="Arial"/>
          <w:b/>
          <w:color w:val="548DD4"/>
          <w:sz w:val="44"/>
          <w:szCs w:val="44"/>
        </w:rPr>
        <w:t>Comparator Descriptions and Specifications</w:t>
      </w:r>
      <w:r w:rsidR="002547CC" w:rsidRPr="008E7AB8">
        <w:rPr>
          <w:rFonts w:ascii="Arial" w:hAnsi="Arial" w:cs="Arial"/>
          <w:b/>
          <w:color w:val="548DD4"/>
          <w:sz w:val="44"/>
          <w:szCs w:val="44"/>
        </w:rPr>
        <w:t xml:space="preserve"> </w:t>
      </w:r>
    </w:p>
    <w:p w14:paraId="4E82CCC1" w14:textId="77777777" w:rsidR="008A139B" w:rsidRPr="008E7AB8" w:rsidRDefault="008A139B" w:rsidP="008A139B">
      <w:pPr>
        <w:pStyle w:val="Heading1"/>
        <w:rPr>
          <w:rFonts w:cs="Arial"/>
          <w:sz w:val="22"/>
          <w:szCs w:val="22"/>
        </w:rPr>
      </w:pPr>
    </w:p>
    <w:p w14:paraId="0AF5E780" w14:textId="77777777" w:rsidR="008A139B" w:rsidRPr="008E7AB8" w:rsidRDefault="008A139B" w:rsidP="008A139B">
      <w:pPr>
        <w:rPr>
          <w:rFonts w:ascii="Arial" w:hAnsi="Arial" w:cs="Arial"/>
        </w:rPr>
      </w:pPr>
    </w:p>
    <w:p w14:paraId="16BED5BF" w14:textId="77777777" w:rsidR="008A139B" w:rsidRPr="008E7AB8" w:rsidRDefault="008A139B" w:rsidP="008A139B">
      <w:pPr>
        <w:rPr>
          <w:rFonts w:ascii="Arial" w:hAnsi="Arial" w:cs="Arial"/>
        </w:rPr>
      </w:pPr>
    </w:p>
    <w:p w14:paraId="321AB55D" w14:textId="77777777" w:rsidR="008A139B" w:rsidRPr="008E7AB8" w:rsidRDefault="008A139B" w:rsidP="008A139B">
      <w:pPr>
        <w:rPr>
          <w:rFonts w:ascii="Arial" w:hAnsi="Arial" w:cs="Arial"/>
        </w:rPr>
      </w:pPr>
    </w:p>
    <w:p w14:paraId="45AC745F" w14:textId="77777777" w:rsidR="008A139B" w:rsidRPr="008E7AB8" w:rsidRDefault="008A139B" w:rsidP="008A139B">
      <w:pPr>
        <w:rPr>
          <w:rFonts w:ascii="Arial" w:hAnsi="Arial" w:cs="Arial"/>
        </w:rPr>
      </w:pPr>
    </w:p>
    <w:p w14:paraId="03F93436" w14:textId="77777777" w:rsidR="008A139B" w:rsidRPr="008E7AB8" w:rsidRDefault="008A139B" w:rsidP="008A139B">
      <w:pPr>
        <w:rPr>
          <w:rFonts w:ascii="Arial" w:hAnsi="Arial" w:cs="Arial"/>
        </w:rPr>
      </w:pPr>
    </w:p>
    <w:p w14:paraId="0A54AAFA" w14:textId="77777777" w:rsidR="008A139B" w:rsidRPr="008E7AB8" w:rsidRDefault="008A139B" w:rsidP="008A139B">
      <w:pPr>
        <w:rPr>
          <w:rFonts w:ascii="Arial" w:hAnsi="Arial" w:cs="Arial"/>
        </w:rPr>
      </w:pPr>
    </w:p>
    <w:p w14:paraId="6D2FE480" w14:textId="77777777" w:rsidR="008A139B" w:rsidRPr="008E7AB8" w:rsidRDefault="008A139B" w:rsidP="008A139B">
      <w:pPr>
        <w:rPr>
          <w:rFonts w:ascii="Arial" w:hAnsi="Arial" w:cs="Arial"/>
        </w:rPr>
      </w:pPr>
    </w:p>
    <w:p w14:paraId="615DFEBB" w14:textId="77777777" w:rsidR="008A139B" w:rsidRPr="008E7AB8" w:rsidRDefault="008A139B" w:rsidP="008A139B">
      <w:pPr>
        <w:rPr>
          <w:rFonts w:ascii="Arial" w:hAnsi="Arial" w:cs="Arial"/>
        </w:rPr>
      </w:pPr>
    </w:p>
    <w:p w14:paraId="6E022C10" w14:textId="77777777" w:rsidR="008A139B" w:rsidRPr="008E7AB8" w:rsidRDefault="008A139B">
      <w:pPr>
        <w:pStyle w:val="TOCHeading"/>
        <w:rPr>
          <w:rFonts w:ascii="Arial" w:hAnsi="Arial" w:cs="Arial"/>
          <w:color w:val="auto"/>
        </w:rPr>
      </w:pPr>
    </w:p>
    <w:p w14:paraId="646163BC" w14:textId="2A6E27E3" w:rsidR="008A139B" w:rsidRDefault="008A139B">
      <w:pPr>
        <w:rPr>
          <w:rFonts w:ascii="Arial" w:hAnsi="Arial" w:cs="Arial"/>
        </w:rPr>
      </w:pPr>
    </w:p>
    <w:p w14:paraId="5EFCF333" w14:textId="77777777" w:rsidR="00236664" w:rsidRPr="00236664" w:rsidRDefault="00236664" w:rsidP="00236664">
      <w:pPr>
        <w:ind w:firstLine="720"/>
        <w:rPr>
          <w:rFonts w:ascii="Arial" w:hAnsi="Arial" w:cs="Arial"/>
        </w:rPr>
      </w:pPr>
    </w:p>
    <w:bookmarkStart w:id="0" w:name="_Toc473297126" w:displacedByCustomXml="next"/>
    <w:bookmarkStart w:id="1" w:name="_Toc473635659" w:displacedByCustomXml="next"/>
    <w:bookmarkStart w:id="2" w:name="_Toc473636473" w:displacedByCustomXml="next"/>
    <w:bookmarkStart w:id="3" w:name="_Toc475027473" w:displacedByCustomXml="next"/>
    <w:sdt>
      <w:sdtPr>
        <w:rPr>
          <w:rFonts w:ascii="Arial" w:eastAsia="Calibri" w:hAnsi="Arial" w:cs="Arial"/>
          <w:b w:val="0"/>
          <w:bCs w:val="0"/>
          <w:color w:val="auto"/>
          <w:sz w:val="22"/>
          <w:szCs w:val="22"/>
          <w:lang w:val="en-GB" w:eastAsia="en-US"/>
        </w:rPr>
        <w:id w:val="2091644752"/>
        <w:docPartObj>
          <w:docPartGallery w:val="Table of Contents"/>
          <w:docPartUnique/>
        </w:docPartObj>
      </w:sdtPr>
      <w:sdtEndPr>
        <w:rPr>
          <w:noProof/>
        </w:rPr>
      </w:sdtEndPr>
      <w:sdtContent>
        <w:p w14:paraId="02B5EC3A" w14:textId="6E144CC6" w:rsidR="00D9462D" w:rsidRPr="008E7AB8" w:rsidRDefault="00D9462D">
          <w:pPr>
            <w:pStyle w:val="TOCHeading"/>
            <w:rPr>
              <w:rFonts w:ascii="Arial" w:hAnsi="Arial" w:cs="Arial"/>
            </w:rPr>
          </w:pPr>
          <w:r w:rsidRPr="008E7AB8">
            <w:rPr>
              <w:rFonts w:ascii="Arial" w:hAnsi="Arial" w:cs="Arial"/>
            </w:rPr>
            <w:t>Contents</w:t>
          </w:r>
        </w:p>
        <w:p w14:paraId="1BD240DE" w14:textId="77777777" w:rsidR="00BD4D33" w:rsidRPr="008E7AB8" w:rsidRDefault="00BD4D33" w:rsidP="00BD4D33">
          <w:pPr>
            <w:rPr>
              <w:rFonts w:ascii="Arial" w:hAnsi="Arial" w:cs="Arial"/>
              <w:lang w:val="en-US" w:eastAsia="ja-JP"/>
            </w:rPr>
          </w:pPr>
        </w:p>
        <w:p w14:paraId="1868F730" w14:textId="5AB9E0E7" w:rsidR="00B059DF" w:rsidRDefault="00D9462D">
          <w:pPr>
            <w:pStyle w:val="TOC1"/>
            <w:tabs>
              <w:tab w:val="right" w:leader="dot" w:pos="9628"/>
            </w:tabs>
            <w:rPr>
              <w:rFonts w:asciiTheme="minorHAnsi" w:eastAsiaTheme="minorEastAsia" w:hAnsiTheme="minorHAnsi" w:cstheme="minorBidi"/>
              <w:noProof/>
              <w:lang w:eastAsia="en-GB"/>
            </w:rPr>
          </w:pPr>
          <w:r w:rsidRPr="008E7AB8">
            <w:rPr>
              <w:rFonts w:ascii="Arial" w:hAnsi="Arial" w:cs="Arial"/>
            </w:rPr>
            <w:fldChar w:fldCharType="begin"/>
          </w:r>
          <w:r w:rsidRPr="008E7AB8">
            <w:rPr>
              <w:rFonts w:ascii="Arial" w:hAnsi="Arial" w:cs="Arial"/>
            </w:rPr>
            <w:instrText xml:space="preserve"> TOC \o "1-3" \h \z \u </w:instrText>
          </w:r>
          <w:r w:rsidRPr="008E7AB8">
            <w:rPr>
              <w:rFonts w:ascii="Arial" w:hAnsi="Arial" w:cs="Arial"/>
            </w:rPr>
            <w:fldChar w:fldCharType="separate"/>
          </w:r>
          <w:hyperlink w:anchor="_Toc117243496" w:history="1">
            <w:r w:rsidR="00B059DF" w:rsidRPr="00C46020">
              <w:rPr>
                <w:rStyle w:val="Hyperlink"/>
                <w:rFonts w:cs="Arial"/>
                <w:noProof/>
              </w:rPr>
              <w:t>Background</w:t>
            </w:r>
            <w:r w:rsidR="00B059DF">
              <w:rPr>
                <w:noProof/>
                <w:webHidden/>
              </w:rPr>
              <w:tab/>
            </w:r>
            <w:r w:rsidR="00B059DF">
              <w:rPr>
                <w:noProof/>
                <w:webHidden/>
              </w:rPr>
              <w:fldChar w:fldCharType="begin"/>
            </w:r>
            <w:r w:rsidR="00B059DF">
              <w:rPr>
                <w:noProof/>
                <w:webHidden/>
              </w:rPr>
              <w:instrText xml:space="preserve"> PAGEREF _Toc117243496 \h </w:instrText>
            </w:r>
            <w:r w:rsidR="00B059DF">
              <w:rPr>
                <w:noProof/>
                <w:webHidden/>
              </w:rPr>
            </w:r>
            <w:r w:rsidR="00B059DF">
              <w:rPr>
                <w:noProof/>
                <w:webHidden/>
              </w:rPr>
              <w:fldChar w:fldCharType="separate"/>
            </w:r>
            <w:r w:rsidR="00B059DF">
              <w:rPr>
                <w:noProof/>
                <w:webHidden/>
              </w:rPr>
              <w:t>3</w:t>
            </w:r>
            <w:r w:rsidR="00B059DF">
              <w:rPr>
                <w:noProof/>
                <w:webHidden/>
              </w:rPr>
              <w:fldChar w:fldCharType="end"/>
            </w:r>
          </w:hyperlink>
        </w:p>
        <w:p w14:paraId="0DDFBD10" w14:textId="447A38CC" w:rsidR="00B059DF" w:rsidRDefault="00AB662C">
          <w:pPr>
            <w:pStyle w:val="TOC1"/>
            <w:tabs>
              <w:tab w:val="right" w:leader="dot" w:pos="9628"/>
            </w:tabs>
            <w:rPr>
              <w:rFonts w:asciiTheme="minorHAnsi" w:eastAsiaTheme="minorEastAsia" w:hAnsiTheme="minorHAnsi" w:cstheme="minorBidi"/>
              <w:noProof/>
              <w:lang w:eastAsia="en-GB"/>
            </w:rPr>
          </w:pPr>
          <w:hyperlink w:anchor="_Toc117243497" w:history="1">
            <w:r w:rsidR="00B059DF" w:rsidRPr="00C46020">
              <w:rPr>
                <w:rStyle w:val="Hyperlink"/>
                <w:rFonts w:cs="Arial"/>
                <w:noProof/>
              </w:rPr>
              <w:t>Purpose</w:t>
            </w:r>
            <w:r w:rsidR="00B059DF">
              <w:rPr>
                <w:noProof/>
                <w:webHidden/>
              </w:rPr>
              <w:tab/>
            </w:r>
            <w:r w:rsidR="00B059DF">
              <w:rPr>
                <w:noProof/>
                <w:webHidden/>
              </w:rPr>
              <w:fldChar w:fldCharType="begin"/>
            </w:r>
            <w:r w:rsidR="00B059DF">
              <w:rPr>
                <w:noProof/>
                <w:webHidden/>
              </w:rPr>
              <w:instrText xml:space="preserve"> PAGEREF _Toc117243497 \h </w:instrText>
            </w:r>
            <w:r w:rsidR="00B059DF">
              <w:rPr>
                <w:noProof/>
                <w:webHidden/>
              </w:rPr>
            </w:r>
            <w:r w:rsidR="00B059DF">
              <w:rPr>
                <w:noProof/>
                <w:webHidden/>
              </w:rPr>
              <w:fldChar w:fldCharType="separate"/>
            </w:r>
            <w:r w:rsidR="00B059DF">
              <w:rPr>
                <w:noProof/>
                <w:webHidden/>
              </w:rPr>
              <w:t>3</w:t>
            </w:r>
            <w:r w:rsidR="00B059DF">
              <w:rPr>
                <w:noProof/>
                <w:webHidden/>
              </w:rPr>
              <w:fldChar w:fldCharType="end"/>
            </w:r>
          </w:hyperlink>
        </w:p>
        <w:p w14:paraId="5B64D35F" w14:textId="67311D49" w:rsidR="00B059DF" w:rsidRDefault="00AB662C">
          <w:pPr>
            <w:pStyle w:val="TOC1"/>
            <w:tabs>
              <w:tab w:val="right" w:leader="dot" w:pos="9628"/>
            </w:tabs>
            <w:rPr>
              <w:rFonts w:asciiTheme="minorHAnsi" w:eastAsiaTheme="minorEastAsia" w:hAnsiTheme="minorHAnsi" w:cstheme="minorBidi"/>
              <w:noProof/>
              <w:lang w:eastAsia="en-GB"/>
            </w:rPr>
          </w:pPr>
          <w:hyperlink w:anchor="_Toc117243498" w:history="1">
            <w:r w:rsidR="00B059DF" w:rsidRPr="00C46020">
              <w:rPr>
                <w:rStyle w:val="Hyperlink"/>
                <w:rFonts w:cs="Arial"/>
                <w:noProof/>
              </w:rPr>
              <w:t>Table 1: List of comparators</w:t>
            </w:r>
            <w:r w:rsidR="00B059DF">
              <w:rPr>
                <w:noProof/>
                <w:webHidden/>
              </w:rPr>
              <w:tab/>
            </w:r>
            <w:r w:rsidR="00B059DF">
              <w:rPr>
                <w:noProof/>
                <w:webHidden/>
              </w:rPr>
              <w:fldChar w:fldCharType="begin"/>
            </w:r>
            <w:r w:rsidR="00B059DF">
              <w:rPr>
                <w:noProof/>
                <w:webHidden/>
              </w:rPr>
              <w:instrText xml:space="preserve"> PAGEREF _Toc117243498 \h </w:instrText>
            </w:r>
            <w:r w:rsidR="00B059DF">
              <w:rPr>
                <w:noProof/>
                <w:webHidden/>
              </w:rPr>
            </w:r>
            <w:r w:rsidR="00B059DF">
              <w:rPr>
                <w:noProof/>
                <w:webHidden/>
              </w:rPr>
              <w:fldChar w:fldCharType="separate"/>
            </w:r>
            <w:r w:rsidR="00B059DF">
              <w:rPr>
                <w:noProof/>
                <w:webHidden/>
              </w:rPr>
              <w:t>4</w:t>
            </w:r>
            <w:r w:rsidR="00B059DF">
              <w:rPr>
                <w:noProof/>
                <w:webHidden/>
              </w:rPr>
              <w:fldChar w:fldCharType="end"/>
            </w:r>
          </w:hyperlink>
        </w:p>
        <w:p w14:paraId="460DC511" w14:textId="763AE825" w:rsidR="00B059DF" w:rsidRDefault="00AB662C">
          <w:pPr>
            <w:pStyle w:val="TOC1"/>
            <w:tabs>
              <w:tab w:val="right" w:leader="dot" w:pos="9628"/>
            </w:tabs>
            <w:rPr>
              <w:rFonts w:asciiTheme="minorHAnsi" w:eastAsiaTheme="minorEastAsia" w:hAnsiTheme="minorHAnsi" w:cstheme="minorBidi"/>
              <w:noProof/>
              <w:lang w:eastAsia="en-GB"/>
            </w:rPr>
          </w:pPr>
          <w:hyperlink w:anchor="_Toc117243499" w:history="1">
            <w:r w:rsidR="00B059DF" w:rsidRPr="00C46020">
              <w:rPr>
                <w:rStyle w:val="Hyperlink"/>
                <w:rFonts w:cs="Arial"/>
                <w:noProof/>
              </w:rPr>
              <w:t>Prescribing data used in these comparators</w:t>
            </w:r>
            <w:r w:rsidR="00B059DF">
              <w:rPr>
                <w:noProof/>
                <w:webHidden/>
              </w:rPr>
              <w:tab/>
            </w:r>
            <w:r w:rsidR="00B059DF">
              <w:rPr>
                <w:noProof/>
                <w:webHidden/>
              </w:rPr>
              <w:fldChar w:fldCharType="begin"/>
            </w:r>
            <w:r w:rsidR="00B059DF">
              <w:rPr>
                <w:noProof/>
                <w:webHidden/>
              </w:rPr>
              <w:instrText xml:space="preserve"> PAGEREF _Toc117243499 \h </w:instrText>
            </w:r>
            <w:r w:rsidR="00B059DF">
              <w:rPr>
                <w:noProof/>
                <w:webHidden/>
              </w:rPr>
            </w:r>
            <w:r w:rsidR="00B059DF">
              <w:rPr>
                <w:noProof/>
                <w:webHidden/>
              </w:rPr>
              <w:fldChar w:fldCharType="separate"/>
            </w:r>
            <w:r w:rsidR="00B059DF">
              <w:rPr>
                <w:noProof/>
                <w:webHidden/>
              </w:rPr>
              <w:t>4</w:t>
            </w:r>
            <w:r w:rsidR="00B059DF">
              <w:rPr>
                <w:noProof/>
                <w:webHidden/>
              </w:rPr>
              <w:fldChar w:fldCharType="end"/>
            </w:r>
          </w:hyperlink>
        </w:p>
        <w:p w14:paraId="194E0A0D" w14:textId="308AA7DB" w:rsidR="00B059DF" w:rsidRDefault="00AB662C">
          <w:pPr>
            <w:pStyle w:val="TOC1"/>
            <w:tabs>
              <w:tab w:val="right" w:leader="dot" w:pos="9628"/>
            </w:tabs>
            <w:rPr>
              <w:rFonts w:asciiTheme="minorHAnsi" w:eastAsiaTheme="minorEastAsia" w:hAnsiTheme="minorHAnsi" w:cstheme="minorBidi"/>
              <w:noProof/>
              <w:lang w:eastAsia="en-GB"/>
            </w:rPr>
          </w:pPr>
          <w:hyperlink w:anchor="_Toc117243500" w:history="1">
            <w:r w:rsidR="00B059DF" w:rsidRPr="00C46020">
              <w:rPr>
                <w:rStyle w:val="Hyperlink"/>
                <w:rFonts w:cs="Arial"/>
                <w:noProof/>
              </w:rPr>
              <w:t>How to use these comparators</w:t>
            </w:r>
            <w:r w:rsidR="00B059DF">
              <w:rPr>
                <w:noProof/>
                <w:webHidden/>
              </w:rPr>
              <w:tab/>
            </w:r>
            <w:r w:rsidR="00B059DF">
              <w:rPr>
                <w:noProof/>
                <w:webHidden/>
              </w:rPr>
              <w:fldChar w:fldCharType="begin"/>
            </w:r>
            <w:r w:rsidR="00B059DF">
              <w:rPr>
                <w:noProof/>
                <w:webHidden/>
              </w:rPr>
              <w:instrText xml:space="preserve"> PAGEREF _Toc117243500 \h </w:instrText>
            </w:r>
            <w:r w:rsidR="00B059DF">
              <w:rPr>
                <w:noProof/>
                <w:webHidden/>
              </w:rPr>
            </w:r>
            <w:r w:rsidR="00B059DF">
              <w:rPr>
                <w:noProof/>
                <w:webHidden/>
              </w:rPr>
              <w:fldChar w:fldCharType="separate"/>
            </w:r>
            <w:r w:rsidR="00B059DF">
              <w:rPr>
                <w:noProof/>
                <w:webHidden/>
              </w:rPr>
              <w:t>5</w:t>
            </w:r>
            <w:r w:rsidR="00B059DF">
              <w:rPr>
                <w:noProof/>
                <w:webHidden/>
              </w:rPr>
              <w:fldChar w:fldCharType="end"/>
            </w:r>
          </w:hyperlink>
        </w:p>
        <w:p w14:paraId="61E44546" w14:textId="32719BC4" w:rsidR="00B059DF" w:rsidRDefault="00AB662C">
          <w:pPr>
            <w:pStyle w:val="TOC1"/>
            <w:tabs>
              <w:tab w:val="right" w:leader="dot" w:pos="9628"/>
            </w:tabs>
            <w:rPr>
              <w:rFonts w:asciiTheme="minorHAnsi" w:eastAsiaTheme="minorEastAsia" w:hAnsiTheme="minorHAnsi" w:cstheme="minorBidi"/>
              <w:noProof/>
              <w:lang w:eastAsia="en-GB"/>
            </w:rPr>
          </w:pPr>
          <w:hyperlink w:anchor="_Toc117243501" w:history="1">
            <w:r w:rsidR="00B059DF" w:rsidRPr="00C46020">
              <w:rPr>
                <w:rStyle w:val="Hyperlink"/>
                <w:rFonts w:cs="Arial"/>
                <w:noProof/>
              </w:rPr>
              <w:t>Data owner &amp; contact details:</w:t>
            </w:r>
            <w:r w:rsidR="00B059DF">
              <w:rPr>
                <w:noProof/>
                <w:webHidden/>
              </w:rPr>
              <w:tab/>
            </w:r>
            <w:r w:rsidR="00B059DF">
              <w:rPr>
                <w:noProof/>
                <w:webHidden/>
              </w:rPr>
              <w:fldChar w:fldCharType="begin"/>
            </w:r>
            <w:r w:rsidR="00B059DF">
              <w:rPr>
                <w:noProof/>
                <w:webHidden/>
              </w:rPr>
              <w:instrText xml:space="preserve"> PAGEREF _Toc117243501 \h </w:instrText>
            </w:r>
            <w:r w:rsidR="00B059DF">
              <w:rPr>
                <w:noProof/>
                <w:webHidden/>
              </w:rPr>
            </w:r>
            <w:r w:rsidR="00B059DF">
              <w:rPr>
                <w:noProof/>
                <w:webHidden/>
              </w:rPr>
              <w:fldChar w:fldCharType="separate"/>
            </w:r>
            <w:r w:rsidR="00B059DF">
              <w:rPr>
                <w:noProof/>
                <w:webHidden/>
              </w:rPr>
              <w:t>5</w:t>
            </w:r>
            <w:r w:rsidR="00B059DF">
              <w:rPr>
                <w:noProof/>
                <w:webHidden/>
              </w:rPr>
              <w:fldChar w:fldCharType="end"/>
            </w:r>
          </w:hyperlink>
        </w:p>
        <w:p w14:paraId="0D42833F" w14:textId="2CE5F8CE" w:rsidR="00B059DF" w:rsidRDefault="00AB662C">
          <w:pPr>
            <w:pStyle w:val="TOC1"/>
            <w:tabs>
              <w:tab w:val="right" w:leader="dot" w:pos="9628"/>
            </w:tabs>
            <w:rPr>
              <w:rFonts w:asciiTheme="minorHAnsi" w:eastAsiaTheme="minorEastAsia" w:hAnsiTheme="minorHAnsi" w:cstheme="minorBidi"/>
              <w:noProof/>
              <w:lang w:eastAsia="en-GB"/>
            </w:rPr>
          </w:pPr>
          <w:hyperlink w:anchor="_Toc117243502" w:history="1">
            <w:r w:rsidR="00B059DF" w:rsidRPr="00C46020">
              <w:rPr>
                <w:rStyle w:val="Hyperlink"/>
                <w:rFonts w:cs="Arial"/>
                <w:noProof/>
              </w:rPr>
              <w:t>Time Frame:</w:t>
            </w:r>
            <w:r w:rsidR="00B059DF">
              <w:rPr>
                <w:noProof/>
                <w:webHidden/>
              </w:rPr>
              <w:tab/>
            </w:r>
            <w:r w:rsidR="00B059DF">
              <w:rPr>
                <w:noProof/>
                <w:webHidden/>
              </w:rPr>
              <w:fldChar w:fldCharType="begin"/>
            </w:r>
            <w:r w:rsidR="00B059DF">
              <w:rPr>
                <w:noProof/>
                <w:webHidden/>
              </w:rPr>
              <w:instrText xml:space="preserve"> PAGEREF _Toc117243502 \h </w:instrText>
            </w:r>
            <w:r w:rsidR="00B059DF">
              <w:rPr>
                <w:noProof/>
                <w:webHidden/>
              </w:rPr>
            </w:r>
            <w:r w:rsidR="00B059DF">
              <w:rPr>
                <w:noProof/>
                <w:webHidden/>
              </w:rPr>
              <w:fldChar w:fldCharType="separate"/>
            </w:r>
            <w:r w:rsidR="00B059DF">
              <w:rPr>
                <w:noProof/>
                <w:webHidden/>
              </w:rPr>
              <w:t>5</w:t>
            </w:r>
            <w:r w:rsidR="00B059DF">
              <w:rPr>
                <w:noProof/>
                <w:webHidden/>
              </w:rPr>
              <w:fldChar w:fldCharType="end"/>
            </w:r>
          </w:hyperlink>
        </w:p>
        <w:p w14:paraId="4BB1C22E" w14:textId="4DB2ACA3" w:rsidR="00B059DF" w:rsidRDefault="00AB662C">
          <w:pPr>
            <w:pStyle w:val="TOC1"/>
            <w:tabs>
              <w:tab w:val="right" w:leader="dot" w:pos="9628"/>
            </w:tabs>
            <w:rPr>
              <w:rFonts w:asciiTheme="minorHAnsi" w:eastAsiaTheme="minorEastAsia" w:hAnsiTheme="minorHAnsi" w:cstheme="minorBidi"/>
              <w:noProof/>
              <w:lang w:eastAsia="en-GB"/>
            </w:rPr>
          </w:pPr>
          <w:hyperlink w:anchor="_Toc117243503" w:history="1">
            <w:r w:rsidR="00B059DF" w:rsidRPr="00C46020">
              <w:rPr>
                <w:rStyle w:val="Hyperlink"/>
                <w:rFonts w:cs="Arial"/>
                <w:noProof/>
              </w:rPr>
              <w:t>Data quality assurance</w:t>
            </w:r>
            <w:r w:rsidR="00B059DF">
              <w:rPr>
                <w:noProof/>
                <w:webHidden/>
              </w:rPr>
              <w:tab/>
            </w:r>
            <w:r w:rsidR="00B059DF">
              <w:rPr>
                <w:noProof/>
                <w:webHidden/>
              </w:rPr>
              <w:fldChar w:fldCharType="begin"/>
            </w:r>
            <w:r w:rsidR="00B059DF">
              <w:rPr>
                <w:noProof/>
                <w:webHidden/>
              </w:rPr>
              <w:instrText xml:space="preserve"> PAGEREF _Toc117243503 \h </w:instrText>
            </w:r>
            <w:r w:rsidR="00B059DF">
              <w:rPr>
                <w:noProof/>
                <w:webHidden/>
              </w:rPr>
            </w:r>
            <w:r w:rsidR="00B059DF">
              <w:rPr>
                <w:noProof/>
                <w:webHidden/>
              </w:rPr>
              <w:fldChar w:fldCharType="separate"/>
            </w:r>
            <w:r w:rsidR="00B059DF">
              <w:rPr>
                <w:noProof/>
                <w:webHidden/>
              </w:rPr>
              <w:t>5</w:t>
            </w:r>
            <w:r w:rsidR="00B059DF">
              <w:rPr>
                <w:noProof/>
                <w:webHidden/>
              </w:rPr>
              <w:fldChar w:fldCharType="end"/>
            </w:r>
          </w:hyperlink>
        </w:p>
        <w:p w14:paraId="7D7344AF" w14:textId="62EE1AEF" w:rsidR="00B059DF" w:rsidRDefault="00AB662C">
          <w:pPr>
            <w:pStyle w:val="TOC1"/>
            <w:tabs>
              <w:tab w:val="right" w:leader="dot" w:pos="9628"/>
            </w:tabs>
            <w:rPr>
              <w:rFonts w:asciiTheme="minorHAnsi" w:eastAsiaTheme="minorEastAsia" w:hAnsiTheme="minorHAnsi" w:cstheme="minorBidi"/>
              <w:noProof/>
              <w:lang w:eastAsia="en-GB"/>
            </w:rPr>
          </w:pPr>
          <w:hyperlink w:anchor="_Toc117243504" w:history="1">
            <w:r w:rsidR="00B059DF" w:rsidRPr="00C46020">
              <w:rPr>
                <w:rStyle w:val="Hyperlink"/>
                <w:rFonts w:cs="Arial"/>
                <w:noProof/>
              </w:rPr>
              <w:t>Comparator Specifications</w:t>
            </w:r>
            <w:r w:rsidR="00B059DF">
              <w:rPr>
                <w:noProof/>
                <w:webHidden/>
              </w:rPr>
              <w:tab/>
            </w:r>
            <w:r w:rsidR="00B059DF">
              <w:rPr>
                <w:noProof/>
                <w:webHidden/>
              </w:rPr>
              <w:fldChar w:fldCharType="begin"/>
            </w:r>
            <w:r w:rsidR="00B059DF">
              <w:rPr>
                <w:noProof/>
                <w:webHidden/>
              </w:rPr>
              <w:instrText xml:space="preserve"> PAGEREF _Toc117243504 \h </w:instrText>
            </w:r>
            <w:r w:rsidR="00B059DF">
              <w:rPr>
                <w:noProof/>
                <w:webHidden/>
              </w:rPr>
            </w:r>
            <w:r w:rsidR="00B059DF">
              <w:rPr>
                <w:noProof/>
                <w:webHidden/>
              </w:rPr>
              <w:fldChar w:fldCharType="separate"/>
            </w:r>
            <w:r w:rsidR="00B059DF">
              <w:rPr>
                <w:noProof/>
                <w:webHidden/>
              </w:rPr>
              <w:t>6</w:t>
            </w:r>
            <w:r w:rsidR="00B059DF">
              <w:rPr>
                <w:noProof/>
                <w:webHidden/>
              </w:rPr>
              <w:fldChar w:fldCharType="end"/>
            </w:r>
          </w:hyperlink>
        </w:p>
        <w:p w14:paraId="4A1EF5F2" w14:textId="21434919" w:rsidR="00B059DF" w:rsidRDefault="00AB662C">
          <w:pPr>
            <w:pStyle w:val="TOC1"/>
            <w:tabs>
              <w:tab w:val="right" w:leader="dot" w:pos="9628"/>
            </w:tabs>
            <w:rPr>
              <w:rFonts w:asciiTheme="minorHAnsi" w:eastAsiaTheme="minorEastAsia" w:hAnsiTheme="minorHAnsi" w:cstheme="minorBidi"/>
              <w:noProof/>
              <w:lang w:eastAsia="en-GB"/>
            </w:rPr>
          </w:pPr>
          <w:hyperlink w:anchor="_Toc117243505" w:history="1">
            <w:r w:rsidR="00B059DF" w:rsidRPr="00C46020">
              <w:rPr>
                <w:rStyle w:val="Hyperlink"/>
                <w:noProof/>
              </w:rPr>
              <w:t>Working Group</w:t>
            </w:r>
            <w:r w:rsidR="00B059DF">
              <w:rPr>
                <w:noProof/>
                <w:webHidden/>
              </w:rPr>
              <w:tab/>
            </w:r>
            <w:r w:rsidR="00B059DF">
              <w:rPr>
                <w:noProof/>
                <w:webHidden/>
              </w:rPr>
              <w:fldChar w:fldCharType="begin"/>
            </w:r>
            <w:r w:rsidR="00B059DF">
              <w:rPr>
                <w:noProof/>
                <w:webHidden/>
              </w:rPr>
              <w:instrText xml:space="preserve"> PAGEREF _Toc117243505 \h </w:instrText>
            </w:r>
            <w:r w:rsidR="00B059DF">
              <w:rPr>
                <w:noProof/>
                <w:webHidden/>
              </w:rPr>
            </w:r>
            <w:r w:rsidR="00B059DF">
              <w:rPr>
                <w:noProof/>
                <w:webHidden/>
              </w:rPr>
              <w:fldChar w:fldCharType="separate"/>
            </w:r>
            <w:r w:rsidR="00B059DF">
              <w:rPr>
                <w:noProof/>
                <w:webHidden/>
              </w:rPr>
              <w:t>11</w:t>
            </w:r>
            <w:r w:rsidR="00B059DF">
              <w:rPr>
                <w:noProof/>
                <w:webHidden/>
              </w:rPr>
              <w:fldChar w:fldCharType="end"/>
            </w:r>
          </w:hyperlink>
        </w:p>
        <w:p w14:paraId="20CE0EDF" w14:textId="0E8C91FB" w:rsidR="00B059DF" w:rsidRDefault="00AB662C">
          <w:pPr>
            <w:pStyle w:val="TOC1"/>
            <w:tabs>
              <w:tab w:val="right" w:leader="dot" w:pos="9628"/>
            </w:tabs>
            <w:rPr>
              <w:rFonts w:asciiTheme="minorHAnsi" w:eastAsiaTheme="minorEastAsia" w:hAnsiTheme="minorHAnsi" w:cstheme="minorBidi"/>
              <w:noProof/>
              <w:lang w:eastAsia="en-GB"/>
            </w:rPr>
          </w:pPr>
          <w:hyperlink w:anchor="_Toc117243506" w:history="1">
            <w:r w:rsidR="00B059DF" w:rsidRPr="00C46020">
              <w:rPr>
                <w:rStyle w:val="Hyperlink"/>
                <w:noProof/>
              </w:rPr>
              <w:t>References</w:t>
            </w:r>
            <w:r w:rsidR="00B059DF">
              <w:rPr>
                <w:noProof/>
                <w:webHidden/>
              </w:rPr>
              <w:tab/>
            </w:r>
            <w:r w:rsidR="00B059DF">
              <w:rPr>
                <w:noProof/>
                <w:webHidden/>
              </w:rPr>
              <w:fldChar w:fldCharType="begin"/>
            </w:r>
            <w:r w:rsidR="00B059DF">
              <w:rPr>
                <w:noProof/>
                <w:webHidden/>
              </w:rPr>
              <w:instrText xml:space="preserve"> PAGEREF _Toc117243506 \h </w:instrText>
            </w:r>
            <w:r w:rsidR="00B059DF">
              <w:rPr>
                <w:noProof/>
                <w:webHidden/>
              </w:rPr>
            </w:r>
            <w:r w:rsidR="00B059DF">
              <w:rPr>
                <w:noProof/>
                <w:webHidden/>
              </w:rPr>
              <w:fldChar w:fldCharType="separate"/>
            </w:r>
            <w:r w:rsidR="00B059DF">
              <w:rPr>
                <w:noProof/>
                <w:webHidden/>
              </w:rPr>
              <w:t>12</w:t>
            </w:r>
            <w:r w:rsidR="00B059DF">
              <w:rPr>
                <w:noProof/>
                <w:webHidden/>
              </w:rPr>
              <w:fldChar w:fldCharType="end"/>
            </w:r>
          </w:hyperlink>
        </w:p>
        <w:p w14:paraId="18341BC1" w14:textId="1C1D3F34" w:rsidR="00D9462D" w:rsidRPr="008E7AB8" w:rsidRDefault="00D9462D">
          <w:pPr>
            <w:rPr>
              <w:rFonts w:ascii="Arial" w:hAnsi="Arial" w:cs="Arial"/>
            </w:rPr>
          </w:pPr>
          <w:r w:rsidRPr="008E7AB8">
            <w:rPr>
              <w:rFonts w:ascii="Arial" w:hAnsi="Arial" w:cs="Arial"/>
              <w:b/>
              <w:bCs/>
              <w:noProof/>
            </w:rPr>
            <w:fldChar w:fldCharType="end"/>
          </w:r>
        </w:p>
      </w:sdtContent>
    </w:sdt>
    <w:p w14:paraId="7016B74D" w14:textId="35E42E9F" w:rsidR="00120B9B" w:rsidRPr="008E7AB8" w:rsidRDefault="00F35AB5" w:rsidP="008A139B">
      <w:pPr>
        <w:pStyle w:val="Heading1"/>
        <w:rPr>
          <w:rFonts w:cs="Arial"/>
        </w:rPr>
      </w:pPr>
      <w:r w:rsidRPr="008E7AB8">
        <w:rPr>
          <w:rFonts w:cs="Arial"/>
        </w:rPr>
        <w:br w:type="page"/>
      </w:r>
      <w:bookmarkStart w:id="4" w:name="_Toc105489171"/>
      <w:bookmarkStart w:id="5" w:name="_Toc117243496"/>
      <w:r w:rsidR="00120B9B" w:rsidRPr="008E7AB8">
        <w:rPr>
          <w:rFonts w:cs="Arial"/>
        </w:rPr>
        <w:lastRenderedPageBreak/>
        <w:t>Background</w:t>
      </w:r>
      <w:bookmarkEnd w:id="3"/>
      <w:bookmarkEnd w:id="2"/>
      <w:bookmarkEnd w:id="1"/>
      <w:bookmarkEnd w:id="0"/>
      <w:bookmarkEnd w:id="4"/>
      <w:bookmarkEnd w:id="5"/>
    </w:p>
    <w:p w14:paraId="3282F9B6" w14:textId="726FD234" w:rsidR="00F26409" w:rsidRPr="008E7AB8" w:rsidRDefault="00F26409" w:rsidP="00F26409">
      <w:pPr>
        <w:rPr>
          <w:rFonts w:ascii="Arial" w:hAnsi="Arial" w:cs="Arial"/>
        </w:rPr>
      </w:pPr>
    </w:p>
    <w:p w14:paraId="08351DAF" w14:textId="3662D17B" w:rsidR="000873A1" w:rsidRDefault="000873A1" w:rsidP="000873A1">
      <w:pPr>
        <w:rPr>
          <w:rFonts w:ascii="Arial" w:hAnsi="Arial" w:cs="Arial"/>
        </w:rPr>
      </w:pPr>
      <w:bookmarkStart w:id="6" w:name="_Toc473297127"/>
      <w:bookmarkStart w:id="7" w:name="_Toc473635660"/>
      <w:bookmarkStart w:id="8" w:name="_Toc473636474"/>
      <w:bookmarkStart w:id="9" w:name="_Toc474398575"/>
      <w:bookmarkStart w:id="10" w:name="_Toc475027474"/>
      <w:r w:rsidRPr="008E7AB8">
        <w:rPr>
          <w:rFonts w:ascii="Arial" w:hAnsi="Arial" w:cs="Arial"/>
        </w:rPr>
        <w:t>Liquid medicines are commonly prescribed for children.  For many drugs, there is a range of different concentrations of liquid available, leading to the potential for dosing errors if the concentration is changed and parents and carers do not adjust the volume to be given accordingly.  Although unlicensed liquid “specials” are the most variable in terms of the range of concentrations available, there are also a significant number of drugs for which there are a range of licensed liquid concentrations in use.</w:t>
      </w:r>
    </w:p>
    <w:p w14:paraId="080B2A5D" w14:textId="77777777" w:rsidR="0026147E" w:rsidRPr="008E7AB8" w:rsidRDefault="0026147E" w:rsidP="000873A1">
      <w:pPr>
        <w:rPr>
          <w:rFonts w:ascii="Arial" w:hAnsi="Arial" w:cs="Arial"/>
        </w:rPr>
      </w:pPr>
    </w:p>
    <w:p w14:paraId="088978E7" w14:textId="2F64DA9F" w:rsidR="000873A1" w:rsidRDefault="000873A1" w:rsidP="000873A1">
      <w:pPr>
        <w:rPr>
          <w:rFonts w:ascii="Arial" w:hAnsi="Arial" w:cs="Arial"/>
        </w:rPr>
      </w:pPr>
      <w:r w:rsidRPr="008E7AB8">
        <w:rPr>
          <w:rFonts w:ascii="Arial" w:hAnsi="Arial" w:cs="Arial"/>
        </w:rPr>
        <w:t>Dosing errors arising from inadvertent switching between liquid concentrations or planned switches being incorrectly understood by parents and carers are reported in the literature and in the NHS National Learning and Reporting System (NRLS).</w:t>
      </w:r>
    </w:p>
    <w:p w14:paraId="4B23DF60" w14:textId="77777777" w:rsidR="0026147E" w:rsidRPr="008E7AB8" w:rsidRDefault="0026147E" w:rsidP="000873A1">
      <w:pPr>
        <w:rPr>
          <w:rFonts w:ascii="Arial" w:hAnsi="Arial" w:cs="Arial"/>
        </w:rPr>
      </w:pPr>
    </w:p>
    <w:p w14:paraId="39022E93" w14:textId="3A3D4901" w:rsidR="000873A1" w:rsidRDefault="000873A1" w:rsidP="000873A1">
      <w:pPr>
        <w:rPr>
          <w:rFonts w:ascii="Arial" w:hAnsi="Arial" w:cs="Arial"/>
        </w:rPr>
      </w:pPr>
      <w:r w:rsidRPr="008E7AB8">
        <w:rPr>
          <w:rFonts w:ascii="Arial" w:hAnsi="Arial" w:cs="Arial"/>
        </w:rPr>
        <w:t xml:space="preserve">With the aim of improving patient safety, the UK Neonatal and Paediatric Pharmacists Group (NPPG) and the Royal College of Paediatrics and Child Health (RCPCH) have published a </w:t>
      </w:r>
      <w:hyperlink r:id="rId12" w:history="1">
        <w:r w:rsidRPr="008E7AB8">
          <w:rPr>
            <w:rStyle w:val="Hyperlink"/>
            <w:rFonts w:ascii="Arial" w:hAnsi="Arial" w:cs="Arial"/>
          </w:rPr>
          <w:t>national list of recommended concentrations for a range of oral drugs commonly prescribed as liquid formulations</w:t>
        </w:r>
      </w:hyperlink>
      <w:r w:rsidRPr="008E7AB8">
        <w:rPr>
          <w:rFonts w:ascii="Arial" w:hAnsi="Arial" w:cs="Arial"/>
        </w:rPr>
        <w:t>.  This document, first published in 2018, focuses on drugs for which there isn’t a licensed liquid product available.  However, it is planned that the list will expand during 2022 and 2023 to include recommended concentrations for licensed products as well as an extended range of unlicensed products.</w:t>
      </w:r>
    </w:p>
    <w:p w14:paraId="5C26911D" w14:textId="77777777" w:rsidR="0026147E" w:rsidRPr="008E7AB8" w:rsidRDefault="0026147E" w:rsidP="000873A1">
      <w:pPr>
        <w:rPr>
          <w:rFonts w:ascii="Arial" w:hAnsi="Arial" w:cs="Arial"/>
        </w:rPr>
      </w:pPr>
    </w:p>
    <w:p w14:paraId="0A09884F" w14:textId="77777777" w:rsidR="004C11F0" w:rsidRPr="008E7AB8" w:rsidRDefault="004C11F0" w:rsidP="008A139B">
      <w:pPr>
        <w:pStyle w:val="Heading1"/>
        <w:rPr>
          <w:rFonts w:cs="Arial"/>
        </w:rPr>
      </w:pPr>
      <w:bookmarkStart w:id="11" w:name="_Toc105489172"/>
      <w:bookmarkStart w:id="12" w:name="_Toc117243497"/>
      <w:r w:rsidRPr="008E7AB8">
        <w:rPr>
          <w:rFonts w:cs="Arial"/>
        </w:rPr>
        <w:t>Purpose</w:t>
      </w:r>
      <w:bookmarkEnd w:id="6"/>
      <w:bookmarkEnd w:id="7"/>
      <w:bookmarkEnd w:id="8"/>
      <w:bookmarkEnd w:id="9"/>
      <w:bookmarkEnd w:id="10"/>
      <w:bookmarkEnd w:id="11"/>
      <w:bookmarkEnd w:id="12"/>
      <w:r w:rsidRPr="008E7AB8">
        <w:rPr>
          <w:rFonts w:cs="Arial"/>
        </w:rPr>
        <w:t xml:space="preserve"> </w:t>
      </w:r>
    </w:p>
    <w:p w14:paraId="2ABEF254" w14:textId="77777777" w:rsidR="00F26409" w:rsidRPr="008E7AB8" w:rsidRDefault="00F26409" w:rsidP="00F26409">
      <w:pPr>
        <w:rPr>
          <w:rFonts w:ascii="Arial" w:hAnsi="Arial" w:cs="Arial"/>
        </w:rPr>
      </w:pPr>
    </w:p>
    <w:p w14:paraId="1A65A3B1" w14:textId="25A274A4" w:rsidR="00EF56E4" w:rsidRPr="008E7AB8" w:rsidRDefault="00EF56E4" w:rsidP="00EF56E4">
      <w:pPr>
        <w:rPr>
          <w:rFonts w:ascii="Arial" w:hAnsi="Arial" w:cs="Arial"/>
        </w:rPr>
      </w:pPr>
      <w:bookmarkStart w:id="13" w:name="_Toc473297128"/>
      <w:bookmarkStart w:id="14" w:name="_Toc473635661"/>
      <w:bookmarkStart w:id="15" w:name="_Toc473636475"/>
      <w:bookmarkStart w:id="16" w:name="_Toc474398576"/>
      <w:bookmarkStart w:id="17" w:name="_Toc475027475"/>
      <w:r w:rsidRPr="008E7AB8">
        <w:rPr>
          <w:rFonts w:ascii="Arial" w:hAnsi="Arial" w:cs="Arial"/>
        </w:rPr>
        <w:t xml:space="preserve">This dashboard will enable staff working in Primary Care to determine the extent to which liquid medicines prescribed for patients under the age of 18 follow the nationally recommended concentration for each drug.  This will help prescribers, prescribing advisors and other members of the team identify patients on non-standard concentrations and review them with a view to switching to the national standard where appropriate.  It will also help describe variations in prescribing at a practice, PCN and </w:t>
      </w:r>
      <w:r w:rsidR="0008014E" w:rsidRPr="008E7AB8">
        <w:rPr>
          <w:rFonts w:ascii="Arial" w:hAnsi="Arial" w:cs="Arial"/>
        </w:rPr>
        <w:t>SICBL</w:t>
      </w:r>
      <w:r w:rsidRPr="008E7AB8">
        <w:rPr>
          <w:rFonts w:ascii="Arial" w:hAnsi="Arial" w:cs="Arial"/>
        </w:rPr>
        <w:t xml:space="preserve"> level and identify areas of focus.</w:t>
      </w:r>
    </w:p>
    <w:p w14:paraId="4845860E" w14:textId="77777777" w:rsidR="00EF56E4" w:rsidRPr="008E7AB8" w:rsidRDefault="00EF56E4" w:rsidP="00EF56E4">
      <w:pPr>
        <w:rPr>
          <w:rFonts w:ascii="Arial" w:hAnsi="Arial" w:cs="Arial"/>
        </w:rPr>
      </w:pPr>
    </w:p>
    <w:p w14:paraId="2E34AF3D" w14:textId="77777777" w:rsidR="00EF56E4" w:rsidRPr="008E7AB8" w:rsidRDefault="00EF56E4" w:rsidP="00EF56E4">
      <w:pPr>
        <w:rPr>
          <w:rFonts w:ascii="Arial" w:hAnsi="Arial" w:cs="Arial"/>
        </w:rPr>
      </w:pPr>
      <w:r w:rsidRPr="008E7AB8">
        <w:rPr>
          <w:rFonts w:ascii="Arial" w:hAnsi="Arial" w:cs="Arial"/>
        </w:rPr>
        <w:t>The dashboard will be updated to include additional drugs as the national NPPG/RCPCH list is extended.</w:t>
      </w:r>
    </w:p>
    <w:p w14:paraId="36337D12" w14:textId="5788E189" w:rsidR="00FF14C1" w:rsidRPr="008E7AB8" w:rsidRDefault="00FF14C1">
      <w:pPr>
        <w:spacing w:after="0" w:line="240" w:lineRule="auto"/>
        <w:rPr>
          <w:rFonts w:ascii="Arial" w:hAnsi="Arial" w:cs="Arial"/>
          <w:i/>
          <w:iCs/>
        </w:rPr>
      </w:pPr>
      <w:r w:rsidRPr="008E7AB8">
        <w:rPr>
          <w:rFonts w:ascii="Arial" w:hAnsi="Arial" w:cs="Arial"/>
          <w:i/>
          <w:iCs/>
        </w:rPr>
        <w:br w:type="page"/>
      </w:r>
    </w:p>
    <w:p w14:paraId="43A595E7" w14:textId="77777777" w:rsidR="00036AB8" w:rsidRPr="008E7AB8" w:rsidRDefault="0070674E" w:rsidP="008A139B">
      <w:pPr>
        <w:pStyle w:val="Heading1"/>
        <w:rPr>
          <w:rFonts w:cs="Arial"/>
        </w:rPr>
      </w:pPr>
      <w:bookmarkStart w:id="18" w:name="_Toc473297129"/>
      <w:bookmarkStart w:id="19" w:name="_Toc473635662"/>
      <w:bookmarkStart w:id="20" w:name="_Toc473636476"/>
      <w:bookmarkStart w:id="21" w:name="_Toc474398577"/>
      <w:bookmarkStart w:id="22" w:name="_Toc475027476"/>
      <w:bookmarkStart w:id="23" w:name="_Toc105489174"/>
      <w:bookmarkStart w:id="24" w:name="_Toc117243498"/>
      <w:bookmarkEnd w:id="13"/>
      <w:bookmarkEnd w:id="14"/>
      <w:bookmarkEnd w:id="15"/>
      <w:bookmarkEnd w:id="16"/>
      <w:bookmarkEnd w:id="17"/>
      <w:r w:rsidRPr="008E7AB8">
        <w:rPr>
          <w:rFonts w:cs="Arial"/>
        </w:rPr>
        <w:lastRenderedPageBreak/>
        <w:t>Table 1: List of comparators</w:t>
      </w:r>
      <w:bookmarkEnd w:id="18"/>
      <w:bookmarkEnd w:id="19"/>
      <w:bookmarkEnd w:id="20"/>
      <w:bookmarkEnd w:id="21"/>
      <w:bookmarkEnd w:id="22"/>
      <w:bookmarkEnd w:id="23"/>
      <w:bookmarkEnd w:id="24"/>
    </w:p>
    <w:p w14:paraId="4274A8B8" w14:textId="77777777" w:rsidR="0070674E" w:rsidRPr="008E7AB8" w:rsidRDefault="0070674E" w:rsidP="00A608EC">
      <w:pPr>
        <w:widowControl w:val="0"/>
        <w:autoSpaceDE w:val="0"/>
        <w:autoSpaceDN w:val="0"/>
        <w:adjustRightInd w:val="0"/>
        <w:spacing w:after="0" w:line="240" w:lineRule="auto"/>
        <w:rPr>
          <w:rFonts w:ascii="Arial"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656CC" w:rsidRPr="008E7AB8" w14:paraId="1B7BD1E8" w14:textId="77777777" w:rsidTr="001167B2">
        <w:tc>
          <w:tcPr>
            <w:tcW w:w="9628" w:type="dxa"/>
            <w:shd w:val="clear" w:color="auto" w:fill="auto"/>
          </w:tcPr>
          <w:p w14:paraId="1079609B" w14:textId="77777777" w:rsidR="00C656CC" w:rsidRPr="008E7AB8" w:rsidRDefault="00C656CC" w:rsidP="00120B9B">
            <w:pPr>
              <w:widowControl w:val="0"/>
              <w:autoSpaceDE w:val="0"/>
              <w:autoSpaceDN w:val="0"/>
              <w:adjustRightInd w:val="0"/>
              <w:spacing w:after="0" w:line="240" w:lineRule="auto"/>
              <w:rPr>
                <w:rFonts w:ascii="Arial" w:hAnsi="Arial" w:cs="Arial"/>
                <w:b/>
                <w:lang w:eastAsia="en-GB"/>
              </w:rPr>
            </w:pPr>
            <w:r w:rsidRPr="008E7AB8">
              <w:rPr>
                <w:rFonts w:ascii="Arial" w:hAnsi="Arial" w:cs="Arial"/>
                <w:b/>
                <w:lang w:eastAsia="en-GB"/>
              </w:rPr>
              <w:t>Comparator Title</w:t>
            </w:r>
          </w:p>
        </w:tc>
      </w:tr>
      <w:tr w:rsidR="00C656CC" w:rsidRPr="008E7AB8" w14:paraId="780E44AC" w14:textId="77777777" w:rsidTr="001167B2">
        <w:tc>
          <w:tcPr>
            <w:tcW w:w="9628" w:type="dxa"/>
            <w:shd w:val="clear" w:color="auto" w:fill="auto"/>
          </w:tcPr>
          <w:p w14:paraId="78308293" w14:textId="57BDE9FD" w:rsidR="00C656CC" w:rsidRPr="008E7AB8" w:rsidRDefault="006E79BA" w:rsidP="00CF2715">
            <w:pPr>
              <w:widowControl w:val="0"/>
              <w:tabs>
                <w:tab w:val="left" w:pos="1139"/>
              </w:tabs>
              <w:autoSpaceDE w:val="0"/>
              <w:autoSpaceDN w:val="0"/>
              <w:adjustRightInd w:val="0"/>
              <w:spacing w:after="0" w:line="240" w:lineRule="auto"/>
              <w:rPr>
                <w:rFonts w:ascii="Arial" w:hAnsi="Arial" w:cs="Arial"/>
                <w:lang w:eastAsia="en-GB"/>
              </w:rPr>
            </w:pPr>
            <w:r w:rsidRPr="008E7AB8">
              <w:rPr>
                <w:rFonts w:ascii="Arial" w:hAnsi="Arial" w:cs="Arial"/>
                <w:lang w:eastAsia="en-GB"/>
              </w:rPr>
              <w:t>Percentage of items prescribed at standard strength</w:t>
            </w:r>
          </w:p>
        </w:tc>
      </w:tr>
      <w:tr w:rsidR="00C656CC" w:rsidRPr="008E7AB8" w14:paraId="4261742A" w14:textId="77777777" w:rsidTr="001167B2">
        <w:tc>
          <w:tcPr>
            <w:tcW w:w="9628" w:type="dxa"/>
            <w:shd w:val="clear" w:color="auto" w:fill="auto"/>
          </w:tcPr>
          <w:p w14:paraId="566D83AD" w14:textId="582DA770" w:rsidR="00C656CC" w:rsidRPr="008E7AB8" w:rsidRDefault="006D1D08" w:rsidP="00120B9B">
            <w:pPr>
              <w:widowControl w:val="0"/>
              <w:autoSpaceDE w:val="0"/>
              <w:autoSpaceDN w:val="0"/>
              <w:adjustRightInd w:val="0"/>
              <w:spacing w:after="0" w:line="240" w:lineRule="auto"/>
              <w:rPr>
                <w:rFonts w:ascii="Arial" w:hAnsi="Arial" w:cs="Arial"/>
                <w:lang w:eastAsia="en-GB"/>
              </w:rPr>
            </w:pPr>
            <w:r w:rsidRPr="008E7AB8">
              <w:rPr>
                <w:rFonts w:ascii="Arial" w:hAnsi="Arial" w:cs="Arial"/>
                <w:lang w:eastAsia="en-GB"/>
              </w:rPr>
              <w:t>Percentage of NIC for standard strength Items</w:t>
            </w:r>
          </w:p>
        </w:tc>
      </w:tr>
      <w:tr w:rsidR="00C656CC" w:rsidRPr="008E7AB8" w14:paraId="67462342" w14:textId="77777777" w:rsidTr="001167B2">
        <w:trPr>
          <w:trHeight w:val="281"/>
        </w:trPr>
        <w:tc>
          <w:tcPr>
            <w:tcW w:w="9628" w:type="dxa"/>
            <w:shd w:val="clear" w:color="auto" w:fill="auto"/>
          </w:tcPr>
          <w:p w14:paraId="2FB253D0" w14:textId="79808833" w:rsidR="00C656CC" w:rsidRPr="008E7AB8" w:rsidRDefault="001167B2" w:rsidP="00120B9B">
            <w:pPr>
              <w:widowControl w:val="0"/>
              <w:autoSpaceDE w:val="0"/>
              <w:autoSpaceDN w:val="0"/>
              <w:adjustRightInd w:val="0"/>
              <w:spacing w:after="0" w:line="240" w:lineRule="auto"/>
              <w:rPr>
                <w:rFonts w:ascii="Arial" w:hAnsi="Arial" w:cs="Arial"/>
                <w:lang w:eastAsia="en-GB"/>
              </w:rPr>
            </w:pPr>
            <w:r w:rsidRPr="008E7AB8">
              <w:rPr>
                <w:rFonts w:ascii="Arial" w:hAnsi="Arial" w:cs="Arial"/>
                <w:lang w:eastAsia="en-GB"/>
              </w:rPr>
              <w:t>NIC per 1,000 patients in age group on registered List Size</w:t>
            </w:r>
          </w:p>
        </w:tc>
      </w:tr>
    </w:tbl>
    <w:p w14:paraId="16DEBDA6" w14:textId="77777777" w:rsidR="004C11F0" w:rsidRPr="008E7AB8" w:rsidRDefault="00953688" w:rsidP="008A139B">
      <w:pPr>
        <w:pStyle w:val="Heading1"/>
        <w:rPr>
          <w:rFonts w:cs="Arial"/>
        </w:rPr>
      </w:pPr>
      <w:bookmarkStart w:id="25" w:name="_Toc473297130"/>
      <w:bookmarkStart w:id="26" w:name="_Toc473635663"/>
      <w:bookmarkStart w:id="27" w:name="_Toc473636477"/>
      <w:bookmarkStart w:id="28" w:name="_Toc474398578"/>
      <w:bookmarkStart w:id="29" w:name="_Toc475027477"/>
      <w:bookmarkStart w:id="30" w:name="_Toc105489175"/>
      <w:bookmarkStart w:id="31" w:name="_Toc117243499"/>
      <w:r w:rsidRPr="008E7AB8">
        <w:rPr>
          <w:rFonts w:cs="Arial"/>
        </w:rPr>
        <w:t>Prescribing d</w:t>
      </w:r>
      <w:r w:rsidR="00CC00C9" w:rsidRPr="008E7AB8">
        <w:rPr>
          <w:rFonts w:cs="Arial"/>
        </w:rPr>
        <w:t>ata used</w:t>
      </w:r>
      <w:bookmarkEnd w:id="25"/>
      <w:bookmarkEnd w:id="26"/>
      <w:bookmarkEnd w:id="27"/>
      <w:r w:rsidRPr="008E7AB8">
        <w:rPr>
          <w:rFonts w:cs="Arial"/>
        </w:rPr>
        <w:t xml:space="preserve"> in these comparators</w:t>
      </w:r>
      <w:bookmarkEnd w:id="28"/>
      <w:bookmarkEnd w:id="29"/>
      <w:bookmarkEnd w:id="30"/>
      <w:bookmarkEnd w:id="31"/>
      <w:r w:rsidR="00F14685" w:rsidRPr="008E7AB8">
        <w:rPr>
          <w:rFonts w:cs="Arial"/>
        </w:rPr>
        <w:t xml:space="preserve"> </w:t>
      </w:r>
    </w:p>
    <w:p w14:paraId="7A1E4ADD" w14:textId="77777777" w:rsidR="00F26409" w:rsidRPr="008E7AB8" w:rsidRDefault="00F26409" w:rsidP="00F26409">
      <w:pPr>
        <w:spacing w:after="120"/>
        <w:rPr>
          <w:rFonts w:ascii="Arial" w:hAnsi="Arial" w:cs="Arial"/>
        </w:rPr>
      </w:pPr>
      <w:r w:rsidRPr="008E7AB8">
        <w:rPr>
          <w:rFonts w:ascii="Arial" w:hAnsi="Arial" w:cs="Arial"/>
        </w:rPr>
        <w:t>Users of these prescribing comparators must be aware of the following parameters:</w:t>
      </w:r>
    </w:p>
    <w:p w14:paraId="772AFE03" w14:textId="77777777" w:rsidR="003B3A82" w:rsidRPr="008E7AB8" w:rsidRDefault="003B3A82" w:rsidP="00F26409">
      <w:pPr>
        <w:spacing w:after="120"/>
        <w:rPr>
          <w:rFonts w:ascii="Arial" w:hAnsi="Arial" w:cs="Arial"/>
        </w:rPr>
      </w:pPr>
      <w:r w:rsidRPr="008E7AB8">
        <w:rPr>
          <w:rFonts w:ascii="Arial" w:hAnsi="Arial" w:cs="Arial"/>
        </w:rPr>
        <w:t>The data for these comparators</w:t>
      </w:r>
    </w:p>
    <w:p w14:paraId="61E500F0" w14:textId="24DD5650" w:rsidR="00AB211D" w:rsidRPr="008E7AB8" w:rsidRDefault="00F26409" w:rsidP="00AB211D">
      <w:pPr>
        <w:numPr>
          <w:ilvl w:val="0"/>
          <w:numId w:val="20"/>
        </w:numPr>
        <w:spacing w:after="120"/>
        <w:ind w:left="714" w:hanging="357"/>
        <w:rPr>
          <w:rFonts w:ascii="Arial" w:hAnsi="Arial" w:cs="Arial"/>
        </w:rPr>
      </w:pPr>
      <w:r w:rsidRPr="008E7AB8">
        <w:rPr>
          <w:rFonts w:ascii="Arial" w:hAnsi="Arial" w:cs="Arial"/>
        </w:rPr>
        <w:t xml:space="preserve">Covers items prescribed in primary care by practices and cost centres linked to </w:t>
      </w:r>
      <w:r w:rsidR="00F82D73" w:rsidRPr="008E7AB8">
        <w:rPr>
          <w:rFonts w:ascii="Arial" w:hAnsi="Arial" w:cs="Arial"/>
        </w:rPr>
        <w:t>SICBLs</w:t>
      </w:r>
      <w:r w:rsidRPr="008E7AB8">
        <w:rPr>
          <w:rFonts w:ascii="Arial" w:hAnsi="Arial" w:cs="Arial"/>
        </w:rPr>
        <w:t xml:space="preserve">. </w:t>
      </w:r>
      <w:r w:rsidR="00AB211D" w:rsidRPr="00A90E9C">
        <w:rPr>
          <w:rFonts w:ascii="Arial" w:hAnsi="Arial" w:cs="Arial"/>
        </w:rPr>
        <w:t xml:space="preserve">Please note prescriptions where no NHS number was </w:t>
      </w:r>
      <w:r w:rsidR="00806F86" w:rsidRPr="00A90E9C">
        <w:rPr>
          <w:rFonts w:ascii="Arial" w:hAnsi="Arial" w:cs="Arial"/>
        </w:rPr>
        <w:t xml:space="preserve">captured, or where no </w:t>
      </w:r>
      <w:r w:rsidR="00685B68" w:rsidRPr="00A90E9C">
        <w:rPr>
          <w:rFonts w:ascii="Arial" w:hAnsi="Arial" w:cs="Arial"/>
        </w:rPr>
        <w:t xml:space="preserve">PDS </w:t>
      </w:r>
      <w:r w:rsidR="00806F86" w:rsidRPr="00A90E9C">
        <w:rPr>
          <w:rFonts w:ascii="Arial" w:hAnsi="Arial" w:cs="Arial"/>
        </w:rPr>
        <w:t xml:space="preserve">DOB is held will be excluded. </w:t>
      </w:r>
    </w:p>
    <w:p w14:paraId="643C27B4" w14:textId="77777777" w:rsidR="0064147D" w:rsidRDefault="0064147D" w:rsidP="00CC3B7A">
      <w:pPr>
        <w:spacing w:after="120"/>
        <w:rPr>
          <w:rFonts w:ascii="Arial" w:hAnsi="Arial" w:cs="Arial"/>
        </w:rPr>
      </w:pPr>
    </w:p>
    <w:p w14:paraId="418F4C13" w14:textId="2FF1A463" w:rsidR="00E95FA5" w:rsidRPr="008E7AB8" w:rsidRDefault="00E95FA5" w:rsidP="00CC3B7A">
      <w:pPr>
        <w:spacing w:after="120"/>
        <w:rPr>
          <w:rFonts w:ascii="Arial" w:hAnsi="Arial" w:cs="Arial"/>
        </w:rPr>
      </w:pPr>
      <w:r w:rsidRPr="008E7AB8">
        <w:rPr>
          <w:rFonts w:ascii="Arial" w:hAnsi="Arial" w:cs="Arial"/>
        </w:rPr>
        <w:t>All data excludes:</w:t>
      </w:r>
    </w:p>
    <w:p w14:paraId="31664AC5" w14:textId="77777777" w:rsidR="00E95FA5" w:rsidRPr="008E7AB8" w:rsidRDefault="00E95FA5" w:rsidP="00CC3B7A">
      <w:pPr>
        <w:pStyle w:val="ListParagraph"/>
        <w:numPr>
          <w:ilvl w:val="0"/>
          <w:numId w:val="24"/>
        </w:numPr>
        <w:spacing w:after="120"/>
        <w:rPr>
          <w:rFonts w:ascii="Arial" w:hAnsi="Arial" w:cs="Arial"/>
        </w:rPr>
      </w:pPr>
      <w:r w:rsidRPr="008E7AB8">
        <w:rPr>
          <w:rFonts w:ascii="Arial" w:hAnsi="Arial" w:cs="Arial"/>
        </w:rPr>
        <w:t xml:space="preserve">Items not dispensed, disallowed and those returned to the contractor for further clarification. </w:t>
      </w:r>
    </w:p>
    <w:p w14:paraId="3C4F478D" w14:textId="77777777" w:rsidR="00E95FA5" w:rsidRPr="008E7AB8" w:rsidRDefault="00E95FA5" w:rsidP="00CC3B7A">
      <w:pPr>
        <w:pStyle w:val="ListParagraph"/>
        <w:numPr>
          <w:ilvl w:val="0"/>
          <w:numId w:val="24"/>
        </w:numPr>
        <w:spacing w:after="120"/>
        <w:rPr>
          <w:rFonts w:ascii="Arial" w:hAnsi="Arial" w:cs="Arial"/>
        </w:rPr>
      </w:pPr>
      <w:r w:rsidRPr="008E7AB8">
        <w:rPr>
          <w:rFonts w:ascii="Arial" w:hAnsi="Arial" w:cs="Arial"/>
        </w:rPr>
        <w:t>Prescriptions prescribed and dispensed in Prisons, Hospitals and Private prescriptions.</w:t>
      </w:r>
    </w:p>
    <w:p w14:paraId="4878B9D9" w14:textId="6D2BA222" w:rsidR="00E95FA5" w:rsidRPr="008E7AB8" w:rsidRDefault="00E95FA5" w:rsidP="00CC3B7A">
      <w:pPr>
        <w:pStyle w:val="ListParagraph"/>
        <w:numPr>
          <w:ilvl w:val="0"/>
          <w:numId w:val="24"/>
        </w:numPr>
        <w:spacing w:after="120"/>
        <w:rPr>
          <w:rFonts w:ascii="Arial" w:hAnsi="Arial" w:cs="Arial"/>
        </w:rPr>
      </w:pPr>
      <w:r w:rsidRPr="008E7AB8">
        <w:rPr>
          <w:rFonts w:ascii="Arial" w:hAnsi="Arial" w:cs="Arial"/>
        </w:rPr>
        <w:t>Items prescribed but not presented for dispensing or not submitted to NHS Prescription Services by the dispenser</w:t>
      </w:r>
      <w:r w:rsidR="00F438E5" w:rsidRPr="008E7AB8">
        <w:rPr>
          <w:rFonts w:ascii="Arial" w:hAnsi="Arial" w:cs="Arial"/>
        </w:rPr>
        <w:t>.</w:t>
      </w:r>
    </w:p>
    <w:p w14:paraId="50C1AB80" w14:textId="5ADA7EDB" w:rsidR="00F62BD4" w:rsidRPr="008E7AB8" w:rsidRDefault="00F62BD4" w:rsidP="00E7286A">
      <w:pPr>
        <w:spacing w:after="120"/>
        <w:ind w:left="360"/>
        <w:rPr>
          <w:rFonts w:ascii="Arial" w:hAnsi="Arial" w:cs="Arial"/>
        </w:rPr>
      </w:pPr>
    </w:p>
    <w:p w14:paraId="56201C68" w14:textId="056D37D7" w:rsidR="003B3A82" w:rsidRPr="008E7AB8" w:rsidRDefault="003B3A82" w:rsidP="003B3A82">
      <w:pPr>
        <w:spacing w:after="120"/>
        <w:rPr>
          <w:rFonts w:ascii="Arial" w:hAnsi="Arial" w:cs="Arial"/>
        </w:rPr>
      </w:pPr>
      <w:r w:rsidRPr="008E7AB8">
        <w:rPr>
          <w:rFonts w:ascii="Arial" w:hAnsi="Arial" w:cs="Arial"/>
        </w:rPr>
        <w:t xml:space="preserve">Each comparator is derived using prescribing data for a </w:t>
      </w:r>
      <w:r w:rsidR="004704AA" w:rsidRPr="008E7AB8">
        <w:rPr>
          <w:rFonts w:ascii="Arial" w:hAnsi="Arial" w:cs="Arial"/>
        </w:rPr>
        <w:t>12-month</w:t>
      </w:r>
      <w:r w:rsidR="00FF66E7" w:rsidRPr="008E7AB8">
        <w:rPr>
          <w:rFonts w:ascii="Arial" w:hAnsi="Arial" w:cs="Arial"/>
        </w:rPr>
        <w:t xml:space="preserve"> period, rolled into a </w:t>
      </w:r>
      <w:r w:rsidRPr="008E7AB8">
        <w:rPr>
          <w:rFonts w:ascii="Arial" w:hAnsi="Arial" w:cs="Arial"/>
        </w:rPr>
        <w:t xml:space="preserve">single month. </w:t>
      </w:r>
      <w:r w:rsidR="007B410D" w:rsidRPr="008E7AB8">
        <w:rPr>
          <w:rFonts w:ascii="Arial" w:hAnsi="Arial" w:cs="Arial"/>
        </w:rPr>
        <w:t>Therefore,</w:t>
      </w:r>
      <w:r w:rsidR="00FF66E7" w:rsidRPr="008E7AB8">
        <w:rPr>
          <w:rFonts w:ascii="Arial" w:hAnsi="Arial" w:cs="Arial"/>
        </w:rPr>
        <w:t xml:space="preserve"> each data point represents a year’s worth of prescribing.  </w:t>
      </w:r>
      <w:r w:rsidRPr="008E7AB8">
        <w:rPr>
          <w:rFonts w:ascii="Arial" w:hAnsi="Arial" w:cs="Arial"/>
        </w:rPr>
        <w:t xml:space="preserve">Historic data is available to allow organisations such as practices, PCNs or </w:t>
      </w:r>
      <w:r w:rsidR="001B7EF6" w:rsidRPr="008E7AB8">
        <w:rPr>
          <w:rFonts w:ascii="Arial" w:hAnsi="Arial" w:cs="Arial"/>
        </w:rPr>
        <w:t>SICBLs</w:t>
      </w:r>
      <w:r w:rsidRPr="008E7AB8">
        <w:rPr>
          <w:rFonts w:ascii="Arial" w:hAnsi="Arial" w:cs="Arial"/>
        </w:rPr>
        <w:t xml:space="preserve"> to chart their progress in addressing a particular comparator area.</w:t>
      </w:r>
    </w:p>
    <w:p w14:paraId="28EEAD4E" w14:textId="3947A855" w:rsidR="003B3A82" w:rsidRPr="008E7AB8" w:rsidRDefault="007163E1" w:rsidP="003B3A82">
      <w:pPr>
        <w:spacing w:after="120"/>
        <w:rPr>
          <w:rFonts w:ascii="Arial" w:hAnsi="Arial" w:cs="Arial"/>
        </w:rPr>
      </w:pPr>
      <w:r w:rsidRPr="008E7AB8">
        <w:rPr>
          <w:rFonts w:ascii="Arial" w:hAnsi="Arial" w:cs="Arial"/>
        </w:rPr>
        <w:t>All</w:t>
      </w:r>
      <w:r w:rsidR="003B3A82" w:rsidRPr="008E7AB8">
        <w:rPr>
          <w:rFonts w:ascii="Arial" w:hAnsi="Arial" w:cs="Arial"/>
        </w:rPr>
        <w:t xml:space="preserve"> the comparators show</w:t>
      </w:r>
      <w:r w:rsidR="00FF66E7" w:rsidRPr="008E7AB8">
        <w:rPr>
          <w:rFonts w:ascii="Arial" w:hAnsi="Arial" w:cs="Arial"/>
        </w:rPr>
        <w:t xml:space="preserve"> 12-month-rolling</w:t>
      </w:r>
      <w:r w:rsidR="003B3A82" w:rsidRPr="008E7AB8">
        <w:rPr>
          <w:rFonts w:ascii="Arial" w:hAnsi="Arial" w:cs="Arial"/>
        </w:rPr>
        <w:t xml:space="preserve"> data at GP Practice/</w:t>
      </w:r>
      <w:r w:rsidR="003B3A82" w:rsidRPr="00BF62A8">
        <w:rPr>
          <w:rFonts w:ascii="Arial" w:hAnsi="Arial" w:cs="Arial"/>
        </w:rPr>
        <w:t xml:space="preserve">Cost Centre level </w:t>
      </w:r>
      <w:r w:rsidR="003B3A82" w:rsidRPr="008E7AB8">
        <w:rPr>
          <w:rFonts w:ascii="Arial" w:hAnsi="Arial" w:cs="Arial"/>
        </w:rPr>
        <w:t xml:space="preserve">(aggregated to PCN, </w:t>
      </w:r>
      <w:r w:rsidR="001B7EF6" w:rsidRPr="008E7AB8">
        <w:rPr>
          <w:rFonts w:ascii="Arial" w:hAnsi="Arial" w:cs="Arial"/>
        </w:rPr>
        <w:t>SICBL</w:t>
      </w:r>
      <w:r w:rsidR="003B3A82" w:rsidRPr="008E7AB8">
        <w:rPr>
          <w:rFonts w:ascii="Arial" w:hAnsi="Arial" w:cs="Arial"/>
        </w:rPr>
        <w:t>, Regional and England level).</w:t>
      </w:r>
    </w:p>
    <w:p w14:paraId="1634C63C" w14:textId="1CFE51F0" w:rsidR="00A3057B" w:rsidRPr="00E60D72" w:rsidRDefault="00FF66E7" w:rsidP="003B3A82">
      <w:pPr>
        <w:spacing w:after="120"/>
        <w:rPr>
          <w:rFonts w:ascii="Arial" w:hAnsi="Arial" w:cs="Arial"/>
        </w:rPr>
      </w:pPr>
      <w:r w:rsidRPr="00E60D72">
        <w:rPr>
          <w:rFonts w:ascii="Arial" w:hAnsi="Arial" w:cs="Arial"/>
        </w:rPr>
        <w:t xml:space="preserve">For patient list sizes </w:t>
      </w:r>
      <w:r w:rsidR="00A3057B" w:rsidRPr="00E60D72">
        <w:rPr>
          <w:rFonts w:ascii="Arial" w:hAnsi="Arial" w:cs="Arial"/>
        </w:rPr>
        <w:t xml:space="preserve">the </w:t>
      </w:r>
      <w:r w:rsidR="006E733F" w:rsidRPr="00E60D72">
        <w:rPr>
          <w:rFonts w:ascii="Arial" w:hAnsi="Arial" w:cs="Arial"/>
        </w:rPr>
        <w:t>prompted month’s (12</w:t>
      </w:r>
      <w:r w:rsidR="006E733F" w:rsidRPr="00E60D72">
        <w:rPr>
          <w:rFonts w:ascii="Arial" w:hAnsi="Arial" w:cs="Arial"/>
          <w:vertAlign w:val="superscript"/>
        </w:rPr>
        <w:t>th</w:t>
      </w:r>
      <w:r w:rsidR="006E733F" w:rsidRPr="00E60D72">
        <w:rPr>
          <w:rFonts w:ascii="Arial" w:hAnsi="Arial" w:cs="Arial"/>
        </w:rPr>
        <w:t xml:space="preserve"> month) list size</w:t>
      </w:r>
      <w:r w:rsidR="006B557D" w:rsidRPr="00E60D72">
        <w:rPr>
          <w:rFonts w:ascii="Arial" w:hAnsi="Arial" w:cs="Arial"/>
        </w:rPr>
        <w:t xml:space="preserve"> is used in these comparators.</w:t>
      </w:r>
      <w:r w:rsidR="006E733F" w:rsidRPr="00E60D72">
        <w:rPr>
          <w:rFonts w:ascii="Arial" w:hAnsi="Arial" w:cs="Arial"/>
        </w:rPr>
        <w:t xml:space="preserve"> </w:t>
      </w:r>
    </w:p>
    <w:p w14:paraId="25D53E6E" w14:textId="77777777" w:rsidR="007063D1" w:rsidRPr="008E7AB8" w:rsidRDefault="007063D1" w:rsidP="003B3A82">
      <w:pPr>
        <w:spacing w:after="120"/>
        <w:rPr>
          <w:rFonts w:ascii="Arial" w:hAnsi="Arial" w:cs="Arial"/>
          <w:color w:val="FF0000"/>
        </w:rPr>
      </w:pPr>
    </w:p>
    <w:p w14:paraId="019BBDEA" w14:textId="77777777" w:rsidR="003B3A82" w:rsidRPr="008E7AB8" w:rsidRDefault="003B3A82" w:rsidP="003B3A82">
      <w:pPr>
        <w:rPr>
          <w:rFonts w:ascii="Arial" w:hAnsi="Arial" w:cs="Arial"/>
        </w:rPr>
      </w:pPr>
      <w:r w:rsidRPr="00236261">
        <w:rPr>
          <w:rFonts w:ascii="Arial" w:hAnsi="Arial" w:cs="Arial"/>
          <w:bCs/>
        </w:rPr>
        <w:t>Unique patient:</w:t>
      </w:r>
      <w:r w:rsidRPr="008E7AB8">
        <w:rPr>
          <w:rFonts w:ascii="Arial" w:hAnsi="Arial" w:cs="Arial"/>
        </w:rPr>
        <w:t xml:space="preserve"> This has been determined from prescriptions where the NHSBSA has been able to obtain details regarding patient NHS number. Where the same patient appears in the data for more than one practice location they will be counted as one patient for each of the practice locations they appear in.</w:t>
      </w:r>
    </w:p>
    <w:p w14:paraId="4ED16D8F" w14:textId="77777777" w:rsidR="003B3A82" w:rsidRPr="008E7AB8" w:rsidRDefault="003B3A82" w:rsidP="003B3A82">
      <w:pPr>
        <w:spacing w:after="120"/>
        <w:rPr>
          <w:rFonts w:ascii="Arial" w:hAnsi="Arial" w:cs="Arial"/>
        </w:rPr>
      </w:pPr>
      <w:r w:rsidRPr="008E7AB8">
        <w:rPr>
          <w:rFonts w:ascii="Arial" w:hAnsi="Arial" w:cs="Arial"/>
        </w:rPr>
        <w:t>NB: While NHS numbers are used to formulate these comparators, no personal identifiable data will be released through these comparators.</w:t>
      </w:r>
    </w:p>
    <w:p w14:paraId="2CD7068A" w14:textId="2FF9D03F" w:rsidR="00DD2893" w:rsidRPr="00991206" w:rsidRDefault="003B3A82" w:rsidP="003B3A82">
      <w:pPr>
        <w:rPr>
          <w:rFonts w:ascii="Arial" w:hAnsi="Arial" w:cs="Arial"/>
        </w:rPr>
      </w:pPr>
      <w:r w:rsidRPr="00991206">
        <w:rPr>
          <w:rFonts w:ascii="Arial" w:hAnsi="Arial" w:cs="Arial"/>
        </w:rPr>
        <w:t>A patient’s age is determined as the age that is captured whilst processing the prescription for processing</w:t>
      </w:r>
      <w:r w:rsidR="00ED6DCF" w:rsidRPr="00991206">
        <w:rPr>
          <w:rFonts w:ascii="Arial" w:hAnsi="Arial" w:cs="Arial"/>
        </w:rPr>
        <w:t>.</w:t>
      </w:r>
      <w:r w:rsidRPr="00991206">
        <w:rPr>
          <w:rFonts w:ascii="Arial" w:hAnsi="Arial" w:cs="Arial"/>
        </w:rPr>
        <w:t xml:space="preserve"> </w:t>
      </w:r>
      <w:r w:rsidR="00DE6E8D" w:rsidRPr="00991206">
        <w:rPr>
          <w:rFonts w:ascii="Arial" w:hAnsi="Arial" w:cs="Arial"/>
        </w:rPr>
        <w:t>In the dashboard t</w:t>
      </w:r>
      <w:r w:rsidR="004721DF" w:rsidRPr="00991206">
        <w:rPr>
          <w:rFonts w:ascii="Arial" w:hAnsi="Arial" w:cs="Arial"/>
        </w:rPr>
        <w:t xml:space="preserve">he </w:t>
      </w:r>
      <w:r w:rsidR="0096132F" w:rsidRPr="00991206">
        <w:rPr>
          <w:rFonts w:ascii="Arial" w:hAnsi="Arial" w:cs="Arial"/>
        </w:rPr>
        <w:t xml:space="preserve">patients age at the end of the </w:t>
      </w:r>
      <w:r w:rsidR="00DE6E8D" w:rsidRPr="00991206">
        <w:rPr>
          <w:rFonts w:ascii="Arial" w:hAnsi="Arial" w:cs="Arial"/>
        </w:rPr>
        <w:t xml:space="preserve">selected </w:t>
      </w:r>
      <w:r w:rsidR="0064147D" w:rsidRPr="00991206">
        <w:rPr>
          <w:rFonts w:ascii="Arial" w:hAnsi="Arial" w:cs="Arial"/>
        </w:rPr>
        <w:t>12-month</w:t>
      </w:r>
      <w:r w:rsidR="0096132F" w:rsidRPr="00991206">
        <w:rPr>
          <w:rFonts w:ascii="Arial" w:hAnsi="Arial" w:cs="Arial"/>
        </w:rPr>
        <w:t xml:space="preserve"> period is used</w:t>
      </w:r>
      <w:r w:rsidR="00DE6E8D" w:rsidRPr="00991206">
        <w:rPr>
          <w:rFonts w:ascii="Arial" w:hAnsi="Arial" w:cs="Arial"/>
        </w:rPr>
        <w:t xml:space="preserve">. Please note this may </w:t>
      </w:r>
      <w:r w:rsidR="004E3900" w:rsidRPr="00991206">
        <w:rPr>
          <w:rFonts w:ascii="Arial" w:hAnsi="Arial" w:cs="Arial"/>
        </w:rPr>
        <w:t xml:space="preserve">inflate the </w:t>
      </w:r>
      <w:r w:rsidR="00991206" w:rsidRPr="00991206">
        <w:rPr>
          <w:rFonts w:ascii="Arial" w:hAnsi="Arial" w:cs="Arial"/>
        </w:rPr>
        <w:t xml:space="preserve">proportion of adults as any patient who has turned 18 in the </w:t>
      </w:r>
      <w:r w:rsidR="0064147D" w:rsidRPr="00991206">
        <w:rPr>
          <w:rFonts w:ascii="Arial" w:hAnsi="Arial" w:cs="Arial"/>
        </w:rPr>
        <w:t>12-month</w:t>
      </w:r>
      <w:r w:rsidR="00991206" w:rsidRPr="00991206">
        <w:rPr>
          <w:rFonts w:ascii="Arial" w:hAnsi="Arial" w:cs="Arial"/>
        </w:rPr>
        <w:t xml:space="preserve"> period will be counted as an adult. </w:t>
      </w:r>
      <w:r w:rsidR="0096132F" w:rsidRPr="00991206">
        <w:rPr>
          <w:rFonts w:ascii="Arial" w:hAnsi="Arial" w:cs="Arial"/>
        </w:rPr>
        <w:t xml:space="preserve"> </w:t>
      </w:r>
    </w:p>
    <w:p w14:paraId="2FB2AC92" w14:textId="03B6BEB6" w:rsidR="00AC2755" w:rsidRPr="00991206" w:rsidRDefault="00991206" w:rsidP="003B3A82">
      <w:pPr>
        <w:rPr>
          <w:rFonts w:ascii="Arial" w:hAnsi="Arial" w:cs="Arial"/>
        </w:rPr>
      </w:pPr>
      <w:r w:rsidRPr="00991206">
        <w:rPr>
          <w:rFonts w:ascii="Arial" w:hAnsi="Arial" w:cs="Arial"/>
        </w:rPr>
        <w:t>D</w:t>
      </w:r>
      <w:r w:rsidR="00AC2755" w:rsidRPr="00991206">
        <w:rPr>
          <w:rFonts w:ascii="Arial" w:hAnsi="Arial" w:cs="Arial"/>
        </w:rPr>
        <w:t>ata is limited to where we hold a DOB in the PDS (NHS Digital’s Personal Demographics Service) data for the patient.</w:t>
      </w:r>
    </w:p>
    <w:p w14:paraId="5FE28496" w14:textId="77777777" w:rsidR="00663E9F" w:rsidRPr="008E7AB8" w:rsidRDefault="00663E9F" w:rsidP="008A139B">
      <w:pPr>
        <w:pStyle w:val="Heading1"/>
        <w:rPr>
          <w:rFonts w:cs="Arial"/>
        </w:rPr>
      </w:pPr>
      <w:bookmarkStart w:id="32" w:name="_Toc473297131"/>
      <w:bookmarkStart w:id="33" w:name="_Toc473635664"/>
      <w:bookmarkStart w:id="34" w:name="_Toc473636479"/>
      <w:bookmarkStart w:id="35" w:name="_Toc474398579"/>
      <w:bookmarkStart w:id="36" w:name="_Toc475027478"/>
      <w:bookmarkStart w:id="37" w:name="_Toc105489176"/>
      <w:bookmarkStart w:id="38" w:name="_Toc117243500"/>
      <w:r w:rsidRPr="008E7AB8">
        <w:rPr>
          <w:rFonts w:cs="Arial"/>
        </w:rPr>
        <w:lastRenderedPageBreak/>
        <w:t>How to use these comparators</w:t>
      </w:r>
      <w:bookmarkEnd w:id="32"/>
      <w:bookmarkEnd w:id="33"/>
      <w:bookmarkEnd w:id="34"/>
      <w:bookmarkEnd w:id="35"/>
      <w:bookmarkEnd w:id="36"/>
      <w:bookmarkEnd w:id="37"/>
      <w:bookmarkEnd w:id="38"/>
    </w:p>
    <w:p w14:paraId="10055B71" w14:textId="7ED499E4" w:rsidR="003B3A82" w:rsidRPr="008E7AB8" w:rsidRDefault="003B3A82" w:rsidP="003B3A82">
      <w:pPr>
        <w:rPr>
          <w:rFonts w:ascii="Arial" w:hAnsi="Arial" w:cs="Arial"/>
        </w:rPr>
      </w:pPr>
    </w:p>
    <w:p w14:paraId="49F464DE" w14:textId="755F88D3" w:rsidR="00EF56E4" w:rsidRPr="008E7AB8" w:rsidRDefault="00EF56E4" w:rsidP="00EF56E4">
      <w:pPr>
        <w:rPr>
          <w:rFonts w:ascii="Arial" w:hAnsi="Arial" w:cs="Arial"/>
        </w:rPr>
      </w:pPr>
      <w:r w:rsidRPr="008E7AB8">
        <w:rPr>
          <w:rFonts w:ascii="Arial" w:hAnsi="Arial" w:cs="Arial"/>
        </w:rPr>
        <w:t xml:space="preserve">The </w:t>
      </w:r>
      <w:r w:rsidR="007B410D" w:rsidRPr="008E7AB8">
        <w:rPr>
          <w:rFonts w:ascii="Arial" w:hAnsi="Arial" w:cs="Arial"/>
        </w:rPr>
        <w:t>principal</w:t>
      </w:r>
      <w:r w:rsidRPr="008E7AB8">
        <w:rPr>
          <w:rFonts w:ascii="Arial" w:hAnsi="Arial" w:cs="Arial"/>
        </w:rPr>
        <w:t xml:space="preserve"> target audience will be prescribing advisors, practice pharmacists and PCN pharmacists.  Adherence to the nationally recommended concentrations is expressed in terms of a percentage of prescriptions at the recommended concentration for that drug.  If all prescriptions written for a given drug are at recommended concentration, adherence will be reported as 100%.</w:t>
      </w:r>
    </w:p>
    <w:p w14:paraId="3FCE65C0" w14:textId="77777777" w:rsidR="00EF56E4" w:rsidRPr="008E7AB8" w:rsidRDefault="00EF56E4" w:rsidP="00EF56E4">
      <w:pPr>
        <w:rPr>
          <w:rFonts w:ascii="Arial" w:hAnsi="Arial" w:cs="Arial"/>
        </w:rPr>
      </w:pPr>
    </w:p>
    <w:p w14:paraId="6C224D11" w14:textId="77777777" w:rsidR="00EF56E4" w:rsidRPr="008E7AB8" w:rsidRDefault="00EF56E4" w:rsidP="00EF56E4">
      <w:pPr>
        <w:rPr>
          <w:rFonts w:ascii="Arial" w:hAnsi="Arial" w:cs="Arial"/>
        </w:rPr>
      </w:pPr>
      <w:r w:rsidRPr="008E7AB8">
        <w:rPr>
          <w:rFonts w:ascii="Arial" w:hAnsi="Arial" w:cs="Arial"/>
        </w:rPr>
        <w:t>The data can be used to identify practices prescribing non-standard concentrations for patients under the age of 18 years.  Local prescribing systems can then be used to identify patients receiving non-standard concentrations, allowing them to be reviewed for suitability of switching to the standard concentration.</w:t>
      </w:r>
    </w:p>
    <w:p w14:paraId="7000FCD6" w14:textId="77777777" w:rsidR="00CC00C9" w:rsidRPr="008E7AB8" w:rsidRDefault="00CC00C9" w:rsidP="00E051ED">
      <w:pPr>
        <w:spacing w:after="0"/>
        <w:rPr>
          <w:rFonts w:ascii="Arial" w:hAnsi="Arial" w:cs="Arial"/>
        </w:rPr>
      </w:pPr>
    </w:p>
    <w:p w14:paraId="225AB729" w14:textId="77777777" w:rsidR="00CC00C9" w:rsidRPr="008E7AB8" w:rsidRDefault="00CC00C9" w:rsidP="00CC00C9">
      <w:pPr>
        <w:spacing w:after="0"/>
        <w:rPr>
          <w:rFonts w:ascii="Arial" w:hAnsi="Arial" w:cs="Arial"/>
          <w:sz w:val="24"/>
          <w:szCs w:val="24"/>
        </w:rPr>
      </w:pPr>
    </w:p>
    <w:p w14:paraId="0D3156BF" w14:textId="43A91DBB" w:rsidR="00CC00C9" w:rsidRPr="008E7AB8" w:rsidRDefault="00CC00C9" w:rsidP="00CC00C9">
      <w:pPr>
        <w:rPr>
          <w:rFonts w:ascii="Arial" w:hAnsi="Arial" w:cs="Arial"/>
        </w:rPr>
      </w:pPr>
      <w:bookmarkStart w:id="39" w:name="_Toc473297135"/>
      <w:bookmarkStart w:id="40" w:name="_Toc473635668"/>
      <w:bookmarkStart w:id="41" w:name="_Toc473636483"/>
      <w:bookmarkStart w:id="42" w:name="_Toc474398583"/>
      <w:bookmarkStart w:id="43" w:name="_Toc475027482"/>
      <w:bookmarkStart w:id="44" w:name="_Toc105489178"/>
      <w:bookmarkStart w:id="45" w:name="_Toc117243501"/>
      <w:r w:rsidRPr="008E7AB8">
        <w:rPr>
          <w:rStyle w:val="Heading1Char"/>
          <w:rFonts w:eastAsia="Calibri" w:cs="Arial"/>
        </w:rPr>
        <w:t>Data owner &amp; contact details:</w:t>
      </w:r>
      <w:bookmarkEnd w:id="39"/>
      <w:bookmarkEnd w:id="40"/>
      <w:bookmarkEnd w:id="41"/>
      <w:bookmarkEnd w:id="42"/>
      <w:bookmarkEnd w:id="43"/>
      <w:bookmarkEnd w:id="44"/>
      <w:bookmarkEnd w:id="45"/>
      <w:r w:rsidRPr="008E7AB8">
        <w:rPr>
          <w:rFonts w:ascii="Arial" w:hAnsi="Arial" w:cs="Arial"/>
          <w:color w:val="FF0000"/>
        </w:rPr>
        <w:t xml:space="preserve"> </w:t>
      </w:r>
      <w:r w:rsidR="00EC2CB8" w:rsidRPr="00EC2CB8">
        <w:rPr>
          <w:rFonts w:ascii="Arial" w:hAnsi="Arial" w:cs="Arial"/>
        </w:rPr>
        <w:t>epact2support@nhsbsa.nhs.uk</w:t>
      </w:r>
    </w:p>
    <w:p w14:paraId="38D98F5D" w14:textId="6841477C" w:rsidR="00CC00C9" w:rsidRPr="008E7AB8" w:rsidRDefault="00CC00C9" w:rsidP="00382508">
      <w:pPr>
        <w:spacing w:after="0"/>
        <w:rPr>
          <w:rFonts w:ascii="Arial" w:hAnsi="Arial" w:cs="Arial"/>
          <w:color w:val="FF0000"/>
        </w:rPr>
      </w:pPr>
      <w:bookmarkStart w:id="46" w:name="_Toc473297136"/>
      <w:bookmarkStart w:id="47" w:name="_Toc473635669"/>
      <w:bookmarkStart w:id="48" w:name="_Toc473636484"/>
      <w:bookmarkStart w:id="49" w:name="_Toc474398584"/>
      <w:bookmarkStart w:id="50" w:name="_Toc475027483"/>
      <w:bookmarkStart w:id="51" w:name="_Toc105489179"/>
      <w:bookmarkStart w:id="52" w:name="_Toc117243502"/>
      <w:r w:rsidRPr="008E7AB8">
        <w:rPr>
          <w:rStyle w:val="Heading1Char"/>
          <w:rFonts w:eastAsia="Calibri" w:cs="Arial"/>
        </w:rPr>
        <w:t>Time Frame:</w:t>
      </w:r>
      <w:bookmarkEnd w:id="46"/>
      <w:bookmarkEnd w:id="47"/>
      <w:bookmarkEnd w:id="48"/>
      <w:bookmarkEnd w:id="49"/>
      <w:bookmarkEnd w:id="50"/>
      <w:bookmarkEnd w:id="51"/>
      <w:bookmarkEnd w:id="52"/>
      <w:r w:rsidRPr="008E7AB8">
        <w:rPr>
          <w:rFonts w:ascii="Arial" w:hAnsi="Arial" w:cs="Arial"/>
        </w:rPr>
        <w:t xml:space="preserve"> </w:t>
      </w:r>
      <w:r w:rsidR="004B4B78">
        <w:rPr>
          <w:rFonts w:ascii="Arial" w:hAnsi="Arial" w:cs="Arial"/>
        </w:rPr>
        <w:t>12-month rolling figures r</w:t>
      </w:r>
      <w:r w:rsidRPr="008E7AB8">
        <w:rPr>
          <w:rFonts w:ascii="Arial" w:hAnsi="Arial" w:cs="Arial"/>
        </w:rPr>
        <w:t>efreshed monthly</w:t>
      </w:r>
      <w:r w:rsidR="004B4B78">
        <w:rPr>
          <w:rFonts w:ascii="Arial" w:hAnsi="Arial" w:cs="Arial"/>
        </w:rPr>
        <w:t>.</w:t>
      </w:r>
    </w:p>
    <w:p w14:paraId="0D5DC28C" w14:textId="77777777" w:rsidR="00382508" w:rsidRPr="008E7AB8" w:rsidRDefault="00382508" w:rsidP="00382508">
      <w:pPr>
        <w:spacing w:after="0"/>
        <w:rPr>
          <w:rFonts w:ascii="Arial" w:hAnsi="Arial" w:cs="Arial"/>
        </w:rPr>
      </w:pPr>
    </w:p>
    <w:p w14:paraId="60FD2D94" w14:textId="67D47E17" w:rsidR="003B36E1" w:rsidRDefault="00020033" w:rsidP="00382508">
      <w:pPr>
        <w:pStyle w:val="Heading1"/>
        <w:spacing w:before="0"/>
        <w:rPr>
          <w:rFonts w:cs="Arial"/>
        </w:rPr>
      </w:pPr>
      <w:bookmarkStart w:id="53" w:name="_Toc473297137"/>
      <w:bookmarkStart w:id="54" w:name="_Toc473635670"/>
      <w:bookmarkStart w:id="55" w:name="_Toc473636485"/>
      <w:bookmarkStart w:id="56" w:name="_Toc474398585"/>
      <w:bookmarkStart w:id="57" w:name="_Toc475027484"/>
      <w:bookmarkStart w:id="58" w:name="_Toc105489180"/>
      <w:bookmarkStart w:id="59" w:name="_Toc117243503"/>
      <w:r w:rsidRPr="008E7AB8">
        <w:rPr>
          <w:rFonts w:cs="Arial"/>
        </w:rPr>
        <w:t xml:space="preserve">Data quality </w:t>
      </w:r>
      <w:r w:rsidR="00072A76" w:rsidRPr="008E7AB8">
        <w:rPr>
          <w:rFonts w:cs="Arial"/>
        </w:rPr>
        <w:t>assurance</w:t>
      </w:r>
      <w:bookmarkEnd w:id="53"/>
      <w:bookmarkEnd w:id="54"/>
      <w:bookmarkEnd w:id="55"/>
      <w:bookmarkEnd w:id="56"/>
      <w:bookmarkEnd w:id="57"/>
      <w:bookmarkEnd w:id="58"/>
      <w:bookmarkEnd w:id="59"/>
    </w:p>
    <w:p w14:paraId="5DF62BAB" w14:textId="77777777" w:rsidR="00B37980" w:rsidRPr="00B37980" w:rsidRDefault="00B37980" w:rsidP="00B37980"/>
    <w:p w14:paraId="6BCA73DC" w14:textId="170AB186" w:rsidR="00836EFB" w:rsidRPr="008E7AB8" w:rsidRDefault="00836EFB" w:rsidP="00836EFB">
      <w:pPr>
        <w:rPr>
          <w:rFonts w:ascii="Arial" w:hAnsi="Arial" w:cs="Arial"/>
        </w:rPr>
      </w:pPr>
      <w:bookmarkStart w:id="60" w:name="_Toc473297138"/>
      <w:bookmarkStart w:id="61" w:name="_Toc473635671"/>
      <w:bookmarkStart w:id="62" w:name="_Toc473636486"/>
      <w:bookmarkStart w:id="63" w:name="_Toc474398586"/>
      <w:bookmarkStart w:id="64" w:name="_Toc475027485"/>
      <w:r w:rsidRPr="008E7AB8">
        <w:rPr>
          <w:rFonts w:ascii="Arial" w:hAnsi="Arial" w:cs="Arial"/>
        </w:rPr>
        <w:t xml:space="preserve">NHS Prescription Services have their own internal quality process to assure the data they provide matches what was originally submitted as part of the prescription processing activity. Some processes are complex and manual therefore there may be random inaccuracies in capturing prescription information which are then reflected in the </w:t>
      </w:r>
      <w:r w:rsidR="007B410D" w:rsidRPr="008E7AB8">
        <w:rPr>
          <w:rFonts w:ascii="Arial" w:hAnsi="Arial" w:cs="Arial"/>
        </w:rPr>
        <w:t>data,</w:t>
      </w:r>
      <w:r w:rsidRPr="008E7AB8">
        <w:rPr>
          <w:rFonts w:ascii="Arial" w:hAnsi="Arial" w:cs="Arial"/>
        </w:rPr>
        <w:t xml:space="preserve"> but checks are in place to reduce the </w:t>
      </w:r>
      <w:r w:rsidRPr="004C1DD7">
        <w:rPr>
          <w:rFonts w:ascii="Arial" w:hAnsi="Arial" w:cs="Arial"/>
        </w:rPr>
        <w:t xml:space="preserve">chance of issues occurring. The processes operate to </w:t>
      </w:r>
      <w:r w:rsidR="00A75302" w:rsidRPr="004C1DD7">
        <w:rPr>
          <w:rFonts w:ascii="Arial" w:hAnsi="Arial" w:cs="Arial"/>
        </w:rPr>
        <w:t>several</w:t>
      </w:r>
      <w:r w:rsidRPr="004C1DD7">
        <w:rPr>
          <w:rFonts w:ascii="Arial" w:hAnsi="Arial" w:cs="Arial"/>
        </w:rPr>
        <w:t xml:space="preserve"> key performance indicators, one of which is the percentage Prescription Information Accuracy, the target being 99.</w:t>
      </w:r>
      <w:r w:rsidR="00771E3A" w:rsidRPr="004C1DD7">
        <w:rPr>
          <w:rFonts w:ascii="Arial" w:hAnsi="Arial" w:cs="Arial"/>
        </w:rPr>
        <w:t>7</w:t>
      </w:r>
      <w:r w:rsidRPr="004C1DD7">
        <w:rPr>
          <w:rFonts w:ascii="Arial" w:hAnsi="Arial" w:cs="Arial"/>
        </w:rPr>
        <w:t xml:space="preserve">% and as </w:t>
      </w:r>
      <w:r w:rsidR="007163E1" w:rsidRPr="004C1DD7">
        <w:rPr>
          <w:rFonts w:ascii="Arial" w:hAnsi="Arial" w:cs="Arial"/>
        </w:rPr>
        <w:t>of</w:t>
      </w:r>
      <w:r w:rsidRPr="004C1DD7">
        <w:rPr>
          <w:rFonts w:ascii="Arial" w:hAnsi="Arial" w:cs="Arial"/>
        </w:rPr>
        <w:t xml:space="preserve"> </w:t>
      </w:r>
      <w:r w:rsidR="004C1DD7" w:rsidRPr="004C1DD7">
        <w:rPr>
          <w:rFonts w:ascii="Arial" w:hAnsi="Arial" w:cs="Arial"/>
        </w:rPr>
        <w:t xml:space="preserve">February </w:t>
      </w:r>
      <w:r w:rsidR="00FF3B8D" w:rsidRPr="004C1DD7">
        <w:rPr>
          <w:rFonts w:ascii="Arial" w:hAnsi="Arial" w:cs="Arial"/>
        </w:rPr>
        <w:t>202</w:t>
      </w:r>
      <w:r w:rsidR="004C1DD7" w:rsidRPr="004C1DD7">
        <w:rPr>
          <w:rFonts w:ascii="Arial" w:hAnsi="Arial" w:cs="Arial"/>
        </w:rPr>
        <w:t>2</w:t>
      </w:r>
      <w:r w:rsidRPr="004C1DD7">
        <w:rPr>
          <w:rFonts w:ascii="Arial" w:hAnsi="Arial" w:cs="Arial"/>
        </w:rPr>
        <w:t xml:space="preserve"> the accuracy level achieved over the latest </w:t>
      </w:r>
      <w:r w:rsidR="00AB6042" w:rsidRPr="004C1DD7">
        <w:rPr>
          <w:rFonts w:ascii="Arial" w:hAnsi="Arial" w:cs="Arial"/>
        </w:rPr>
        <w:t>12-mo</w:t>
      </w:r>
      <w:r w:rsidR="00FF66E7" w:rsidRPr="004C1DD7">
        <w:rPr>
          <w:rFonts w:ascii="Arial" w:hAnsi="Arial" w:cs="Arial"/>
        </w:rPr>
        <w:t>n</w:t>
      </w:r>
      <w:r w:rsidR="00AB6042" w:rsidRPr="004C1DD7">
        <w:rPr>
          <w:rFonts w:ascii="Arial" w:hAnsi="Arial" w:cs="Arial"/>
        </w:rPr>
        <w:t>t</w:t>
      </w:r>
      <w:r w:rsidR="00FF66E7" w:rsidRPr="004C1DD7">
        <w:rPr>
          <w:rFonts w:ascii="Arial" w:hAnsi="Arial" w:cs="Arial"/>
        </w:rPr>
        <w:t>hs-rolling</w:t>
      </w:r>
      <w:r w:rsidRPr="004C1DD7">
        <w:rPr>
          <w:rFonts w:ascii="Arial" w:hAnsi="Arial" w:cs="Arial"/>
        </w:rPr>
        <w:t xml:space="preserve"> period was 99.</w:t>
      </w:r>
      <w:r w:rsidR="00D87C56" w:rsidRPr="004C1DD7">
        <w:rPr>
          <w:rFonts w:ascii="Arial" w:hAnsi="Arial" w:cs="Arial"/>
        </w:rPr>
        <w:t>92</w:t>
      </w:r>
      <w:r w:rsidRPr="004C1DD7">
        <w:rPr>
          <w:rFonts w:ascii="Arial" w:hAnsi="Arial" w:cs="Arial"/>
        </w:rPr>
        <w:t>%.</w:t>
      </w:r>
    </w:p>
    <w:p w14:paraId="1E0B79D1" w14:textId="394D153A" w:rsidR="00304441" w:rsidRPr="008E7AB8" w:rsidRDefault="00304441" w:rsidP="00836EFB">
      <w:pPr>
        <w:rPr>
          <w:rFonts w:ascii="Arial" w:hAnsi="Arial" w:cs="Arial"/>
        </w:rPr>
      </w:pPr>
    </w:p>
    <w:p w14:paraId="50CBAABE" w14:textId="52C23D8D" w:rsidR="00536B53" w:rsidRPr="000C33B0" w:rsidRDefault="00836EFB" w:rsidP="00536B53">
      <w:pPr>
        <w:rPr>
          <w:rFonts w:ascii="Arial" w:hAnsi="Arial" w:cs="Arial"/>
        </w:rPr>
      </w:pPr>
      <w:r w:rsidRPr="000C33B0">
        <w:rPr>
          <w:rFonts w:ascii="Arial" w:hAnsi="Arial" w:cs="Arial"/>
        </w:rPr>
        <w:t>Currently</w:t>
      </w:r>
      <w:r w:rsidR="00C837DB" w:rsidRPr="000C33B0">
        <w:rPr>
          <w:rFonts w:ascii="Arial" w:hAnsi="Arial" w:cs="Arial"/>
        </w:rPr>
        <w:t xml:space="preserve"> (three months to </w:t>
      </w:r>
      <w:r w:rsidR="00BE648E" w:rsidRPr="000C33B0">
        <w:rPr>
          <w:rFonts w:ascii="Arial" w:hAnsi="Arial" w:cs="Arial"/>
        </w:rPr>
        <w:t>July</w:t>
      </w:r>
      <w:r w:rsidR="00C837DB" w:rsidRPr="000C33B0">
        <w:rPr>
          <w:rFonts w:ascii="Arial" w:hAnsi="Arial" w:cs="Arial"/>
        </w:rPr>
        <w:t xml:space="preserve"> 202</w:t>
      </w:r>
      <w:r w:rsidR="00BE648E" w:rsidRPr="000C33B0">
        <w:rPr>
          <w:rFonts w:ascii="Arial" w:hAnsi="Arial" w:cs="Arial"/>
        </w:rPr>
        <w:t>2</w:t>
      </w:r>
      <w:r w:rsidR="00C837DB" w:rsidRPr="000C33B0">
        <w:rPr>
          <w:rFonts w:ascii="Arial" w:hAnsi="Arial" w:cs="Arial"/>
        </w:rPr>
        <w:t>)</w:t>
      </w:r>
      <w:r w:rsidRPr="000C33B0">
        <w:rPr>
          <w:rFonts w:ascii="Arial" w:hAnsi="Arial" w:cs="Arial"/>
        </w:rPr>
        <w:t xml:space="preserve">, </w:t>
      </w:r>
      <w:r w:rsidR="003F4E97" w:rsidRPr="000C33B0">
        <w:rPr>
          <w:rFonts w:ascii="Arial" w:hAnsi="Arial" w:cs="Arial"/>
        </w:rPr>
        <w:t>9</w:t>
      </w:r>
      <w:r w:rsidR="007246AB" w:rsidRPr="000C33B0">
        <w:rPr>
          <w:rFonts w:ascii="Arial" w:hAnsi="Arial" w:cs="Arial"/>
        </w:rPr>
        <w:t>8</w:t>
      </w:r>
      <w:r w:rsidR="003F4E97" w:rsidRPr="000C33B0">
        <w:rPr>
          <w:rFonts w:ascii="Arial" w:hAnsi="Arial" w:cs="Arial"/>
        </w:rPr>
        <w:t>.</w:t>
      </w:r>
      <w:r w:rsidR="007246AB" w:rsidRPr="000C33B0">
        <w:rPr>
          <w:rFonts w:ascii="Arial" w:hAnsi="Arial" w:cs="Arial"/>
        </w:rPr>
        <w:t>97</w:t>
      </w:r>
      <w:r w:rsidRPr="000C33B0">
        <w:rPr>
          <w:rFonts w:ascii="Arial" w:hAnsi="Arial" w:cs="Arial"/>
        </w:rPr>
        <w:t>% of all prescription items</w:t>
      </w:r>
      <w:r w:rsidR="00C837DB" w:rsidRPr="000C33B0">
        <w:rPr>
          <w:rFonts w:ascii="Arial" w:hAnsi="Arial" w:cs="Arial"/>
        </w:rPr>
        <w:t xml:space="preserve"> prescribed in England</w:t>
      </w:r>
      <w:r w:rsidR="003F4E97" w:rsidRPr="000C33B0">
        <w:rPr>
          <w:rFonts w:ascii="Arial" w:hAnsi="Arial" w:cs="Arial"/>
        </w:rPr>
        <w:t xml:space="preserve"> </w:t>
      </w:r>
      <w:r w:rsidR="001604DE" w:rsidRPr="000C33B0">
        <w:rPr>
          <w:rFonts w:ascii="Arial" w:hAnsi="Arial" w:cs="Arial"/>
        </w:rPr>
        <w:t xml:space="preserve">at GP Practices/Cost Centres </w:t>
      </w:r>
      <w:r w:rsidR="003F4E97" w:rsidRPr="000C33B0">
        <w:rPr>
          <w:rFonts w:ascii="Arial" w:hAnsi="Arial" w:cs="Arial"/>
        </w:rPr>
        <w:t xml:space="preserve">can be linked to an NHS number. </w:t>
      </w:r>
      <w:r w:rsidRPr="000C33B0">
        <w:rPr>
          <w:rFonts w:ascii="Arial" w:hAnsi="Arial" w:cs="Arial"/>
        </w:rPr>
        <w:t>Age can be linked to</w:t>
      </w:r>
      <w:r w:rsidR="003F4E97" w:rsidRPr="000C33B0">
        <w:rPr>
          <w:rFonts w:ascii="Arial" w:hAnsi="Arial" w:cs="Arial"/>
        </w:rPr>
        <w:t xml:space="preserve"> 9</w:t>
      </w:r>
      <w:r w:rsidR="00FD2009" w:rsidRPr="000C33B0">
        <w:rPr>
          <w:rFonts w:ascii="Arial" w:hAnsi="Arial" w:cs="Arial"/>
        </w:rPr>
        <w:t>9.29</w:t>
      </w:r>
      <w:r w:rsidRPr="000C33B0">
        <w:rPr>
          <w:rFonts w:ascii="Arial" w:hAnsi="Arial" w:cs="Arial"/>
        </w:rPr>
        <w:t xml:space="preserve">% of </w:t>
      </w:r>
      <w:r w:rsidR="003F4E97" w:rsidRPr="000C33B0">
        <w:rPr>
          <w:rFonts w:ascii="Arial" w:hAnsi="Arial" w:cs="Arial"/>
        </w:rPr>
        <w:t xml:space="preserve">prescription items. </w:t>
      </w:r>
      <w:r w:rsidR="00C837DB" w:rsidRPr="000C33B0">
        <w:rPr>
          <w:rFonts w:ascii="Arial" w:hAnsi="Arial" w:cs="Arial"/>
        </w:rPr>
        <w:t xml:space="preserve">For EPS, the accuracy is 100%.  In </w:t>
      </w:r>
      <w:r w:rsidR="0043280E" w:rsidRPr="000C33B0">
        <w:rPr>
          <w:rFonts w:ascii="Arial" w:hAnsi="Arial" w:cs="Arial"/>
        </w:rPr>
        <w:t xml:space="preserve">the three months to </w:t>
      </w:r>
      <w:r w:rsidR="00FD2009" w:rsidRPr="000C33B0">
        <w:rPr>
          <w:rFonts w:ascii="Arial" w:hAnsi="Arial" w:cs="Arial"/>
        </w:rPr>
        <w:t xml:space="preserve">July </w:t>
      </w:r>
      <w:r w:rsidR="00C837DB" w:rsidRPr="000C33B0">
        <w:rPr>
          <w:rFonts w:ascii="Arial" w:hAnsi="Arial" w:cs="Arial"/>
        </w:rPr>
        <w:t>202</w:t>
      </w:r>
      <w:r w:rsidR="00FD2009" w:rsidRPr="000C33B0">
        <w:rPr>
          <w:rFonts w:ascii="Arial" w:hAnsi="Arial" w:cs="Arial"/>
        </w:rPr>
        <w:t>2</w:t>
      </w:r>
      <w:r w:rsidR="00C837DB" w:rsidRPr="000C33B0">
        <w:rPr>
          <w:rFonts w:ascii="Arial" w:hAnsi="Arial" w:cs="Arial"/>
        </w:rPr>
        <w:t>, EPS items accounted fo</w:t>
      </w:r>
      <w:r w:rsidR="0043280E" w:rsidRPr="000C33B0">
        <w:rPr>
          <w:rFonts w:ascii="Arial" w:hAnsi="Arial" w:cs="Arial"/>
        </w:rPr>
        <w:t xml:space="preserve">r </w:t>
      </w:r>
      <w:r w:rsidR="006659BE" w:rsidRPr="000C33B0">
        <w:rPr>
          <w:rFonts w:ascii="Arial" w:hAnsi="Arial" w:cs="Arial"/>
        </w:rPr>
        <w:t>90.09</w:t>
      </w:r>
      <w:r w:rsidR="00C837DB" w:rsidRPr="000C33B0">
        <w:rPr>
          <w:rFonts w:ascii="Arial" w:hAnsi="Arial" w:cs="Arial"/>
        </w:rPr>
        <w:t xml:space="preserve">% </w:t>
      </w:r>
      <w:r w:rsidR="006659BE" w:rsidRPr="000C33B0">
        <w:rPr>
          <w:rFonts w:ascii="Arial" w:hAnsi="Arial" w:cs="Arial"/>
        </w:rPr>
        <w:t>of these</w:t>
      </w:r>
      <w:r w:rsidR="00C837DB" w:rsidRPr="000C33B0">
        <w:rPr>
          <w:rFonts w:ascii="Arial" w:hAnsi="Arial" w:cs="Arial"/>
        </w:rPr>
        <w:t xml:space="preserve"> </w:t>
      </w:r>
      <w:r w:rsidR="007163E1" w:rsidRPr="000C33B0">
        <w:rPr>
          <w:rFonts w:ascii="Arial" w:hAnsi="Arial" w:cs="Arial"/>
        </w:rPr>
        <w:t>items</w:t>
      </w:r>
      <w:r w:rsidR="006659BE" w:rsidRPr="000C33B0">
        <w:rPr>
          <w:rFonts w:ascii="Arial" w:hAnsi="Arial" w:cs="Arial"/>
        </w:rPr>
        <w:t>. (Source: ePACT2).</w:t>
      </w:r>
    </w:p>
    <w:p w14:paraId="3062238D" w14:textId="359929C3" w:rsidR="003B175D" w:rsidRDefault="008A6C13" w:rsidP="008A139B">
      <w:pPr>
        <w:pStyle w:val="Heading1"/>
        <w:rPr>
          <w:rFonts w:cs="Arial"/>
        </w:rPr>
      </w:pPr>
      <w:r w:rsidRPr="008E7AB8">
        <w:rPr>
          <w:rFonts w:cs="Arial"/>
        </w:rPr>
        <w:br w:type="page"/>
      </w:r>
      <w:bookmarkStart w:id="65" w:name="_Toc105489181"/>
      <w:bookmarkStart w:id="66" w:name="_Toc117243504"/>
      <w:r w:rsidR="003B175D" w:rsidRPr="008E7AB8">
        <w:rPr>
          <w:rFonts w:cs="Arial"/>
        </w:rPr>
        <w:lastRenderedPageBreak/>
        <w:t>Comparator Specifications</w:t>
      </w:r>
      <w:bookmarkEnd w:id="60"/>
      <w:bookmarkEnd w:id="61"/>
      <w:bookmarkEnd w:id="62"/>
      <w:bookmarkEnd w:id="63"/>
      <w:bookmarkEnd w:id="64"/>
      <w:bookmarkEnd w:id="65"/>
      <w:bookmarkEnd w:id="66"/>
    </w:p>
    <w:p w14:paraId="4FE3F056" w14:textId="77777777" w:rsidR="008E7AB8" w:rsidRPr="008E7AB8" w:rsidRDefault="008E7AB8" w:rsidP="008E7AB8"/>
    <w:p w14:paraId="3FFA9A9C" w14:textId="7687EC8E" w:rsidR="003B175D" w:rsidRPr="008E7AB8" w:rsidRDefault="0014336E" w:rsidP="008E7AB8">
      <w:bookmarkStart w:id="67" w:name="_Toc105489182"/>
      <w:r w:rsidRPr="008E7AB8">
        <w:t>Percentage of items prescribed at standard strength.</w:t>
      </w:r>
      <w:bookmarkEnd w:id="67"/>
      <w:r w:rsidRPr="008E7AB8">
        <w:t xml:space="preserve">  </w:t>
      </w:r>
    </w:p>
    <w:tbl>
      <w:tblPr>
        <w:tblStyle w:val="GridTable4-Accent1"/>
        <w:tblpPr w:leftFromText="181" w:rightFromText="181" w:vertAnchor="text" w:tblpY="1"/>
        <w:tblW w:w="8926" w:type="dxa"/>
        <w:tblLayout w:type="fixed"/>
        <w:tblLook w:val="04A0" w:firstRow="1" w:lastRow="0" w:firstColumn="1" w:lastColumn="0" w:noHBand="0" w:noVBand="1"/>
      </w:tblPr>
      <w:tblGrid>
        <w:gridCol w:w="534"/>
        <w:gridCol w:w="1701"/>
        <w:gridCol w:w="6691"/>
      </w:tblGrid>
      <w:tr w:rsidR="00CD58DC" w:rsidRPr="008E7AB8" w14:paraId="7CF8B3A8" w14:textId="77777777" w:rsidTr="000010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gridSpan w:val="3"/>
          </w:tcPr>
          <w:p w14:paraId="0C0A29F8" w14:textId="77777777" w:rsidR="00CD58DC" w:rsidRPr="008E7AB8" w:rsidRDefault="00CD58DC" w:rsidP="00001051">
            <w:pPr>
              <w:spacing w:after="0" w:line="240" w:lineRule="auto"/>
              <w:rPr>
                <w:rFonts w:ascii="Arial" w:hAnsi="Arial" w:cs="Arial"/>
                <w:sz w:val="18"/>
                <w:szCs w:val="18"/>
              </w:rPr>
            </w:pPr>
            <w:r w:rsidRPr="008E7AB8">
              <w:rPr>
                <w:rFonts w:ascii="Arial" w:hAnsi="Arial" w:cs="Arial"/>
                <w:sz w:val="18"/>
                <w:szCs w:val="18"/>
              </w:rPr>
              <w:t>Section 1: Introduction / Overview</w:t>
            </w:r>
          </w:p>
        </w:tc>
      </w:tr>
      <w:tr w:rsidR="00CD58DC" w:rsidRPr="008E7AB8" w14:paraId="39DC05E2" w14:textId="77777777" w:rsidTr="00001051">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534" w:type="dxa"/>
          </w:tcPr>
          <w:p w14:paraId="6C112672" w14:textId="77777777" w:rsidR="00CD58DC" w:rsidRPr="008E7AB8" w:rsidRDefault="00CD58DC" w:rsidP="00001051">
            <w:pPr>
              <w:spacing w:after="0" w:line="240" w:lineRule="auto"/>
              <w:rPr>
                <w:rFonts w:ascii="Arial" w:hAnsi="Arial" w:cs="Arial"/>
                <w:sz w:val="18"/>
                <w:szCs w:val="18"/>
              </w:rPr>
            </w:pPr>
            <w:r w:rsidRPr="008E7AB8">
              <w:rPr>
                <w:rFonts w:ascii="Arial" w:hAnsi="Arial" w:cs="Arial"/>
                <w:sz w:val="18"/>
                <w:szCs w:val="18"/>
              </w:rPr>
              <w:t>1.1</w:t>
            </w:r>
          </w:p>
          <w:p w14:paraId="68FCCB56" w14:textId="77777777" w:rsidR="00CD58DC" w:rsidRPr="008E7AB8" w:rsidRDefault="00CD58DC" w:rsidP="00001051">
            <w:pPr>
              <w:spacing w:after="0" w:line="240" w:lineRule="auto"/>
              <w:rPr>
                <w:rFonts w:ascii="Arial" w:hAnsi="Arial" w:cs="Arial"/>
                <w:sz w:val="18"/>
                <w:szCs w:val="18"/>
              </w:rPr>
            </w:pPr>
          </w:p>
        </w:tc>
        <w:tc>
          <w:tcPr>
            <w:tcW w:w="1701" w:type="dxa"/>
          </w:tcPr>
          <w:p w14:paraId="4511A00C" w14:textId="77777777" w:rsidR="00CD58DC" w:rsidRPr="008E7AB8" w:rsidRDefault="00CD58DC" w:rsidP="0000105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E7AB8">
              <w:rPr>
                <w:rFonts w:ascii="Arial" w:hAnsi="Arial" w:cs="Arial"/>
                <w:b/>
                <w:sz w:val="18"/>
                <w:szCs w:val="18"/>
              </w:rPr>
              <w:t>Title</w:t>
            </w:r>
          </w:p>
        </w:tc>
        <w:tc>
          <w:tcPr>
            <w:tcW w:w="6691" w:type="dxa"/>
          </w:tcPr>
          <w:p w14:paraId="5035C539" w14:textId="4670CDA7" w:rsidR="00CD58DC" w:rsidRPr="008E7AB8" w:rsidRDefault="00DF2A38" w:rsidP="0000105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7AB8">
              <w:rPr>
                <w:rFonts w:ascii="Arial" w:hAnsi="Arial" w:cs="Arial"/>
                <w:sz w:val="18"/>
                <w:szCs w:val="18"/>
              </w:rPr>
              <w:t>Percentage of items prescribed at standard strength.</w:t>
            </w:r>
          </w:p>
        </w:tc>
      </w:tr>
      <w:tr w:rsidR="000E0FEF" w:rsidRPr="008E7AB8" w14:paraId="192A8097" w14:textId="77777777" w:rsidTr="00001051">
        <w:tc>
          <w:tcPr>
            <w:cnfStyle w:val="001000000000" w:firstRow="0" w:lastRow="0" w:firstColumn="1" w:lastColumn="0" w:oddVBand="0" w:evenVBand="0" w:oddHBand="0" w:evenHBand="0" w:firstRowFirstColumn="0" w:firstRowLastColumn="0" w:lastRowFirstColumn="0" w:lastRowLastColumn="0"/>
            <w:tcW w:w="534" w:type="dxa"/>
          </w:tcPr>
          <w:p w14:paraId="48DA7157" w14:textId="77777777" w:rsidR="000E0FEF" w:rsidRPr="008E7AB8" w:rsidRDefault="000E0FEF" w:rsidP="00001051">
            <w:pPr>
              <w:spacing w:after="0" w:line="240" w:lineRule="auto"/>
              <w:rPr>
                <w:rFonts w:ascii="Arial" w:hAnsi="Arial" w:cs="Arial"/>
                <w:sz w:val="18"/>
                <w:szCs w:val="18"/>
              </w:rPr>
            </w:pPr>
            <w:r w:rsidRPr="008E7AB8">
              <w:rPr>
                <w:rFonts w:ascii="Arial" w:hAnsi="Arial" w:cs="Arial"/>
                <w:sz w:val="18"/>
                <w:szCs w:val="18"/>
              </w:rPr>
              <w:t>1.2</w:t>
            </w:r>
          </w:p>
        </w:tc>
        <w:tc>
          <w:tcPr>
            <w:tcW w:w="1701" w:type="dxa"/>
          </w:tcPr>
          <w:p w14:paraId="7F3ADFF5" w14:textId="77777777" w:rsidR="000E0FEF" w:rsidRPr="008E7AB8" w:rsidRDefault="000E0FEF" w:rsidP="0000105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E7AB8">
              <w:rPr>
                <w:rFonts w:ascii="Arial" w:hAnsi="Arial" w:cs="Arial"/>
                <w:b/>
                <w:sz w:val="18"/>
                <w:szCs w:val="18"/>
              </w:rPr>
              <w:t>Definition</w:t>
            </w:r>
          </w:p>
        </w:tc>
        <w:tc>
          <w:tcPr>
            <w:tcW w:w="6691" w:type="dxa"/>
          </w:tcPr>
          <w:p w14:paraId="10AEB38A" w14:textId="72A39F17" w:rsidR="000E0FEF" w:rsidRPr="008E7AB8" w:rsidRDefault="003836A8" w:rsidP="0000105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E7AB8">
              <w:rPr>
                <w:rFonts w:ascii="Arial" w:hAnsi="Arial" w:cs="Arial"/>
                <w:sz w:val="18"/>
                <w:szCs w:val="18"/>
              </w:rPr>
              <w:t xml:space="preserve">Proportion of prescribing of recommended </w:t>
            </w:r>
            <w:r w:rsidR="00FC4F03" w:rsidRPr="008E7AB8">
              <w:rPr>
                <w:rFonts w:ascii="Arial" w:hAnsi="Arial" w:cs="Arial"/>
                <w:sz w:val="18"/>
                <w:szCs w:val="18"/>
              </w:rPr>
              <w:t xml:space="preserve">concentrations for a range of oral drugs commonly </w:t>
            </w:r>
            <w:r w:rsidR="007527EF" w:rsidRPr="008E7AB8">
              <w:rPr>
                <w:rFonts w:ascii="Arial" w:hAnsi="Arial" w:cs="Arial"/>
                <w:sz w:val="18"/>
                <w:szCs w:val="18"/>
              </w:rPr>
              <w:t xml:space="preserve">prescribed as liquid formulations. </w:t>
            </w:r>
          </w:p>
        </w:tc>
      </w:tr>
      <w:tr w:rsidR="000E0FEF" w:rsidRPr="008E7AB8" w14:paraId="0697B024" w14:textId="77777777" w:rsidTr="00001051">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34" w:type="dxa"/>
          </w:tcPr>
          <w:p w14:paraId="0E93D0F6" w14:textId="77777777" w:rsidR="000E0FEF" w:rsidRPr="008E7AB8" w:rsidRDefault="000E0FEF" w:rsidP="00001051">
            <w:pPr>
              <w:spacing w:after="0" w:line="240" w:lineRule="auto"/>
              <w:rPr>
                <w:rFonts w:ascii="Arial" w:hAnsi="Arial" w:cs="Arial"/>
                <w:sz w:val="18"/>
                <w:szCs w:val="18"/>
              </w:rPr>
            </w:pPr>
            <w:r w:rsidRPr="008E7AB8">
              <w:rPr>
                <w:rFonts w:ascii="Arial" w:hAnsi="Arial" w:cs="Arial"/>
                <w:sz w:val="18"/>
                <w:szCs w:val="18"/>
              </w:rPr>
              <w:t>1.3</w:t>
            </w:r>
          </w:p>
        </w:tc>
        <w:tc>
          <w:tcPr>
            <w:tcW w:w="1701" w:type="dxa"/>
          </w:tcPr>
          <w:p w14:paraId="57C4385F" w14:textId="77777777" w:rsidR="000E0FEF" w:rsidRPr="008E7AB8" w:rsidRDefault="000E0FEF" w:rsidP="0000105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E7AB8">
              <w:rPr>
                <w:rFonts w:ascii="Arial" w:hAnsi="Arial" w:cs="Arial"/>
                <w:b/>
                <w:sz w:val="18"/>
                <w:szCs w:val="18"/>
              </w:rPr>
              <w:t>Reporting Level</w:t>
            </w:r>
          </w:p>
        </w:tc>
        <w:tc>
          <w:tcPr>
            <w:tcW w:w="6691" w:type="dxa"/>
          </w:tcPr>
          <w:p w14:paraId="1DB36789" w14:textId="7FE7233F" w:rsidR="00FF66E7" w:rsidRPr="008E7AB8" w:rsidRDefault="00796DA5" w:rsidP="0000105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7AB8">
              <w:rPr>
                <w:rFonts w:ascii="Arial" w:hAnsi="Arial" w:cs="Arial"/>
                <w:sz w:val="18"/>
                <w:szCs w:val="18"/>
              </w:rPr>
              <w:t xml:space="preserve">GP Practice/Cost Centre level (aggregated to PCN, </w:t>
            </w:r>
            <w:r w:rsidR="00673D81" w:rsidRPr="008E7AB8">
              <w:rPr>
                <w:rFonts w:ascii="Arial" w:hAnsi="Arial" w:cs="Arial"/>
                <w:sz w:val="18"/>
                <w:szCs w:val="18"/>
              </w:rPr>
              <w:t>SICBL</w:t>
            </w:r>
            <w:r w:rsidRPr="008E7AB8">
              <w:rPr>
                <w:rFonts w:ascii="Arial" w:hAnsi="Arial" w:cs="Arial"/>
                <w:sz w:val="18"/>
                <w:szCs w:val="18"/>
              </w:rPr>
              <w:t>, Regional and England level)</w:t>
            </w:r>
            <w:r w:rsidR="00FF66E7" w:rsidRPr="008E7AB8">
              <w:rPr>
                <w:rFonts w:ascii="Arial" w:hAnsi="Arial" w:cs="Arial"/>
                <w:sz w:val="18"/>
                <w:szCs w:val="18"/>
              </w:rPr>
              <w:t xml:space="preserve">.  </w:t>
            </w:r>
          </w:p>
        </w:tc>
      </w:tr>
      <w:tr w:rsidR="000E0FEF" w:rsidRPr="008E7AB8" w14:paraId="2DF1D3A9" w14:textId="77777777" w:rsidTr="00001051">
        <w:trPr>
          <w:trHeight w:val="4050"/>
        </w:trPr>
        <w:tc>
          <w:tcPr>
            <w:cnfStyle w:val="001000000000" w:firstRow="0" w:lastRow="0" w:firstColumn="1" w:lastColumn="0" w:oddVBand="0" w:evenVBand="0" w:oddHBand="0" w:evenHBand="0" w:firstRowFirstColumn="0" w:firstRowLastColumn="0" w:lastRowFirstColumn="0" w:lastRowLastColumn="0"/>
            <w:tcW w:w="534" w:type="dxa"/>
          </w:tcPr>
          <w:p w14:paraId="044CFF7E" w14:textId="77777777" w:rsidR="000E0FEF" w:rsidRPr="008E7AB8" w:rsidRDefault="000E0FEF" w:rsidP="00001051">
            <w:pPr>
              <w:spacing w:after="0" w:line="240" w:lineRule="auto"/>
              <w:rPr>
                <w:rFonts w:ascii="Arial" w:hAnsi="Arial" w:cs="Arial"/>
                <w:sz w:val="18"/>
                <w:szCs w:val="18"/>
              </w:rPr>
            </w:pPr>
            <w:r w:rsidRPr="008E7AB8">
              <w:rPr>
                <w:rFonts w:ascii="Arial" w:hAnsi="Arial" w:cs="Arial"/>
                <w:sz w:val="18"/>
                <w:szCs w:val="18"/>
              </w:rPr>
              <w:t>1.4</w:t>
            </w:r>
          </w:p>
        </w:tc>
        <w:tc>
          <w:tcPr>
            <w:tcW w:w="1701" w:type="dxa"/>
          </w:tcPr>
          <w:p w14:paraId="18F230E9" w14:textId="77777777" w:rsidR="000E0FEF" w:rsidRPr="008E7AB8" w:rsidRDefault="000E0FEF" w:rsidP="0000105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E7AB8">
              <w:rPr>
                <w:rFonts w:ascii="Arial" w:hAnsi="Arial" w:cs="Arial"/>
                <w:b/>
                <w:sz w:val="18"/>
                <w:szCs w:val="18"/>
              </w:rPr>
              <w:t>Numerator</w:t>
            </w:r>
          </w:p>
        </w:tc>
        <w:tc>
          <w:tcPr>
            <w:tcW w:w="6691" w:type="dxa"/>
          </w:tcPr>
          <w:p w14:paraId="1E4B0D99" w14:textId="7A61F37F" w:rsidR="000E0FEF" w:rsidRPr="008E7AB8" w:rsidRDefault="007C2F4D" w:rsidP="0000105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E7AB8">
              <w:rPr>
                <w:rFonts w:ascii="Arial" w:hAnsi="Arial" w:cs="Arial"/>
                <w:sz w:val="18"/>
                <w:szCs w:val="18"/>
              </w:rPr>
              <w:t>Number of items prescribed to all patients</w:t>
            </w:r>
            <w:r w:rsidR="003C596B" w:rsidRPr="008E7AB8">
              <w:rPr>
                <w:rFonts w:ascii="Arial" w:hAnsi="Arial" w:cs="Arial"/>
                <w:sz w:val="18"/>
                <w:szCs w:val="18"/>
              </w:rPr>
              <w:t xml:space="preserve"> over a </w:t>
            </w:r>
            <w:r w:rsidR="007163E1" w:rsidRPr="008E7AB8">
              <w:rPr>
                <w:rFonts w:ascii="Arial" w:hAnsi="Arial" w:cs="Arial"/>
                <w:sz w:val="18"/>
                <w:szCs w:val="18"/>
              </w:rPr>
              <w:t>12-month</w:t>
            </w:r>
            <w:r w:rsidR="003C596B" w:rsidRPr="008E7AB8">
              <w:rPr>
                <w:rFonts w:ascii="Arial" w:hAnsi="Arial" w:cs="Arial"/>
                <w:sz w:val="18"/>
                <w:szCs w:val="18"/>
              </w:rPr>
              <w:t xml:space="preserve"> period</w:t>
            </w:r>
            <w:r w:rsidRPr="008E7AB8">
              <w:rPr>
                <w:rFonts w:ascii="Arial" w:hAnsi="Arial" w:cs="Arial"/>
                <w:sz w:val="18"/>
                <w:szCs w:val="18"/>
              </w:rPr>
              <w:t xml:space="preserve"> for </w:t>
            </w:r>
            <w:r w:rsidR="001B4A8E" w:rsidRPr="008E7AB8">
              <w:rPr>
                <w:rFonts w:ascii="Arial" w:hAnsi="Arial" w:cs="Arial"/>
                <w:sz w:val="18"/>
                <w:szCs w:val="18"/>
              </w:rPr>
              <w:t xml:space="preserve">Liquids, Oral Solutions and Oral Suspensions </w:t>
            </w:r>
            <w:r w:rsidR="00622B42" w:rsidRPr="008E7AB8">
              <w:rPr>
                <w:rFonts w:ascii="Arial" w:hAnsi="Arial" w:cs="Arial"/>
                <w:sz w:val="18"/>
                <w:szCs w:val="18"/>
              </w:rPr>
              <w:t xml:space="preserve">of </w:t>
            </w:r>
            <w:r w:rsidRPr="008E7AB8">
              <w:rPr>
                <w:rFonts w:ascii="Arial" w:hAnsi="Arial" w:cs="Arial"/>
                <w:sz w:val="18"/>
                <w:szCs w:val="18"/>
              </w:rPr>
              <w:t xml:space="preserve">the following </w:t>
            </w:r>
            <w:r w:rsidR="00D24672">
              <w:rPr>
                <w:rFonts w:ascii="Arial" w:hAnsi="Arial" w:cs="Arial"/>
                <w:sz w:val="18"/>
                <w:szCs w:val="18"/>
              </w:rPr>
              <w:t xml:space="preserve">standard </w:t>
            </w:r>
            <w:r w:rsidRPr="008E7AB8">
              <w:rPr>
                <w:rFonts w:ascii="Arial" w:hAnsi="Arial" w:cs="Arial"/>
                <w:sz w:val="18"/>
                <w:szCs w:val="18"/>
              </w:rPr>
              <w:t>drugs</w:t>
            </w:r>
            <w:r w:rsidR="0035455F" w:rsidRPr="008E7AB8">
              <w:rPr>
                <w:rFonts w:ascii="Arial" w:hAnsi="Arial" w:cs="Arial"/>
                <w:sz w:val="18"/>
                <w:szCs w:val="18"/>
              </w:rPr>
              <w:t xml:space="preserve"> and strengths</w:t>
            </w:r>
            <w:r w:rsidRPr="008E7AB8">
              <w:rPr>
                <w:rFonts w:ascii="Arial" w:hAnsi="Arial" w:cs="Arial"/>
                <w:sz w:val="18"/>
                <w:szCs w:val="18"/>
              </w:rPr>
              <w:t>:</w:t>
            </w:r>
          </w:p>
          <w:p w14:paraId="40556DD7" w14:textId="77777777" w:rsidR="007C2F4D" w:rsidRPr="008E7AB8" w:rsidRDefault="007C2F4D" w:rsidP="0000105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bl>
            <w:tblPr>
              <w:tblStyle w:val="TableGridLight"/>
              <w:tblW w:w="5999" w:type="dxa"/>
              <w:tblLayout w:type="fixed"/>
              <w:tblLook w:val="04A0" w:firstRow="1" w:lastRow="0" w:firstColumn="1" w:lastColumn="0" w:noHBand="0" w:noVBand="1"/>
            </w:tblPr>
            <w:tblGrid>
              <w:gridCol w:w="2880"/>
              <w:gridCol w:w="1276"/>
              <w:gridCol w:w="1843"/>
            </w:tblGrid>
            <w:tr w:rsidR="00106C61" w:rsidRPr="008E7AB8" w14:paraId="1B436B6D" w14:textId="77777777" w:rsidTr="001D0E6E">
              <w:trPr>
                <w:trHeight w:val="262"/>
              </w:trPr>
              <w:tc>
                <w:tcPr>
                  <w:tcW w:w="2880" w:type="dxa"/>
                </w:tcPr>
                <w:p w14:paraId="2274746F" w14:textId="3A37C0AD" w:rsidR="00106C61" w:rsidRPr="008E7AB8" w:rsidRDefault="00106C61" w:rsidP="00AB662C">
                  <w:pPr>
                    <w:framePr w:hSpace="181" w:wrap="around" w:vAnchor="text" w:hAnchor="text" w:y="1"/>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 xml:space="preserve">BNF Chemical Substance </w:t>
                  </w:r>
                </w:p>
              </w:tc>
              <w:tc>
                <w:tcPr>
                  <w:tcW w:w="1276" w:type="dxa"/>
                </w:tcPr>
                <w:p w14:paraId="78BE09F9" w14:textId="6066B7C7" w:rsidR="00106C61" w:rsidRPr="008E7AB8" w:rsidRDefault="00106C61" w:rsidP="00AB662C">
                  <w:pPr>
                    <w:framePr w:hSpace="181" w:wrap="around" w:vAnchor="text" w:hAnchor="text" w:y="1"/>
                    <w:spacing w:after="0" w:line="240" w:lineRule="auto"/>
                    <w:jc w:val="center"/>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BNF Code</w:t>
                  </w:r>
                </w:p>
              </w:tc>
              <w:tc>
                <w:tcPr>
                  <w:tcW w:w="1843" w:type="dxa"/>
                  <w:hideMark/>
                </w:tcPr>
                <w:p w14:paraId="112388CA" w14:textId="19E484FC" w:rsidR="00106C61" w:rsidRPr="008E7AB8" w:rsidRDefault="00106C61" w:rsidP="00AB662C">
                  <w:pPr>
                    <w:framePr w:hSpace="181" w:wrap="around" w:vAnchor="text" w:hAnchor="text" w:y="1"/>
                    <w:spacing w:after="0" w:line="240" w:lineRule="auto"/>
                    <w:jc w:val="center"/>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Strength</w:t>
                  </w:r>
                </w:p>
              </w:tc>
            </w:tr>
            <w:tr w:rsidR="00831AD9" w:rsidRPr="008E7AB8" w14:paraId="78862C7C" w14:textId="77777777" w:rsidTr="001D0E6E">
              <w:trPr>
                <w:trHeight w:val="248"/>
              </w:trPr>
              <w:tc>
                <w:tcPr>
                  <w:tcW w:w="2880" w:type="dxa"/>
                </w:tcPr>
                <w:p w14:paraId="3978E6A2" w14:textId="07E781D2" w:rsidR="00831AD9" w:rsidRPr="008E7AB8" w:rsidRDefault="00831AD9" w:rsidP="00AB662C">
                  <w:pPr>
                    <w:framePr w:hSpace="181" w:wrap="around" w:vAnchor="text" w:hAnchor="text" w:y="1"/>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Azathioprine</w:t>
                  </w:r>
                </w:p>
              </w:tc>
              <w:tc>
                <w:tcPr>
                  <w:tcW w:w="1276" w:type="dxa"/>
                </w:tcPr>
                <w:p w14:paraId="3106030C" w14:textId="5FA549E6" w:rsidR="00831AD9" w:rsidRPr="008E7AB8" w:rsidRDefault="00831AD9" w:rsidP="00AB662C">
                  <w:pPr>
                    <w:framePr w:hSpace="181" w:wrap="around" w:vAnchor="text" w:hAnchor="text" w:y="1"/>
                    <w:spacing w:after="0" w:line="240" w:lineRule="auto"/>
                    <w:jc w:val="right"/>
                    <w:rPr>
                      <w:rFonts w:ascii="Arial" w:eastAsia="Times New Roman" w:hAnsi="Arial" w:cs="Arial"/>
                      <w:color w:val="000000"/>
                      <w:sz w:val="20"/>
                      <w:szCs w:val="20"/>
                      <w:lang w:eastAsia="en-GB"/>
                    </w:rPr>
                  </w:pPr>
                  <w:r w:rsidRPr="008E7AB8">
                    <w:rPr>
                      <w:rFonts w:ascii="Arial" w:eastAsia="Times New Roman" w:hAnsi="Arial" w:cs="Arial"/>
                      <w:color w:val="000000"/>
                      <w:sz w:val="18"/>
                      <w:szCs w:val="18"/>
                      <w:lang w:eastAsia="en-GB"/>
                    </w:rPr>
                    <w:t>0802010G0</w:t>
                  </w:r>
                </w:p>
              </w:tc>
              <w:tc>
                <w:tcPr>
                  <w:tcW w:w="1843" w:type="dxa"/>
                </w:tcPr>
                <w:p w14:paraId="492A5831" w14:textId="0EFCCA99" w:rsidR="00831AD9" w:rsidRPr="00481911" w:rsidRDefault="00831AD9" w:rsidP="00AB662C">
                  <w:pPr>
                    <w:framePr w:hSpace="181" w:wrap="around" w:vAnchor="text" w:hAnchor="text" w:y="1"/>
                    <w:spacing w:after="0" w:line="240" w:lineRule="auto"/>
                    <w:rPr>
                      <w:rFonts w:ascii="Arial" w:eastAsia="Times New Roman" w:hAnsi="Arial" w:cs="Arial"/>
                      <w:color w:val="000000"/>
                      <w:sz w:val="18"/>
                      <w:szCs w:val="18"/>
                      <w:lang w:eastAsia="en-GB"/>
                    </w:rPr>
                  </w:pPr>
                  <w:r w:rsidRPr="00481911">
                    <w:rPr>
                      <w:rFonts w:ascii="Arial" w:hAnsi="Arial" w:cs="Arial"/>
                      <w:sz w:val="18"/>
                      <w:szCs w:val="18"/>
                    </w:rPr>
                    <w:t>10mg/ml</w:t>
                  </w:r>
                </w:p>
              </w:tc>
            </w:tr>
            <w:tr w:rsidR="00831AD9" w:rsidRPr="008E7AB8" w14:paraId="00D41383" w14:textId="77777777" w:rsidTr="001D0E6E">
              <w:trPr>
                <w:trHeight w:val="248"/>
              </w:trPr>
              <w:tc>
                <w:tcPr>
                  <w:tcW w:w="2880" w:type="dxa"/>
                </w:tcPr>
                <w:p w14:paraId="0C0C2F88" w14:textId="576C0804" w:rsidR="00831AD9" w:rsidRPr="008E7AB8" w:rsidRDefault="00831AD9" w:rsidP="00AB662C">
                  <w:pPr>
                    <w:framePr w:hSpace="181" w:wrap="around" w:vAnchor="text" w:hAnchor="text" w:y="1"/>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Chloral hydrate</w:t>
                  </w:r>
                </w:p>
              </w:tc>
              <w:tc>
                <w:tcPr>
                  <w:tcW w:w="1276" w:type="dxa"/>
                </w:tcPr>
                <w:p w14:paraId="3A1CFA30" w14:textId="6310D904" w:rsidR="00831AD9" w:rsidRPr="008E7AB8" w:rsidRDefault="00831AD9" w:rsidP="00AB662C">
                  <w:pPr>
                    <w:framePr w:hSpace="181" w:wrap="around" w:vAnchor="text" w:hAnchor="text" w:y="1"/>
                    <w:spacing w:after="0" w:line="240" w:lineRule="auto"/>
                    <w:jc w:val="right"/>
                    <w:rPr>
                      <w:rFonts w:ascii="Arial" w:eastAsia="Times New Roman" w:hAnsi="Arial" w:cs="Arial"/>
                      <w:color w:val="000000"/>
                      <w:sz w:val="20"/>
                      <w:szCs w:val="20"/>
                      <w:lang w:eastAsia="en-GB"/>
                    </w:rPr>
                  </w:pPr>
                  <w:r w:rsidRPr="008E7AB8">
                    <w:rPr>
                      <w:rFonts w:ascii="Arial" w:eastAsia="Times New Roman" w:hAnsi="Arial" w:cs="Arial"/>
                      <w:color w:val="000000"/>
                      <w:sz w:val="18"/>
                      <w:szCs w:val="18"/>
                      <w:lang w:eastAsia="en-GB"/>
                    </w:rPr>
                    <w:t>0401010B0</w:t>
                  </w:r>
                </w:p>
              </w:tc>
              <w:tc>
                <w:tcPr>
                  <w:tcW w:w="1843" w:type="dxa"/>
                </w:tcPr>
                <w:p w14:paraId="27B90A7D" w14:textId="12F4F6C6" w:rsidR="00831AD9" w:rsidRPr="00481911" w:rsidRDefault="00831AD9" w:rsidP="00AB662C">
                  <w:pPr>
                    <w:framePr w:hSpace="181" w:wrap="around" w:vAnchor="text" w:hAnchor="text" w:y="1"/>
                    <w:spacing w:after="0" w:line="240" w:lineRule="auto"/>
                    <w:rPr>
                      <w:rFonts w:ascii="Arial" w:eastAsia="Times New Roman" w:hAnsi="Arial" w:cs="Arial"/>
                      <w:color w:val="000000"/>
                      <w:sz w:val="18"/>
                      <w:szCs w:val="18"/>
                      <w:lang w:eastAsia="en-GB"/>
                    </w:rPr>
                  </w:pPr>
                  <w:r w:rsidRPr="00481911">
                    <w:rPr>
                      <w:rFonts w:ascii="Arial" w:hAnsi="Arial" w:cs="Arial"/>
                      <w:sz w:val="18"/>
                      <w:szCs w:val="18"/>
                    </w:rPr>
                    <w:t>100mg/ml</w:t>
                  </w:r>
                </w:p>
              </w:tc>
            </w:tr>
            <w:tr w:rsidR="00831AD9" w:rsidRPr="008E7AB8" w14:paraId="0A0AEA99" w14:textId="77777777" w:rsidTr="001D0E6E">
              <w:trPr>
                <w:trHeight w:val="248"/>
              </w:trPr>
              <w:tc>
                <w:tcPr>
                  <w:tcW w:w="2880" w:type="dxa"/>
                </w:tcPr>
                <w:p w14:paraId="0F5B5986" w14:textId="667C5A2B" w:rsidR="00831AD9" w:rsidRPr="008E7AB8" w:rsidRDefault="00831AD9" w:rsidP="00AB662C">
                  <w:pPr>
                    <w:framePr w:hSpace="181" w:wrap="around" w:vAnchor="text" w:hAnchor="text" w:y="1"/>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Clopidogrel</w:t>
                  </w:r>
                </w:p>
              </w:tc>
              <w:tc>
                <w:tcPr>
                  <w:tcW w:w="1276" w:type="dxa"/>
                </w:tcPr>
                <w:p w14:paraId="654C851E" w14:textId="18624DD7" w:rsidR="00831AD9" w:rsidRPr="008E7AB8" w:rsidRDefault="00831AD9" w:rsidP="00AB662C">
                  <w:pPr>
                    <w:framePr w:hSpace="181" w:wrap="around" w:vAnchor="text" w:hAnchor="text" w:y="1"/>
                    <w:spacing w:after="0" w:line="240" w:lineRule="auto"/>
                    <w:jc w:val="right"/>
                    <w:rPr>
                      <w:rFonts w:ascii="Arial" w:eastAsia="Times New Roman" w:hAnsi="Arial" w:cs="Arial"/>
                      <w:color w:val="000000"/>
                      <w:sz w:val="20"/>
                      <w:szCs w:val="20"/>
                      <w:lang w:eastAsia="en-GB"/>
                    </w:rPr>
                  </w:pPr>
                  <w:r w:rsidRPr="008E7AB8">
                    <w:rPr>
                      <w:rFonts w:ascii="Arial" w:eastAsia="Times New Roman" w:hAnsi="Arial" w:cs="Arial"/>
                      <w:color w:val="000000"/>
                      <w:sz w:val="18"/>
                      <w:szCs w:val="18"/>
                      <w:lang w:eastAsia="en-GB"/>
                    </w:rPr>
                    <w:t>0209000C0</w:t>
                  </w:r>
                </w:p>
              </w:tc>
              <w:tc>
                <w:tcPr>
                  <w:tcW w:w="1843" w:type="dxa"/>
                </w:tcPr>
                <w:p w14:paraId="28CAE048" w14:textId="5AABBD54" w:rsidR="00831AD9" w:rsidRPr="00481911" w:rsidRDefault="00831AD9" w:rsidP="00AB662C">
                  <w:pPr>
                    <w:framePr w:hSpace="181" w:wrap="around" w:vAnchor="text" w:hAnchor="text" w:y="1"/>
                    <w:spacing w:after="0" w:line="240" w:lineRule="auto"/>
                    <w:rPr>
                      <w:rFonts w:ascii="Arial" w:eastAsia="Times New Roman" w:hAnsi="Arial" w:cs="Arial"/>
                      <w:color w:val="000000"/>
                      <w:sz w:val="18"/>
                      <w:szCs w:val="18"/>
                      <w:lang w:eastAsia="en-GB"/>
                    </w:rPr>
                  </w:pPr>
                  <w:r w:rsidRPr="00481911">
                    <w:rPr>
                      <w:rFonts w:ascii="Arial" w:hAnsi="Arial" w:cs="Arial"/>
                      <w:sz w:val="18"/>
                      <w:szCs w:val="18"/>
                    </w:rPr>
                    <w:t>5mg/ml</w:t>
                  </w:r>
                </w:p>
              </w:tc>
            </w:tr>
            <w:tr w:rsidR="00831AD9" w:rsidRPr="008E7AB8" w14:paraId="04A252D9" w14:textId="77777777" w:rsidTr="001D0E6E">
              <w:trPr>
                <w:trHeight w:val="248"/>
              </w:trPr>
              <w:tc>
                <w:tcPr>
                  <w:tcW w:w="2880" w:type="dxa"/>
                </w:tcPr>
                <w:p w14:paraId="2A362B69" w14:textId="4B9BFFDC" w:rsidR="00831AD9" w:rsidRPr="008E7AB8" w:rsidRDefault="00831AD9" w:rsidP="00AB662C">
                  <w:pPr>
                    <w:framePr w:hSpace="181" w:wrap="around" w:vAnchor="text" w:hAnchor="text" w:y="1"/>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Ethambutol hydrochloride</w:t>
                  </w:r>
                </w:p>
              </w:tc>
              <w:tc>
                <w:tcPr>
                  <w:tcW w:w="1276" w:type="dxa"/>
                </w:tcPr>
                <w:p w14:paraId="03F772C4" w14:textId="0E50ED5A" w:rsidR="00831AD9" w:rsidRPr="008E7AB8" w:rsidRDefault="00831AD9" w:rsidP="00AB662C">
                  <w:pPr>
                    <w:framePr w:hSpace="181" w:wrap="around" w:vAnchor="text" w:hAnchor="text" w:y="1"/>
                    <w:spacing w:after="0" w:line="240" w:lineRule="auto"/>
                    <w:jc w:val="right"/>
                    <w:rPr>
                      <w:rFonts w:ascii="Arial" w:eastAsia="Times New Roman" w:hAnsi="Arial" w:cs="Arial"/>
                      <w:color w:val="000000"/>
                      <w:sz w:val="20"/>
                      <w:szCs w:val="20"/>
                      <w:lang w:eastAsia="en-GB"/>
                    </w:rPr>
                  </w:pPr>
                  <w:r w:rsidRPr="008E7AB8">
                    <w:rPr>
                      <w:rFonts w:ascii="Arial" w:eastAsia="Times New Roman" w:hAnsi="Arial" w:cs="Arial"/>
                      <w:color w:val="000000"/>
                      <w:sz w:val="18"/>
                      <w:szCs w:val="18"/>
                      <w:lang w:eastAsia="en-GB"/>
                    </w:rPr>
                    <w:t>0501090H0</w:t>
                  </w:r>
                </w:p>
              </w:tc>
              <w:tc>
                <w:tcPr>
                  <w:tcW w:w="1843" w:type="dxa"/>
                </w:tcPr>
                <w:p w14:paraId="4970BA27" w14:textId="098B3096" w:rsidR="00831AD9" w:rsidRPr="00481911" w:rsidRDefault="00831AD9" w:rsidP="00AB662C">
                  <w:pPr>
                    <w:framePr w:hSpace="181" w:wrap="around" w:vAnchor="text" w:hAnchor="text" w:y="1"/>
                    <w:spacing w:after="0" w:line="240" w:lineRule="auto"/>
                    <w:rPr>
                      <w:rFonts w:ascii="Arial" w:eastAsia="Times New Roman" w:hAnsi="Arial" w:cs="Arial"/>
                      <w:color w:val="000000"/>
                      <w:sz w:val="18"/>
                      <w:szCs w:val="18"/>
                      <w:lang w:eastAsia="en-GB"/>
                    </w:rPr>
                  </w:pPr>
                  <w:r w:rsidRPr="00481911">
                    <w:rPr>
                      <w:rFonts w:ascii="Arial" w:hAnsi="Arial" w:cs="Arial"/>
                      <w:sz w:val="18"/>
                      <w:szCs w:val="18"/>
                    </w:rPr>
                    <w:t>80mg/ml</w:t>
                  </w:r>
                </w:p>
              </w:tc>
            </w:tr>
            <w:tr w:rsidR="00831AD9" w:rsidRPr="008E7AB8" w14:paraId="652627C9" w14:textId="77777777" w:rsidTr="001D0E6E">
              <w:trPr>
                <w:trHeight w:val="248"/>
              </w:trPr>
              <w:tc>
                <w:tcPr>
                  <w:tcW w:w="2880" w:type="dxa"/>
                </w:tcPr>
                <w:p w14:paraId="68D91F1A" w14:textId="3AB36567" w:rsidR="00831AD9" w:rsidRPr="008E7AB8" w:rsidRDefault="00831AD9" w:rsidP="00AB662C">
                  <w:pPr>
                    <w:framePr w:hSpace="181" w:wrap="around" w:vAnchor="text" w:hAnchor="text" w:y="1"/>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Hydrocortisone</w:t>
                  </w:r>
                </w:p>
              </w:tc>
              <w:tc>
                <w:tcPr>
                  <w:tcW w:w="1276" w:type="dxa"/>
                </w:tcPr>
                <w:p w14:paraId="0B48D627" w14:textId="51AE4AAB" w:rsidR="00831AD9" w:rsidRPr="008E7AB8" w:rsidRDefault="00831AD9" w:rsidP="00AB662C">
                  <w:pPr>
                    <w:framePr w:hSpace="181" w:wrap="around" w:vAnchor="text" w:hAnchor="text" w:y="1"/>
                    <w:spacing w:after="0" w:line="240" w:lineRule="auto"/>
                    <w:jc w:val="right"/>
                    <w:rPr>
                      <w:rFonts w:ascii="Arial" w:eastAsia="Times New Roman" w:hAnsi="Arial" w:cs="Arial"/>
                      <w:color w:val="000000"/>
                      <w:sz w:val="20"/>
                      <w:szCs w:val="20"/>
                      <w:lang w:eastAsia="en-GB"/>
                    </w:rPr>
                  </w:pPr>
                  <w:r w:rsidRPr="008E7AB8">
                    <w:rPr>
                      <w:rFonts w:ascii="Arial" w:eastAsia="Times New Roman" w:hAnsi="Arial" w:cs="Arial"/>
                      <w:color w:val="000000"/>
                      <w:sz w:val="18"/>
                      <w:szCs w:val="18"/>
                      <w:lang w:eastAsia="en-GB"/>
                    </w:rPr>
                    <w:t>0603020J0</w:t>
                  </w:r>
                </w:p>
              </w:tc>
              <w:tc>
                <w:tcPr>
                  <w:tcW w:w="1843" w:type="dxa"/>
                </w:tcPr>
                <w:p w14:paraId="576552CB" w14:textId="3BD3A1A4" w:rsidR="00831AD9" w:rsidRPr="00481911" w:rsidRDefault="00831AD9" w:rsidP="00AB662C">
                  <w:pPr>
                    <w:framePr w:hSpace="181" w:wrap="around" w:vAnchor="text" w:hAnchor="text" w:y="1"/>
                    <w:spacing w:after="0" w:line="240" w:lineRule="auto"/>
                    <w:rPr>
                      <w:rFonts w:ascii="Arial" w:eastAsia="Times New Roman" w:hAnsi="Arial" w:cs="Arial"/>
                      <w:color w:val="000000"/>
                      <w:sz w:val="18"/>
                      <w:szCs w:val="18"/>
                      <w:lang w:eastAsia="en-GB"/>
                    </w:rPr>
                  </w:pPr>
                  <w:r w:rsidRPr="00481911">
                    <w:rPr>
                      <w:rFonts w:ascii="Arial" w:hAnsi="Arial" w:cs="Arial"/>
                      <w:sz w:val="18"/>
                      <w:szCs w:val="18"/>
                    </w:rPr>
                    <w:t>1mg/ml</w:t>
                  </w:r>
                </w:p>
              </w:tc>
            </w:tr>
            <w:tr w:rsidR="00831AD9" w:rsidRPr="008E7AB8" w14:paraId="1603EB07" w14:textId="77777777" w:rsidTr="001D0E6E">
              <w:trPr>
                <w:trHeight w:val="248"/>
              </w:trPr>
              <w:tc>
                <w:tcPr>
                  <w:tcW w:w="2880" w:type="dxa"/>
                </w:tcPr>
                <w:p w14:paraId="71E85FCC" w14:textId="0F45E907" w:rsidR="00831AD9" w:rsidRPr="008E7AB8" w:rsidRDefault="00831AD9" w:rsidP="00AB662C">
                  <w:pPr>
                    <w:framePr w:hSpace="181" w:wrap="around" w:vAnchor="text" w:hAnchor="text" w:y="1"/>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Isoniazid</w:t>
                  </w:r>
                </w:p>
              </w:tc>
              <w:tc>
                <w:tcPr>
                  <w:tcW w:w="1276" w:type="dxa"/>
                </w:tcPr>
                <w:p w14:paraId="4E544073" w14:textId="26736C12" w:rsidR="00831AD9" w:rsidRPr="008E7AB8" w:rsidRDefault="00831AD9" w:rsidP="00AB662C">
                  <w:pPr>
                    <w:framePr w:hSpace="181" w:wrap="around" w:vAnchor="text" w:hAnchor="text" w:y="1"/>
                    <w:spacing w:after="0" w:line="240" w:lineRule="auto"/>
                    <w:jc w:val="right"/>
                    <w:rPr>
                      <w:rFonts w:ascii="Arial" w:eastAsia="Times New Roman" w:hAnsi="Arial" w:cs="Arial"/>
                      <w:color w:val="000000"/>
                      <w:sz w:val="20"/>
                      <w:szCs w:val="20"/>
                      <w:lang w:eastAsia="en-GB"/>
                    </w:rPr>
                  </w:pPr>
                  <w:r w:rsidRPr="008E7AB8">
                    <w:rPr>
                      <w:rFonts w:ascii="Arial" w:eastAsia="Times New Roman" w:hAnsi="Arial" w:cs="Arial"/>
                      <w:color w:val="000000"/>
                      <w:sz w:val="18"/>
                      <w:szCs w:val="18"/>
                      <w:lang w:eastAsia="en-GB"/>
                    </w:rPr>
                    <w:t>0501090K0</w:t>
                  </w:r>
                </w:p>
              </w:tc>
              <w:tc>
                <w:tcPr>
                  <w:tcW w:w="1843" w:type="dxa"/>
                </w:tcPr>
                <w:p w14:paraId="0BFA2256" w14:textId="40ECDE6E" w:rsidR="00831AD9" w:rsidRPr="00481911" w:rsidRDefault="00831AD9" w:rsidP="00AB662C">
                  <w:pPr>
                    <w:framePr w:hSpace="181" w:wrap="around" w:vAnchor="text" w:hAnchor="text" w:y="1"/>
                    <w:spacing w:after="0" w:line="240" w:lineRule="auto"/>
                    <w:rPr>
                      <w:rFonts w:ascii="Arial" w:eastAsia="Times New Roman" w:hAnsi="Arial" w:cs="Arial"/>
                      <w:color w:val="000000"/>
                      <w:sz w:val="18"/>
                      <w:szCs w:val="18"/>
                      <w:lang w:eastAsia="en-GB"/>
                    </w:rPr>
                  </w:pPr>
                  <w:r w:rsidRPr="00481911">
                    <w:rPr>
                      <w:rFonts w:ascii="Arial" w:hAnsi="Arial" w:cs="Arial"/>
                      <w:sz w:val="18"/>
                      <w:szCs w:val="18"/>
                    </w:rPr>
                    <w:t>10mg/ml</w:t>
                  </w:r>
                </w:p>
              </w:tc>
            </w:tr>
            <w:tr w:rsidR="00831AD9" w:rsidRPr="008E7AB8" w14:paraId="4462DD28" w14:textId="77777777" w:rsidTr="001D0E6E">
              <w:trPr>
                <w:trHeight w:val="248"/>
              </w:trPr>
              <w:tc>
                <w:tcPr>
                  <w:tcW w:w="2880" w:type="dxa"/>
                </w:tcPr>
                <w:p w14:paraId="5195DC84" w14:textId="08096566" w:rsidR="00831AD9" w:rsidRPr="008E7AB8" w:rsidRDefault="00831AD9" w:rsidP="00AB662C">
                  <w:pPr>
                    <w:framePr w:hSpace="181" w:wrap="around" w:vAnchor="text" w:hAnchor="text" w:y="1"/>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Phenobarbital</w:t>
                  </w:r>
                </w:p>
              </w:tc>
              <w:tc>
                <w:tcPr>
                  <w:tcW w:w="1276" w:type="dxa"/>
                </w:tcPr>
                <w:p w14:paraId="28EFAA61" w14:textId="3505C23C" w:rsidR="00831AD9" w:rsidRPr="008E7AB8" w:rsidRDefault="00831AD9" w:rsidP="00AB662C">
                  <w:pPr>
                    <w:framePr w:hSpace="181" w:wrap="around" w:vAnchor="text" w:hAnchor="text" w:y="1"/>
                    <w:spacing w:after="0" w:line="240" w:lineRule="auto"/>
                    <w:jc w:val="right"/>
                    <w:rPr>
                      <w:rFonts w:ascii="Arial" w:eastAsia="Times New Roman" w:hAnsi="Arial" w:cs="Arial"/>
                      <w:color w:val="000000"/>
                      <w:sz w:val="20"/>
                      <w:szCs w:val="20"/>
                      <w:lang w:eastAsia="en-GB"/>
                    </w:rPr>
                  </w:pPr>
                  <w:r w:rsidRPr="008E7AB8">
                    <w:rPr>
                      <w:rFonts w:ascii="Arial" w:eastAsia="Times New Roman" w:hAnsi="Arial" w:cs="Arial"/>
                      <w:color w:val="000000"/>
                      <w:sz w:val="18"/>
                      <w:szCs w:val="18"/>
                      <w:lang w:eastAsia="en-GB"/>
                    </w:rPr>
                    <w:t>0408010N0</w:t>
                  </w:r>
                </w:p>
              </w:tc>
              <w:tc>
                <w:tcPr>
                  <w:tcW w:w="1843" w:type="dxa"/>
                </w:tcPr>
                <w:p w14:paraId="5A352896" w14:textId="5A1DF13C" w:rsidR="00831AD9" w:rsidRPr="00481911" w:rsidRDefault="00831AD9" w:rsidP="00AB662C">
                  <w:pPr>
                    <w:framePr w:hSpace="181" w:wrap="around" w:vAnchor="text" w:hAnchor="text" w:y="1"/>
                    <w:spacing w:after="0" w:line="240" w:lineRule="auto"/>
                    <w:rPr>
                      <w:rFonts w:ascii="Arial" w:eastAsia="Times New Roman" w:hAnsi="Arial" w:cs="Arial"/>
                      <w:color w:val="000000"/>
                      <w:sz w:val="18"/>
                      <w:szCs w:val="18"/>
                      <w:lang w:eastAsia="en-GB"/>
                    </w:rPr>
                  </w:pPr>
                  <w:r w:rsidRPr="00481911">
                    <w:rPr>
                      <w:rFonts w:ascii="Arial" w:hAnsi="Arial" w:cs="Arial"/>
                      <w:sz w:val="18"/>
                      <w:szCs w:val="18"/>
                    </w:rPr>
                    <w:t>10mg/ml</w:t>
                  </w:r>
                </w:p>
              </w:tc>
            </w:tr>
            <w:tr w:rsidR="00831AD9" w:rsidRPr="008E7AB8" w14:paraId="402A8AC3" w14:textId="77777777" w:rsidTr="001D0E6E">
              <w:trPr>
                <w:trHeight w:val="248"/>
              </w:trPr>
              <w:tc>
                <w:tcPr>
                  <w:tcW w:w="2880" w:type="dxa"/>
                </w:tcPr>
                <w:p w14:paraId="50D72AF6" w14:textId="6B83A1D7" w:rsidR="00831AD9" w:rsidRPr="008E7AB8" w:rsidRDefault="00831AD9" w:rsidP="00AB662C">
                  <w:pPr>
                    <w:framePr w:hSpace="181" w:wrap="around" w:vAnchor="text" w:hAnchor="text" w:y="1"/>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Phenobarbital sodium</w:t>
                  </w:r>
                </w:p>
              </w:tc>
              <w:tc>
                <w:tcPr>
                  <w:tcW w:w="1276" w:type="dxa"/>
                </w:tcPr>
                <w:p w14:paraId="5F5ED437" w14:textId="38F94D84" w:rsidR="00831AD9" w:rsidRPr="008E7AB8" w:rsidRDefault="00831AD9" w:rsidP="00AB662C">
                  <w:pPr>
                    <w:framePr w:hSpace="181" w:wrap="around" w:vAnchor="text" w:hAnchor="text" w:y="1"/>
                    <w:spacing w:after="0" w:line="240" w:lineRule="auto"/>
                    <w:jc w:val="right"/>
                    <w:rPr>
                      <w:rFonts w:ascii="Arial" w:eastAsia="Times New Roman" w:hAnsi="Arial" w:cs="Arial"/>
                      <w:color w:val="000000"/>
                      <w:sz w:val="20"/>
                      <w:szCs w:val="20"/>
                      <w:lang w:eastAsia="en-GB"/>
                    </w:rPr>
                  </w:pPr>
                  <w:r w:rsidRPr="008E7AB8">
                    <w:rPr>
                      <w:rFonts w:ascii="Arial" w:eastAsia="Times New Roman" w:hAnsi="Arial" w:cs="Arial"/>
                      <w:color w:val="000000"/>
                      <w:sz w:val="18"/>
                      <w:szCs w:val="18"/>
                      <w:lang w:eastAsia="en-GB"/>
                    </w:rPr>
                    <w:t>0408010P0</w:t>
                  </w:r>
                </w:p>
              </w:tc>
              <w:tc>
                <w:tcPr>
                  <w:tcW w:w="1843" w:type="dxa"/>
                </w:tcPr>
                <w:p w14:paraId="24F75953" w14:textId="49BC6B61" w:rsidR="00831AD9" w:rsidRPr="00481911" w:rsidRDefault="00831AD9" w:rsidP="00AB662C">
                  <w:pPr>
                    <w:framePr w:hSpace="181" w:wrap="around" w:vAnchor="text" w:hAnchor="text" w:y="1"/>
                    <w:spacing w:after="0" w:line="240" w:lineRule="auto"/>
                    <w:rPr>
                      <w:rFonts w:ascii="Arial" w:eastAsia="Times New Roman" w:hAnsi="Arial" w:cs="Arial"/>
                      <w:color w:val="000000"/>
                      <w:sz w:val="18"/>
                      <w:szCs w:val="18"/>
                      <w:lang w:eastAsia="en-GB"/>
                    </w:rPr>
                  </w:pPr>
                  <w:r w:rsidRPr="00481911">
                    <w:rPr>
                      <w:rFonts w:ascii="Arial" w:hAnsi="Arial" w:cs="Arial"/>
                      <w:sz w:val="18"/>
                      <w:szCs w:val="18"/>
                    </w:rPr>
                    <w:t>10mg/ml</w:t>
                  </w:r>
                </w:p>
              </w:tc>
            </w:tr>
            <w:tr w:rsidR="00831AD9" w:rsidRPr="008E7AB8" w14:paraId="464619FD" w14:textId="77777777" w:rsidTr="001D0E6E">
              <w:trPr>
                <w:trHeight w:val="248"/>
              </w:trPr>
              <w:tc>
                <w:tcPr>
                  <w:tcW w:w="2880" w:type="dxa"/>
                </w:tcPr>
                <w:p w14:paraId="55591ECC" w14:textId="33E4A041" w:rsidR="00831AD9" w:rsidRPr="008E7AB8" w:rsidRDefault="00831AD9" w:rsidP="00AB662C">
                  <w:pPr>
                    <w:framePr w:hSpace="181" w:wrap="around" w:vAnchor="text" w:hAnchor="text" w:y="1"/>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Pyrazinamide</w:t>
                  </w:r>
                </w:p>
              </w:tc>
              <w:tc>
                <w:tcPr>
                  <w:tcW w:w="1276" w:type="dxa"/>
                </w:tcPr>
                <w:p w14:paraId="5BA1CDDF" w14:textId="4F1F9300" w:rsidR="00831AD9" w:rsidRPr="008E7AB8" w:rsidRDefault="00831AD9" w:rsidP="00AB662C">
                  <w:pPr>
                    <w:framePr w:hSpace="181" w:wrap="around" w:vAnchor="text" w:hAnchor="text" w:y="1"/>
                    <w:spacing w:after="0" w:line="240" w:lineRule="auto"/>
                    <w:jc w:val="right"/>
                    <w:rPr>
                      <w:rFonts w:ascii="Arial" w:eastAsia="Times New Roman" w:hAnsi="Arial" w:cs="Arial"/>
                      <w:color w:val="000000"/>
                      <w:sz w:val="20"/>
                      <w:szCs w:val="20"/>
                      <w:lang w:eastAsia="en-GB"/>
                    </w:rPr>
                  </w:pPr>
                  <w:r w:rsidRPr="008E7AB8">
                    <w:rPr>
                      <w:rFonts w:ascii="Arial" w:eastAsia="Times New Roman" w:hAnsi="Arial" w:cs="Arial"/>
                      <w:color w:val="000000"/>
                      <w:sz w:val="18"/>
                      <w:szCs w:val="18"/>
                      <w:lang w:eastAsia="en-GB"/>
                    </w:rPr>
                    <w:t>0501090N0</w:t>
                  </w:r>
                </w:p>
              </w:tc>
              <w:tc>
                <w:tcPr>
                  <w:tcW w:w="1843" w:type="dxa"/>
                </w:tcPr>
                <w:p w14:paraId="483C2436" w14:textId="5C70473F" w:rsidR="00831AD9" w:rsidRPr="00481911" w:rsidRDefault="00831AD9" w:rsidP="00AB662C">
                  <w:pPr>
                    <w:framePr w:hSpace="181" w:wrap="around" w:vAnchor="text" w:hAnchor="text" w:y="1"/>
                    <w:spacing w:after="0" w:line="240" w:lineRule="auto"/>
                    <w:rPr>
                      <w:rFonts w:ascii="Arial" w:eastAsia="Times New Roman" w:hAnsi="Arial" w:cs="Arial"/>
                      <w:color w:val="000000"/>
                      <w:sz w:val="18"/>
                      <w:szCs w:val="18"/>
                      <w:lang w:eastAsia="en-GB"/>
                    </w:rPr>
                  </w:pPr>
                  <w:r w:rsidRPr="00481911">
                    <w:rPr>
                      <w:rFonts w:ascii="Arial" w:hAnsi="Arial" w:cs="Arial"/>
                      <w:sz w:val="18"/>
                      <w:szCs w:val="18"/>
                    </w:rPr>
                    <w:t>100mg/ml</w:t>
                  </w:r>
                </w:p>
              </w:tc>
            </w:tr>
            <w:tr w:rsidR="00831AD9" w:rsidRPr="008E7AB8" w14:paraId="0BDFCA5D" w14:textId="77777777" w:rsidTr="001D0E6E">
              <w:trPr>
                <w:trHeight w:val="248"/>
              </w:trPr>
              <w:tc>
                <w:tcPr>
                  <w:tcW w:w="2880" w:type="dxa"/>
                </w:tcPr>
                <w:p w14:paraId="65F384D4" w14:textId="64E4ADDC" w:rsidR="00831AD9" w:rsidRPr="008E7AB8" w:rsidRDefault="00831AD9" w:rsidP="00AB662C">
                  <w:pPr>
                    <w:framePr w:hSpace="181" w:wrap="around" w:vAnchor="text" w:hAnchor="text" w:y="1"/>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Sertraline hydrochloride</w:t>
                  </w:r>
                </w:p>
              </w:tc>
              <w:tc>
                <w:tcPr>
                  <w:tcW w:w="1276" w:type="dxa"/>
                </w:tcPr>
                <w:p w14:paraId="3F52ABD8" w14:textId="09573CDF" w:rsidR="00831AD9" w:rsidRPr="008E7AB8" w:rsidRDefault="00831AD9" w:rsidP="00AB662C">
                  <w:pPr>
                    <w:framePr w:hSpace="181" w:wrap="around" w:vAnchor="text" w:hAnchor="text" w:y="1"/>
                    <w:spacing w:after="0" w:line="240" w:lineRule="auto"/>
                    <w:jc w:val="right"/>
                    <w:rPr>
                      <w:rFonts w:ascii="Arial" w:eastAsia="Times New Roman" w:hAnsi="Arial" w:cs="Arial"/>
                      <w:color w:val="000000"/>
                      <w:sz w:val="20"/>
                      <w:szCs w:val="20"/>
                      <w:lang w:eastAsia="en-GB"/>
                    </w:rPr>
                  </w:pPr>
                  <w:r w:rsidRPr="008E7AB8">
                    <w:rPr>
                      <w:rFonts w:ascii="Arial" w:eastAsia="Times New Roman" w:hAnsi="Arial" w:cs="Arial"/>
                      <w:color w:val="000000"/>
                      <w:sz w:val="18"/>
                      <w:szCs w:val="18"/>
                      <w:lang w:eastAsia="en-GB"/>
                    </w:rPr>
                    <w:t>0403030Q0</w:t>
                  </w:r>
                </w:p>
              </w:tc>
              <w:tc>
                <w:tcPr>
                  <w:tcW w:w="1843" w:type="dxa"/>
                </w:tcPr>
                <w:p w14:paraId="2C491CBA" w14:textId="5A6A2203" w:rsidR="00831AD9" w:rsidRPr="00481911" w:rsidRDefault="00831AD9" w:rsidP="00AB662C">
                  <w:pPr>
                    <w:framePr w:hSpace="181" w:wrap="around" w:vAnchor="text" w:hAnchor="text" w:y="1"/>
                    <w:spacing w:after="0" w:line="240" w:lineRule="auto"/>
                    <w:rPr>
                      <w:rFonts w:ascii="Arial" w:eastAsia="Times New Roman" w:hAnsi="Arial" w:cs="Arial"/>
                      <w:color w:val="000000"/>
                      <w:sz w:val="18"/>
                      <w:szCs w:val="18"/>
                      <w:lang w:eastAsia="en-GB"/>
                    </w:rPr>
                  </w:pPr>
                  <w:r w:rsidRPr="00481911">
                    <w:rPr>
                      <w:rFonts w:ascii="Arial" w:hAnsi="Arial" w:cs="Arial"/>
                      <w:sz w:val="18"/>
                      <w:szCs w:val="18"/>
                    </w:rPr>
                    <w:t>10mg/ml</w:t>
                  </w:r>
                </w:p>
              </w:tc>
            </w:tr>
            <w:tr w:rsidR="00831AD9" w:rsidRPr="008E7AB8" w14:paraId="1BEB40AA" w14:textId="77777777" w:rsidTr="001D0E6E">
              <w:trPr>
                <w:trHeight w:val="248"/>
              </w:trPr>
              <w:tc>
                <w:tcPr>
                  <w:tcW w:w="2880" w:type="dxa"/>
                </w:tcPr>
                <w:p w14:paraId="61B2250C" w14:textId="33EEBF5E" w:rsidR="00831AD9" w:rsidRPr="008E7AB8" w:rsidRDefault="00831AD9" w:rsidP="00AB662C">
                  <w:pPr>
                    <w:framePr w:hSpace="181" w:wrap="around" w:vAnchor="text" w:hAnchor="text" w:y="1"/>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Sodium chloride</w:t>
                  </w:r>
                </w:p>
              </w:tc>
              <w:tc>
                <w:tcPr>
                  <w:tcW w:w="1276" w:type="dxa"/>
                </w:tcPr>
                <w:p w14:paraId="46B039FD" w14:textId="72C6F0A1" w:rsidR="00831AD9" w:rsidRPr="008E7AB8" w:rsidRDefault="00831AD9" w:rsidP="00AB662C">
                  <w:pPr>
                    <w:framePr w:hSpace="181" w:wrap="around" w:vAnchor="text" w:hAnchor="text" w:y="1"/>
                    <w:spacing w:after="0" w:line="240" w:lineRule="auto"/>
                    <w:jc w:val="right"/>
                    <w:rPr>
                      <w:rFonts w:ascii="Arial" w:eastAsia="Times New Roman" w:hAnsi="Arial" w:cs="Arial"/>
                      <w:color w:val="000000"/>
                      <w:sz w:val="20"/>
                      <w:szCs w:val="20"/>
                      <w:lang w:eastAsia="en-GB"/>
                    </w:rPr>
                  </w:pPr>
                  <w:r w:rsidRPr="008E7AB8">
                    <w:rPr>
                      <w:rFonts w:ascii="Arial" w:eastAsia="Times New Roman" w:hAnsi="Arial" w:cs="Arial"/>
                      <w:color w:val="000000"/>
                      <w:sz w:val="18"/>
                      <w:szCs w:val="18"/>
                      <w:lang w:eastAsia="en-GB"/>
                    </w:rPr>
                    <w:t>0902012L0</w:t>
                  </w:r>
                </w:p>
              </w:tc>
              <w:tc>
                <w:tcPr>
                  <w:tcW w:w="1843" w:type="dxa"/>
                </w:tcPr>
                <w:p w14:paraId="47FEFAE0" w14:textId="34A7BD09" w:rsidR="00831AD9" w:rsidRPr="00481911" w:rsidRDefault="00831AD9" w:rsidP="00AB662C">
                  <w:pPr>
                    <w:framePr w:hSpace="181" w:wrap="around" w:vAnchor="text" w:hAnchor="text" w:y="1"/>
                    <w:spacing w:after="0" w:line="240" w:lineRule="auto"/>
                    <w:rPr>
                      <w:rFonts w:ascii="Arial" w:eastAsia="Times New Roman" w:hAnsi="Arial" w:cs="Arial"/>
                      <w:color w:val="000000"/>
                      <w:sz w:val="18"/>
                      <w:szCs w:val="18"/>
                      <w:lang w:eastAsia="en-GB"/>
                    </w:rPr>
                  </w:pPr>
                  <w:r w:rsidRPr="00481911">
                    <w:rPr>
                      <w:rFonts w:ascii="Arial" w:hAnsi="Arial" w:cs="Arial"/>
                      <w:sz w:val="18"/>
                      <w:szCs w:val="18"/>
                    </w:rPr>
                    <w:t>292mg/ml</w:t>
                  </w:r>
                </w:p>
              </w:tc>
            </w:tr>
            <w:tr w:rsidR="00831AD9" w:rsidRPr="008E7AB8" w14:paraId="31A130BF" w14:textId="77777777" w:rsidTr="001D0E6E">
              <w:trPr>
                <w:trHeight w:val="248"/>
              </w:trPr>
              <w:tc>
                <w:tcPr>
                  <w:tcW w:w="2880" w:type="dxa"/>
                </w:tcPr>
                <w:p w14:paraId="41002EA4" w14:textId="693048F2" w:rsidR="00831AD9" w:rsidRPr="008E7AB8" w:rsidRDefault="00831AD9" w:rsidP="00AB662C">
                  <w:pPr>
                    <w:framePr w:hSpace="181" w:wrap="around" w:vAnchor="text" w:hAnchor="text" w:y="1"/>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Spironolactone</w:t>
                  </w:r>
                </w:p>
              </w:tc>
              <w:tc>
                <w:tcPr>
                  <w:tcW w:w="1276" w:type="dxa"/>
                </w:tcPr>
                <w:p w14:paraId="2B34E8DD" w14:textId="550A447A" w:rsidR="00831AD9" w:rsidRPr="008E7AB8" w:rsidRDefault="00831AD9" w:rsidP="00AB662C">
                  <w:pPr>
                    <w:framePr w:hSpace="181" w:wrap="around" w:vAnchor="text" w:hAnchor="text" w:y="1"/>
                    <w:spacing w:after="0" w:line="240" w:lineRule="auto"/>
                    <w:jc w:val="right"/>
                    <w:rPr>
                      <w:rFonts w:ascii="Arial" w:eastAsia="Times New Roman" w:hAnsi="Arial" w:cs="Arial"/>
                      <w:color w:val="000000"/>
                      <w:sz w:val="20"/>
                      <w:szCs w:val="20"/>
                      <w:lang w:eastAsia="en-GB"/>
                    </w:rPr>
                  </w:pPr>
                  <w:r w:rsidRPr="008E7AB8">
                    <w:rPr>
                      <w:rFonts w:ascii="Arial" w:eastAsia="Times New Roman" w:hAnsi="Arial" w:cs="Arial"/>
                      <w:color w:val="000000"/>
                      <w:sz w:val="18"/>
                      <w:szCs w:val="18"/>
                      <w:lang w:eastAsia="en-GB"/>
                    </w:rPr>
                    <w:t>0202030S0</w:t>
                  </w:r>
                </w:p>
              </w:tc>
              <w:tc>
                <w:tcPr>
                  <w:tcW w:w="1843" w:type="dxa"/>
                </w:tcPr>
                <w:p w14:paraId="28F74866" w14:textId="220BC3FC" w:rsidR="00831AD9" w:rsidRPr="00481911" w:rsidRDefault="00831AD9" w:rsidP="00AB662C">
                  <w:pPr>
                    <w:framePr w:hSpace="181" w:wrap="around" w:vAnchor="text" w:hAnchor="text" w:y="1"/>
                    <w:spacing w:after="0" w:line="240" w:lineRule="auto"/>
                    <w:rPr>
                      <w:rFonts w:ascii="Arial" w:eastAsia="Times New Roman" w:hAnsi="Arial" w:cs="Arial"/>
                      <w:color w:val="000000"/>
                      <w:sz w:val="18"/>
                      <w:szCs w:val="18"/>
                      <w:lang w:eastAsia="en-GB"/>
                    </w:rPr>
                  </w:pPr>
                  <w:r w:rsidRPr="00481911">
                    <w:rPr>
                      <w:rFonts w:ascii="Arial" w:hAnsi="Arial" w:cs="Arial"/>
                      <w:sz w:val="18"/>
                      <w:szCs w:val="18"/>
                    </w:rPr>
                    <w:t>10mg/ml</w:t>
                  </w:r>
                </w:p>
              </w:tc>
            </w:tr>
            <w:tr w:rsidR="00831AD9" w:rsidRPr="008E7AB8" w14:paraId="55F95E41" w14:textId="77777777" w:rsidTr="001D0E6E">
              <w:trPr>
                <w:trHeight w:val="248"/>
              </w:trPr>
              <w:tc>
                <w:tcPr>
                  <w:tcW w:w="2880" w:type="dxa"/>
                </w:tcPr>
                <w:p w14:paraId="1F3E140C" w14:textId="7C6B56E9" w:rsidR="00831AD9" w:rsidRPr="008E7AB8" w:rsidRDefault="00831AD9" w:rsidP="00AB662C">
                  <w:pPr>
                    <w:framePr w:hSpace="181" w:wrap="around" w:vAnchor="text" w:hAnchor="text" w:y="1"/>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Tacrolimus</w:t>
                  </w:r>
                </w:p>
              </w:tc>
              <w:tc>
                <w:tcPr>
                  <w:tcW w:w="1276" w:type="dxa"/>
                </w:tcPr>
                <w:p w14:paraId="0C44D881" w14:textId="05F1DD0E" w:rsidR="00831AD9" w:rsidRPr="008E7AB8" w:rsidRDefault="00831AD9" w:rsidP="00AB662C">
                  <w:pPr>
                    <w:framePr w:hSpace="181" w:wrap="around" w:vAnchor="text" w:hAnchor="text" w:y="1"/>
                    <w:spacing w:after="0" w:line="240" w:lineRule="auto"/>
                    <w:jc w:val="right"/>
                    <w:rPr>
                      <w:rFonts w:ascii="Arial" w:eastAsia="Times New Roman" w:hAnsi="Arial" w:cs="Arial"/>
                      <w:color w:val="000000"/>
                      <w:sz w:val="20"/>
                      <w:szCs w:val="20"/>
                      <w:lang w:eastAsia="en-GB"/>
                    </w:rPr>
                  </w:pPr>
                  <w:r w:rsidRPr="008E7AB8">
                    <w:rPr>
                      <w:rFonts w:ascii="Arial" w:eastAsia="Times New Roman" w:hAnsi="Arial" w:cs="Arial"/>
                      <w:color w:val="000000"/>
                      <w:sz w:val="18"/>
                      <w:szCs w:val="18"/>
                      <w:lang w:eastAsia="en-GB"/>
                    </w:rPr>
                    <w:t>0802020T0</w:t>
                  </w:r>
                </w:p>
              </w:tc>
              <w:tc>
                <w:tcPr>
                  <w:tcW w:w="1843" w:type="dxa"/>
                </w:tcPr>
                <w:p w14:paraId="3F630D13" w14:textId="386A597D" w:rsidR="00831AD9" w:rsidRPr="00481911" w:rsidRDefault="00831AD9" w:rsidP="00AB662C">
                  <w:pPr>
                    <w:framePr w:hSpace="181" w:wrap="around" w:vAnchor="text" w:hAnchor="text" w:y="1"/>
                    <w:spacing w:after="0" w:line="240" w:lineRule="auto"/>
                    <w:rPr>
                      <w:rFonts w:ascii="Arial" w:eastAsia="Times New Roman" w:hAnsi="Arial" w:cs="Arial"/>
                      <w:color w:val="000000"/>
                      <w:sz w:val="18"/>
                      <w:szCs w:val="18"/>
                      <w:lang w:eastAsia="en-GB"/>
                    </w:rPr>
                  </w:pPr>
                  <w:r w:rsidRPr="00481911">
                    <w:rPr>
                      <w:rFonts w:ascii="Arial" w:hAnsi="Arial" w:cs="Arial"/>
                      <w:sz w:val="18"/>
                      <w:szCs w:val="18"/>
                    </w:rPr>
                    <w:t>1mg/ml</w:t>
                  </w:r>
                </w:p>
              </w:tc>
            </w:tr>
          </w:tbl>
          <w:p w14:paraId="3B62CC53" w14:textId="77777777" w:rsidR="008967E3" w:rsidRPr="008E7AB8" w:rsidRDefault="008967E3" w:rsidP="0000105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692842A0" w14:textId="466FF661" w:rsidR="00F15FC0" w:rsidRDefault="00D24672" w:rsidP="0000105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All other strengths </w:t>
            </w:r>
            <w:r w:rsidR="00D83178">
              <w:rPr>
                <w:rFonts w:ascii="Arial" w:hAnsi="Arial" w:cs="Arial"/>
                <w:sz w:val="18"/>
                <w:szCs w:val="18"/>
              </w:rPr>
              <w:t xml:space="preserve">are non-standard. </w:t>
            </w:r>
          </w:p>
          <w:p w14:paraId="0A2E514E" w14:textId="10C82460" w:rsidR="00D83178" w:rsidRPr="008E7AB8" w:rsidRDefault="00D83178" w:rsidP="0000105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0E0FEF" w:rsidRPr="008E7AB8" w14:paraId="6BA37088" w14:textId="77777777" w:rsidTr="0000105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534" w:type="dxa"/>
          </w:tcPr>
          <w:p w14:paraId="3151C852" w14:textId="77777777" w:rsidR="000E0FEF" w:rsidRPr="008E7AB8" w:rsidRDefault="000E0FEF" w:rsidP="00001051">
            <w:pPr>
              <w:spacing w:after="0" w:line="240" w:lineRule="auto"/>
              <w:rPr>
                <w:rFonts w:ascii="Arial" w:hAnsi="Arial" w:cs="Arial"/>
                <w:sz w:val="18"/>
                <w:szCs w:val="18"/>
              </w:rPr>
            </w:pPr>
            <w:r w:rsidRPr="008E7AB8">
              <w:rPr>
                <w:rFonts w:ascii="Arial" w:hAnsi="Arial" w:cs="Arial"/>
                <w:sz w:val="18"/>
                <w:szCs w:val="18"/>
              </w:rPr>
              <w:t>1.5</w:t>
            </w:r>
          </w:p>
        </w:tc>
        <w:tc>
          <w:tcPr>
            <w:tcW w:w="1701" w:type="dxa"/>
          </w:tcPr>
          <w:p w14:paraId="297EC809" w14:textId="77777777" w:rsidR="000E0FEF" w:rsidRPr="008E7AB8" w:rsidRDefault="000E0FEF" w:rsidP="0000105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E7AB8">
              <w:rPr>
                <w:rFonts w:ascii="Arial" w:hAnsi="Arial" w:cs="Arial"/>
                <w:b/>
                <w:sz w:val="18"/>
                <w:szCs w:val="18"/>
              </w:rPr>
              <w:t>Denominator</w:t>
            </w:r>
          </w:p>
        </w:tc>
        <w:tc>
          <w:tcPr>
            <w:tcW w:w="6691" w:type="dxa"/>
          </w:tcPr>
          <w:p w14:paraId="7D53F2CE" w14:textId="35AE34C7" w:rsidR="000E0FEF" w:rsidRPr="008E7AB8" w:rsidRDefault="00A94A61" w:rsidP="0000105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7AB8">
              <w:rPr>
                <w:rFonts w:ascii="Arial" w:hAnsi="Arial" w:cs="Arial"/>
                <w:sz w:val="18"/>
                <w:szCs w:val="18"/>
              </w:rPr>
              <w:t xml:space="preserve">Number of items prescribed to all patients </w:t>
            </w:r>
            <w:r w:rsidR="003C596B" w:rsidRPr="008E7AB8">
              <w:rPr>
                <w:rFonts w:ascii="Arial" w:hAnsi="Arial" w:cs="Arial"/>
                <w:sz w:val="18"/>
                <w:szCs w:val="18"/>
              </w:rPr>
              <w:t xml:space="preserve">over a </w:t>
            </w:r>
            <w:r w:rsidR="007163E1" w:rsidRPr="008E7AB8">
              <w:rPr>
                <w:rFonts w:ascii="Arial" w:hAnsi="Arial" w:cs="Arial"/>
                <w:sz w:val="18"/>
                <w:szCs w:val="18"/>
              </w:rPr>
              <w:t>12-month</w:t>
            </w:r>
            <w:r w:rsidR="003C596B" w:rsidRPr="008E7AB8">
              <w:rPr>
                <w:rFonts w:ascii="Arial" w:hAnsi="Arial" w:cs="Arial"/>
                <w:sz w:val="18"/>
                <w:szCs w:val="18"/>
              </w:rPr>
              <w:t xml:space="preserve"> period </w:t>
            </w:r>
            <w:r w:rsidRPr="008E7AB8">
              <w:rPr>
                <w:rFonts w:ascii="Arial" w:hAnsi="Arial" w:cs="Arial"/>
                <w:sz w:val="18"/>
                <w:szCs w:val="18"/>
              </w:rPr>
              <w:t>for</w:t>
            </w:r>
            <w:r w:rsidR="00A71CA6" w:rsidRPr="008E7AB8">
              <w:rPr>
                <w:rFonts w:ascii="Arial" w:hAnsi="Arial" w:cs="Arial"/>
                <w:sz w:val="18"/>
                <w:szCs w:val="18"/>
              </w:rPr>
              <w:t xml:space="preserve"> Liquids, Oral Solutions and Oral Suspensions only for</w:t>
            </w:r>
            <w:r w:rsidRPr="008E7AB8">
              <w:rPr>
                <w:rFonts w:ascii="Arial" w:hAnsi="Arial" w:cs="Arial"/>
                <w:sz w:val="18"/>
                <w:szCs w:val="18"/>
              </w:rPr>
              <w:t xml:space="preserve"> the following drugs:</w:t>
            </w:r>
          </w:p>
          <w:p w14:paraId="6A77C424" w14:textId="77777777" w:rsidR="00A94A61" w:rsidRPr="008E7AB8" w:rsidRDefault="00A94A61" w:rsidP="0000105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bl>
            <w:tblPr>
              <w:tblStyle w:val="TableGridLight"/>
              <w:tblpPr w:leftFromText="181" w:rightFromText="181" w:vertAnchor="text" w:horzAnchor="margin" w:tblpY="1"/>
              <w:tblW w:w="6076" w:type="dxa"/>
              <w:tblLayout w:type="fixed"/>
              <w:tblLook w:val="04A0" w:firstRow="1" w:lastRow="0" w:firstColumn="1" w:lastColumn="0" w:noHBand="0" w:noVBand="1"/>
            </w:tblPr>
            <w:tblGrid>
              <w:gridCol w:w="3038"/>
              <w:gridCol w:w="3038"/>
            </w:tblGrid>
            <w:tr w:rsidR="00A94A61" w:rsidRPr="008E7AB8" w14:paraId="04E23F48" w14:textId="77777777" w:rsidTr="00816833">
              <w:trPr>
                <w:trHeight w:val="273"/>
              </w:trPr>
              <w:tc>
                <w:tcPr>
                  <w:tcW w:w="3038" w:type="dxa"/>
                  <w:hideMark/>
                </w:tcPr>
                <w:p w14:paraId="203B678E" w14:textId="6397B874" w:rsidR="00A94A61" w:rsidRPr="008E7AB8" w:rsidRDefault="00A94A61" w:rsidP="00001051">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 xml:space="preserve">BNF Chemical Substance </w:t>
                  </w:r>
                </w:p>
              </w:tc>
              <w:tc>
                <w:tcPr>
                  <w:tcW w:w="3038" w:type="dxa"/>
                  <w:hideMark/>
                </w:tcPr>
                <w:p w14:paraId="220069A9" w14:textId="77777777" w:rsidR="00A94A61" w:rsidRPr="008E7AB8" w:rsidRDefault="00A94A61" w:rsidP="00001051">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BNF Code</w:t>
                  </w:r>
                </w:p>
              </w:tc>
            </w:tr>
            <w:tr w:rsidR="00A94A61" w:rsidRPr="008E7AB8" w14:paraId="13E0737A" w14:textId="77777777" w:rsidTr="00816833">
              <w:trPr>
                <w:trHeight w:val="258"/>
              </w:trPr>
              <w:tc>
                <w:tcPr>
                  <w:tcW w:w="3038" w:type="dxa"/>
                </w:tcPr>
                <w:p w14:paraId="76A25A2F" w14:textId="07265E35" w:rsidR="00A94A61" w:rsidRPr="008E7AB8" w:rsidRDefault="00C9759E" w:rsidP="00001051">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Azathioprine</w:t>
                  </w:r>
                </w:p>
              </w:tc>
              <w:tc>
                <w:tcPr>
                  <w:tcW w:w="3038" w:type="dxa"/>
                </w:tcPr>
                <w:p w14:paraId="4D6AC3A5" w14:textId="31E500D2" w:rsidR="00A94A61" w:rsidRPr="008E7AB8" w:rsidRDefault="00965498" w:rsidP="00001051">
                  <w:pPr>
                    <w:spacing w:after="0" w:line="240" w:lineRule="auto"/>
                    <w:rPr>
                      <w:rFonts w:ascii="Arial" w:eastAsia="Times New Roman" w:hAnsi="Arial" w:cs="Arial"/>
                      <w:color w:val="000000"/>
                      <w:sz w:val="18"/>
                      <w:szCs w:val="18"/>
                      <w:lang w:eastAsia="en-GB"/>
                    </w:rPr>
                  </w:pPr>
                  <w:r w:rsidRPr="008E7AB8">
                    <w:rPr>
                      <w:rFonts w:ascii="Arial" w:eastAsia="Times New Roman" w:hAnsi="Arial" w:cs="Arial"/>
                      <w:color w:val="000000"/>
                      <w:sz w:val="18"/>
                      <w:szCs w:val="18"/>
                      <w:lang w:eastAsia="en-GB"/>
                    </w:rPr>
                    <w:t>0802010G0</w:t>
                  </w:r>
                </w:p>
              </w:tc>
            </w:tr>
            <w:tr w:rsidR="00A94A61" w:rsidRPr="008E7AB8" w14:paraId="6E67E906" w14:textId="77777777" w:rsidTr="00816833">
              <w:trPr>
                <w:trHeight w:val="258"/>
              </w:trPr>
              <w:tc>
                <w:tcPr>
                  <w:tcW w:w="3038" w:type="dxa"/>
                </w:tcPr>
                <w:p w14:paraId="24BABD54" w14:textId="4B5B25D1" w:rsidR="00A94A61" w:rsidRPr="008E7AB8" w:rsidRDefault="00C9759E" w:rsidP="00001051">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Chloral hydrate</w:t>
                  </w:r>
                </w:p>
              </w:tc>
              <w:tc>
                <w:tcPr>
                  <w:tcW w:w="3038" w:type="dxa"/>
                </w:tcPr>
                <w:p w14:paraId="2AFE0739" w14:textId="4601C28A" w:rsidR="00A94A61" w:rsidRPr="008E7AB8" w:rsidRDefault="0021266B" w:rsidP="00001051">
                  <w:pPr>
                    <w:spacing w:after="0" w:line="240" w:lineRule="auto"/>
                    <w:rPr>
                      <w:rFonts w:ascii="Arial" w:eastAsia="Times New Roman" w:hAnsi="Arial" w:cs="Arial"/>
                      <w:color w:val="000000"/>
                      <w:sz w:val="18"/>
                      <w:szCs w:val="18"/>
                      <w:lang w:eastAsia="en-GB"/>
                    </w:rPr>
                  </w:pPr>
                  <w:r w:rsidRPr="008E7AB8">
                    <w:rPr>
                      <w:rFonts w:ascii="Arial" w:eastAsia="Times New Roman" w:hAnsi="Arial" w:cs="Arial"/>
                      <w:color w:val="000000"/>
                      <w:sz w:val="18"/>
                      <w:szCs w:val="18"/>
                      <w:lang w:eastAsia="en-GB"/>
                    </w:rPr>
                    <w:t>0401010B0</w:t>
                  </w:r>
                </w:p>
              </w:tc>
            </w:tr>
            <w:tr w:rsidR="00A94A61" w:rsidRPr="008E7AB8" w14:paraId="12D1E791" w14:textId="77777777" w:rsidTr="00816833">
              <w:trPr>
                <w:trHeight w:val="258"/>
              </w:trPr>
              <w:tc>
                <w:tcPr>
                  <w:tcW w:w="3038" w:type="dxa"/>
                </w:tcPr>
                <w:p w14:paraId="23638AC9" w14:textId="7EE0B54F" w:rsidR="00A94A61" w:rsidRPr="008E7AB8" w:rsidRDefault="008C5071" w:rsidP="00001051">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Clopidogrel</w:t>
                  </w:r>
                </w:p>
              </w:tc>
              <w:tc>
                <w:tcPr>
                  <w:tcW w:w="3038" w:type="dxa"/>
                </w:tcPr>
                <w:p w14:paraId="3CD00162" w14:textId="10A73E9F" w:rsidR="00A94A61" w:rsidRPr="008E7AB8" w:rsidRDefault="0021266B" w:rsidP="00001051">
                  <w:pPr>
                    <w:spacing w:after="0" w:line="240" w:lineRule="auto"/>
                    <w:rPr>
                      <w:rFonts w:ascii="Arial" w:eastAsia="Times New Roman" w:hAnsi="Arial" w:cs="Arial"/>
                      <w:color w:val="000000"/>
                      <w:sz w:val="18"/>
                      <w:szCs w:val="18"/>
                      <w:lang w:eastAsia="en-GB"/>
                    </w:rPr>
                  </w:pPr>
                  <w:r w:rsidRPr="008E7AB8">
                    <w:rPr>
                      <w:rFonts w:ascii="Arial" w:eastAsia="Times New Roman" w:hAnsi="Arial" w:cs="Arial"/>
                      <w:color w:val="000000"/>
                      <w:sz w:val="18"/>
                      <w:szCs w:val="18"/>
                      <w:lang w:eastAsia="en-GB"/>
                    </w:rPr>
                    <w:t>0209000C0</w:t>
                  </w:r>
                </w:p>
              </w:tc>
            </w:tr>
            <w:tr w:rsidR="00A94A61" w:rsidRPr="008E7AB8" w14:paraId="1CEAB6DA" w14:textId="77777777" w:rsidTr="00816833">
              <w:trPr>
                <w:trHeight w:val="258"/>
              </w:trPr>
              <w:tc>
                <w:tcPr>
                  <w:tcW w:w="3038" w:type="dxa"/>
                </w:tcPr>
                <w:p w14:paraId="19AD6CC9" w14:textId="7D2E2B75" w:rsidR="00A94A61" w:rsidRPr="008E7AB8" w:rsidRDefault="002C0BB2" w:rsidP="00001051">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Ethambutol hydrochloride</w:t>
                  </w:r>
                </w:p>
              </w:tc>
              <w:tc>
                <w:tcPr>
                  <w:tcW w:w="3038" w:type="dxa"/>
                </w:tcPr>
                <w:p w14:paraId="2D331CF5" w14:textId="14C9A70F" w:rsidR="00A94A61" w:rsidRPr="008E7AB8" w:rsidRDefault="0021266B" w:rsidP="00001051">
                  <w:pPr>
                    <w:spacing w:after="0" w:line="240" w:lineRule="auto"/>
                    <w:rPr>
                      <w:rFonts w:ascii="Arial" w:eastAsia="Times New Roman" w:hAnsi="Arial" w:cs="Arial"/>
                      <w:color w:val="000000"/>
                      <w:sz w:val="18"/>
                      <w:szCs w:val="18"/>
                      <w:lang w:eastAsia="en-GB"/>
                    </w:rPr>
                  </w:pPr>
                  <w:r w:rsidRPr="008E7AB8">
                    <w:rPr>
                      <w:rFonts w:ascii="Arial" w:eastAsia="Times New Roman" w:hAnsi="Arial" w:cs="Arial"/>
                      <w:color w:val="000000"/>
                      <w:sz w:val="18"/>
                      <w:szCs w:val="18"/>
                      <w:lang w:eastAsia="en-GB"/>
                    </w:rPr>
                    <w:t>0501090H0</w:t>
                  </w:r>
                </w:p>
              </w:tc>
            </w:tr>
            <w:tr w:rsidR="00A94A61" w:rsidRPr="008E7AB8" w14:paraId="087A9BAD" w14:textId="77777777" w:rsidTr="00816833">
              <w:trPr>
                <w:trHeight w:val="258"/>
              </w:trPr>
              <w:tc>
                <w:tcPr>
                  <w:tcW w:w="3038" w:type="dxa"/>
                </w:tcPr>
                <w:p w14:paraId="7375867C" w14:textId="131E3405" w:rsidR="00A94A61" w:rsidRPr="008E7AB8" w:rsidRDefault="002C0BB2" w:rsidP="00001051">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Hydrocortisone</w:t>
                  </w:r>
                </w:p>
              </w:tc>
              <w:tc>
                <w:tcPr>
                  <w:tcW w:w="3038" w:type="dxa"/>
                </w:tcPr>
                <w:p w14:paraId="7EB53336" w14:textId="3C475C32" w:rsidR="00A94A61" w:rsidRPr="008E7AB8" w:rsidRDefault="0021266B" w:rsidP="00001051">
                  <w:pPr>
                    <w:spacing w:after="0" w:line="240" w:lineRule="auto"/>
                    <w:rPr>
                      <w:rFonts w:ascii="Arial" w:eastAsia="Times New Roman" w:hAnsi="Arial" w:cs="Arial"/>
                      <w:color w:val="000000"/>
                      <w:sz w:val="18"/>
                      <w:szCs w:val="18"/>
                      <w:lang w:eastAsia="en-GB"/>
                    </w:rPr>
                  </w:pPr>
                  <w:r w:rsidRPr="008E7AB8">
                    <w:rPr>
                      <w:rFonts w:ascii="Arial" w:eastAsia="Times New Roman" w:hAnsi="Arial" w:cs="Arial"/>
                      <w:color w:val="000000"/>
                      <w:sz w:val="18"/>
                      <w:szCs w:val="18"/>
                      <w:lang w:eastAsia="en-GB"/>
                    </w:rPr>
                    <w:t>0603020J0</w:t>
                  </w:r>
                </w:p>
              </w:tc>
            </w:tr>
            <w:tr w:rsidR="00A94A61" w:rsidRPr="008E7AB8" w14:paraId="6F7DA713" w14:textId="77777777" w:rsidTr="00816833">
              <w:trPr>
                <w:trHeight w:val="258"/>
              </w:trPr>
              <w:tc>
                <w:tcPr>
                  <w:tcW w:w="3038" w:type="dxa"/>
                </w:tcPr>
                <w:p w14:paraId="62B2F577" w14:textId="2DE41342" w:rsidR="00A94A61" w:rsidRPr="008E7AB8" w:rsidRDefault="006351D5" w:rsidP="00001051">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Isoniazid</w:t>
                  </w:r>
                </w:p>
              </w:tc>
              <w:tc>
                <w:tcPr>
                  <w:tcW w:w="3038" w:type="dxa"/>
                </w:tcPr>
                <w:p w14:paraId="067FCA39" w14:textId="7EFD7DC8" w:rsidR="00A94A61" w:rsidRPr="008E7AB8" w:rsidRDefault="0021266B" w:rsidP="00001051">
                  <w:pPr>
                    <w:spacing w:after="0" w:line="240" w:lineRule="auto"/>
                    <w:rPr>
                      <w:rFonts w:ascii="Arial" w:eastAsia="Times New Roman" w:hAnsi="Arial" w:cs="Arial"/>
                      <w:color w:val="000000"/>
                      <w:sz w:val="18"/>
                      <w:szCs w:val="18"/>
                      <w:lang w:eastAsia="en-GB"/>
                    </w:rPr>
                  </w:pPr>
                  <w:r w:rsidRPr="008E7AB8">
                    <w:rPr>
                      <w:rFonts w:ascii="Arial" w:eastAsia="Times New Roman" w:hAnsi="Arial" w:cs="Arial"/>
                      <w:color w:val="000000"/>
                      <w:sz w:val="18"/>
                      <w:szCs w:val="18"/>
                      <w:lang w:eastAsia="en-GB"/>
                    </w:rPr>
                    <w:t>0501090K0</w:t>
                  </w:r>
                </w:p>
              </w:tc>
            </w:tr>
            <w:tr w:rsidR="00A94A61" w:rsidRPr="008E7AB8" w14:paraId="12F5A6EB" w14:textId="77777777" w:rsidTr="00816833">
              <w:trPr>
                <w:trHeight w:val="258"/>
              </w:trPr>
              <w:tc>
                <w:tcPr>
                  <w:tcW w:w="3038" w:type="dxa"/>
                </w:tcPr>
                <w:p w14:paraId="427F70D9" w14:textId="01B88FFC" w:rsidR="00A94A61" w:rsidRPr="008E7AB8" w:rsidRDefault="006351D5" w:rsidP="00001051">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Phenobarbital</w:t>
                  </w:r>
                </w:p>
              </w:tc>
              <w:tc>
                <w:tcPr>
                  <w:tcW w:w="3038" w:type="dxa"/>
                </w:tcPr>
                <w:p w14:paraId="2E1912DE" w14:textId="5E6A3D2E" w:rsidR="00A94A61" w:rsidRPr="008E7AB8" w:rsidRDefault="0021266B" w:rsidP="00001051">
                  <w:pPr>
                    <w:spacing w:after="0" w:line="240" w:lineRule="auto"/>
                    <w:rPr>
                      <w:rFonts w:ascii="Arial" w:eastAsia="Times New Roman" w:hAnsi="Arial" w:cs="Arial"/>
                      <w:color w:val="000000"/>
                      <w:sz w:val="18"/>
                      <w:szCs w:val="18"/>
                      <w:lang w:eastAsia="en-GB"/>
                    </w:rPr>
                  </w:pPr>
                  <w:r w:rsidRPr="008E7AB8">
                    <w:rPr>
                      <w:rFonts w:ascii="Arial" w:eastAsia="Times New Roman" w:hAnsi="Arial" w:cs="Arial"/>
                      <w:color w:val="000000"/>
                      <w:sz w:val="18"/>
                      <w:szCs w:val="18"/>
                      <w:lang w:eastAsia="en-GB"/>
                    </w:rPr>
                    <w:t>0408010N0</w:t>
                  </w:r>
                </w:p>
              </w:tc>
            </w:tr>
            <w:tr w:rsidR="00A94A61" w:rsidRPr="008E7AB8" w14:paraId="165F99C9" w14:textId="77777777" w:rsidTr="00816833">
              <w:trPr>
                <w:trHeight w:val="258"/>
              </w:trPr>
              <w:tc>
                <w:tcPr>
                  <w:tcW w:w="3038" w:type="dxa"/>
                </w:tcPr>
                <w:p w14:paraId="751137CC" w14:textId="2279499F" w:rsidR="00A94A61" w:rsidRPr="008E7AB8" w:rsidRDefault="006351D5" w:rsidP="00001051">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Phenobarbital sodium</w:t>
                  </w:r>
                </w:p>
              </w:tc>
              <w:tc>
                <w:tcPr>
                  <w:tcW w:w="3038" w:type="dxa"/>
                </w:tcPr>
                <w:p w14:paraId="30967051" w14:textId="59684966" w:rsidR="00A94A61" w:rsidRPr="008E7AB8" w:rsidRDefault="0021266B" w:rsidP="00001051">
                  <w:pPr>
                    <w:spacing w:after="0" w:line="240" w:lineRule="auto"/>
                    <w:rPr>
                      <w:rFonts w:ascii="Arial" w:eastAsia="Times New Roman" w:hAnsi="Arial" w:cs="Arial"/>
                      <w:color w:val="000000"/>
                      <w:sz w:val="18"/>
                      <w:szCs w:val="18"/>
                      <w:lang w:eastAsia="en-GB"/>
                    </w:rPr>
                  </w:pPr>
                  <w:r w:rsidRPr="008E7AB8">
                    <w:rPr>
                      <w:rFonts w:ascii="Arial" w:eastAsia="Times New Roman" w:hAnsi="Arial" w:cs="Arial"/>
                      <w:color w:val="000000"/>
                      <w:sz w:val="18"/>
                      <w:szCs w:val="18"/>
                      <w:lang w:eastAsia="en-GB"/>
                    </w:rPr>
                    <w:t>0408010P0</w:t>
                  </w:r>
                </w:p>
              </w:tc>
            </w:tr>
            <w:tr w:rsidR="00A94A61" w:rsidRPr="008E7AB8" w14:paraId="2AF34949" w14:textId="77777777" w:rsidTr="00816833">
              <w:trPr>
                <w:trHeight w:val="258"/>
              </w:trPr>
              <w:tc>
                <w:tcPr>
                  <w:tcW w:w="3038" w:type="dxa"/>
                </w:tcPr>
                <w:p w14:paraId="6C9B7CFF" w14:textId="62EAAD1C" w:rsidR="00A94A61" w:rsidRPr="008E7AB8" w:rsidRDefault="006351D5" w:rsidP="00001051">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Pyrazinamide</w:t>
                  </w:r>
                </w:p>
              </w:tc>
              <w:tc>
                <w:tcPr>
                  <w:tcW w:w="3038" w:type="dxa"/>
                </w:tcPr>
                <w:p w14:paraId="24173FB2" w14:textId="6CD062AD" w:rsidR="00A94A61" w:rsidRPr="008E7AB8" w:rsidRDefault="0021266B" w:rsidP="00001051">
                  <w:pPr>
                    <w:spacing w:after="0" w:line="240" w:lineRule="auto"/>
                    <w:rPr>
                      <w:rFonts w:ascii="Arial" w:eastAsia="Times New Roman" w:hAnsi="Arial" w:cs="Arial"/>
                      <w:color w:val="000000"/>
                      <w:sz w:val="18"/>
                      <w:szCs w:val="18"/>
                      <w:lang w:eastAsia="en-GB"/>
                    </w:rPr>
                  </w:pPr>
                  <w:r w:rsidRPr="008E7AB8">
                    <w:rPr>
                      <w:rFonts w:ascii="Arial" w:eastAsia="Times New Roman" w:hAnsi="Arial" w:cs="Arial"/>
                      <w:color w:val="000000"/>
                      <w:sz w:val="18"/>
                      <w:szCs w:val="18"/>
                      <w:lang w:eastAsia="en-GB"/>
                    </w:rPr>
                    <w:t>0501090N0</w:t>
                  </w:r>
                </w:p>
              </w:tc>
            </w:tr>
            <w:tr w:rsidR="00A94A61" w:rsidRPr="008E7AB8" w14:paraId="4E7F5BEE" w14:textId="77777777" w:rsidTr="00816833">
              <w:trPr>
                <w:trHeight w:val="258"/>
              </w:trPr>
              <w:tc>
                <w:tcPr>
                  <w:tcW w:w="3038" w:type="dxa"/>
                </w:tcPr>
                <w:p w14:paraId="524F4325" w14:textId="30C810CF" w:rsidR="00A94A61" w:rsidRPr="008E7AB8" w:rsidRDefault="006351D5" w:rsidP="00001051">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Sertraline hydrochloride</w:t>
                  </w:r>
                </w:p>
              </w:tc>
              <w:tc>
                <w:tcPr>
                  <w:tcW w:w="3038" w:type="dxa"/>
                </w:tcPr>
                <w:p w14:paraId="45CFC32C" w14:textId="134F0409" w:rsidR="00A94A61" w:rsidRPr="008E7AB8" w:rsidRDefault="0021266B" w:rsidP="00001051">
                  <w:pPr>
                    <w:spacing w:after="0" w:line="240" w:lineRule="auto"/>
                    <w:rPr>
                      <w:rFonts w:ascii="Arial" w:eastAsia="Times New Roman" w:hAnsi="Arial" w:cs="Arial"/>
                      <w:color w:val="000000"/>
                      <w:sz w:val="18"/>
                      <w:szCs w:val="18"/>
                      <w:lang w:eastAsia="en-GB"/>
                    </w:rPr>
                  </w:pPr>
                  <w:r w:rsidRPr="008E7AB8">
                    <w:rPr>
                      <w:rFonts w:ascii="Arial" w:eastAsia="Times New Roman" w:hAnsi="Arial" w:cs="Arial"/>
                      <w:color w:val="000000"/>
                      <w:sz w:val="18"/>
                      <w:szCs w:val="18"/>
                      <w:lang w:eastAsia="en-GB"/>
                    </w:rPr>
                    <w:t>0403030Q0</w:t>
                  </w:r>
                </w:p>
              </w:tc>
            </w:tr>
            <w:tr w:rsidR="00A94A61" w:rsidRPr="008E7AB8" w14:paraId="027B636E" w14:textId="77777777" w:rsidTr="00816833">
              <w:trPr>
                <w:trHeight w:val="258"/>
              </w:trPr>
              <w:tc>
                <w:tcPr>
                  <w:tcW w:w="3038" w:type="dxa"/>
                </w:tcPr>
                <w:p w14:paraId="06F6975A" w14:textId="3DBEFE5F" w:rsidR="00A94A61" w:rsidRPr="008E7AB8" w:rsidRDefault="006351D5" w:rsidP="00001051">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Sodium chloride</w:t>
                  </w:r>
                </w:p>
              </w:tc>
              <w:tc>
                <w:tcPr>
                  <w:tcW w:w="3038" w:type="dxa"/>
                </w:tcPr>
                <w:p w14:paraId="3D18FBA9" w14:textId="39C8EA41" w:rsidR="00A94A61" w:rsidRPr="008E7AB8" w:rsidRDefault="00786434" w:rsidP="00001051">
                  <w:pPr>
                    <w:spacing w:after="0" w:line="240" w:lineRule="auto"/>
                    <w:rPr>
                      <w:rFonts w:ascii="Arial" w:eastAsia="Times New Roman" w:hAnsi="Arial" w:cs="Arial"/>
                      <w:color w:val="000000"/>
                      <w:sz w:val="18"/>
                      <w:szCs w:val="18"/>
                      <w:lang w:eastAsia="en-GB"/>
                    </w:rPr>
                  </w:pPr>
                  <w:r w:rsidRPr="008E7AB8">
                    <w:rPr>
                      <w:rFonts w:ascii="Arial" w:eastAsia="Times New Roman" w:hAnsi="Arial" w:cs="Arial"/>
                      <w:color w:val="000000"/>
                      <w:sz w:val="18"/>
                      <w:szCs w:val="18"/>
                      <w:lang w:eastAsia="en-GB"/>
                    </w:rPr>
                    <w:t>0902012L0</w:t>
                  </w:r>
                </w:p>
              </w:tc>
            </w:tr>
            <w:tr w:rsidR="00A94A61" w:rsidRPr="008E7AB8" w14:paraId="54B7133D" w14:textId="77777777" w:rsidTr="00816833">
              <w:trPr>
                <w:trHeight w:val="258"/>
              </w:trPr>
              <w:tc>
                <w:tcPr>
                  <w:tcW w:w="3038" w:type="dxa"/>
                </w:tcPr>
                <w:p w14:paraId="52A22F0D" w14:textId="55B849AA" w:rsidR="00A94A61" w:rsidRPr="008E7AB8" w:rsidRDefault="006351D5" w:rsidP="00001051">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Spironolactone</w:t>
                  </w:r>
                </w:p>
              </w:tc>
              <w:tc>
                <w:tcPr>
                  <w:tcW w:w="3038" w:type="dxa"/>
                </w:tcPr>
                <w:p w14:paraId="32F3F97E" w14:textId="64498452" w:rsidR="00A94A61" w:rsidRPr="008E7AB8" w:rsidRDefault="00786434" w:rsidP="00001051">
                  <w:pPr>
                    <w:spacing w:after="0" w:line="240" w:lineRule="auto"/>
                    <w:rPr>
                      <w:rFonts w:ascii="Arial" w:eastAsia="Times New Roman" w:hAnsi="Arial" w:cs="Arial"/>
                      <w:color w:val="000000"/>
                      <w:sz w:val="18"/>
                      <w:szCs w:val="18"/>
                      <w:lang w:eastAsia="en-GB"/>
                    </w:rPr>
                  </w:pPr>
                  <w:r w:rsidRPr="008E7AB8">
                    <w:rPr>
                      <w:rFonts w:ascii="Arial" w:eastAsia="Times New Roman" w:hAnsi="Arial" w:cs="Arial"/>
                      <w:color w:val="000000"/>
                      <w:sz w:val="18"/>
                      <w:szCs w:val="18"/>
                      <w:lang w:eastAsia="en-GB"/>
                    </w:rPr>
                    <w:t>0202030S0</w:t>
                  </w:r>
                </w:p>
              </w:tc>
            </w:tr>
            <w:tr w:rsidR="00A94A61" w:rsidRPr="008E7AB8" w14:paraId="7C48072E" w14:textId="77777777" w:rsidTr="00816833">
              <w:trPr>
                <w:trHeight w:val="258"/>
              </w:trPr>
              <w:tc>
                <w:tcPr>
                  <w:tcW w:w="3038" w:type="dxa"/>
                </w:tcPr>
                <w:p w14:paraId="0E69FB68" w14:textId="47A6DD37" w:rsidR="00A94A61" w:rsidRPr="008E7AB8" w:rsidRDefault="00A71CA6" w:rsidP="00001051">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T</w:t>
                  </w:r>
                  <w:r w:rsidR="00965498" w:rsidRPr="008E7AB8">
                    <w:rPr>
                      <w:rFonts w:ascii="Arial" w:eastAsia="Times New Roman" w:hAnsi="Arial" w:cs="Arial"/>
                      <w:b/>
                      <w:bCs/>
                      <w:color w:val="000000"/>
                      <w:sz w:val="18"/>
                      <w:szCs w:val="18"/>
                      <w:lang w:eastAsia="en-GB"/>
                    </w:rPr>
                    <w:t>acrolimus</w:t>
                  </w:r>
                </w:p>
              </w:tc>
              <w:tc>
                <w:tcPr>
                  <w:tcW w:w="3038" w:type="dxa"/>
                </w:tcPr>
                <w:p w14:paraId="12DE7C02" w14:textId="5B6E4EA0" w:rsidR="00A94A61" w:rsidRPr="008E7AB8" w:rsidRDefault="00786434" w:rsidP="00001051">
                  <w:pPr>
                    <w:spacing w:after="0" w:line="240" w:lineRule="auto"/>
                    <w:rPr>
                      <w:rFonts w:ascii="Arial" w:eastAsia="Times New Roman" w:hAnsi="Arial" w:cs="Arial"/>
                      <w:color w:val="000000"/>
                      <w:sz w:val="18"/>
                      <w:szCs w:val="18"/>
                      <w:lang w:eastAsia="en-GB"/>
                    </w:rPr>
                  </w:pPr>
                  <w:r w:rsidRPr="008E7AB8">
                    <w:rPr>
                      <w:rFonts w:ascii="Arial" w:eastAsia="Times New Roman" w:hAnsi="Arial" w:cs="Arial"/>
                      <w:color w:val="000000"/>
                      <w:sz w:val="18"/>
                      <w:szCs w:val="18"/>
                      <w:lang w:eastAsia="en-GB"/>
                    </w:rPr>
                    <w:t>0802020T0</w:t>
                  </w:r>
                </w:p>
              </w:tc>
            </w:tr>
          </w:tbl>
          <w:p w14:paraId="6B6EC4C9" w14:textId="13805686" w:rsidR="00A94A61" w:rsidRPr="008E7AB8" w:rsidRDefault="00A94A61" w:rsidP="0000105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7FCCB75D" w14:textId="422DA063" w:rsidR="00E25E66" w:rsidRPr="008E7AB8" w:rsidRDefault="00E25E66" w:rsidP="0000105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0E0FEF" w:rsidRPr="008E7AB8" w14:paraId="32FE4D85" w14:textId="77777777" w:rsidTr="00001051">
        <w:tc>
          <w:tcPr>
            <w:cnfStyle w:val="001000000000" w:firstRow="0" w:lastRow="0" w:firstColumn="1" w:lastColumn="0" w:oddVBand="0" w:evenVBand="0" w:oddHBand="0" w:evenHBand="0" w:firstRowFirstColumn="0" w:firstRowLastColumn="0" w:lastRowFirstColumn="0" w:lastRowLastColumn="0"/>
            <w:tcW w:w="534" w:type="dxa"/>
          </w:tcPr>
          <w:p w14:paraId="7820F415" w14:textId="77777777" w:rsidR="000E0FEF" w:rsidRPr="008E7AB8" w:rsidRDefault="000E0FEF" w:rsidP="00001051">
            <w:pPr>
              <w:spacing w:after="0" w:line="240" w:lineRule="auto"/>
              <w:rPr>
                <w:rFonts w:ascii="Arial" w:hAnsi="Arial" w:cs="Arial"/>
                <w:sz w:val="18"/>
                <w:szCs w:val="18"/>
              </w:rPr>
            </w:pPr>
            <w:r w:rsidRPr="008E7AB8">
              <w:rPr>
                <w:rFonts w:ascii="Arial" w:hAnsi="Arial" w:cs="Arial"/>
                <w:sz w:val="18"/>
                <w:szCs w:val="18"/>
              </w:rPr>
              <w:t>1.6</w:t>
            </w:r>
          </w:p>
        </w:tc>
        <w:tc>
          <w:tcPr>
            <w:tcW w:w="1701" w:type="dxa"/>
          </w:tcPr>
          <w:p w14:paraId="2340D260" w14:textId="77777777" w:rsidR="000E0FEF" w:rsidRPr="008E7AB8" w:rsidRDefault="000E0FEF" w:rsidP="0000105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E7AB8">
              <w:rPr>
                <w:rFonts w:ascii="Arial" w:hAnsi="Arial" w:cs="Arial"/>
                <w:b/>
                <w:sz w:val="18"/>
                <w:szCs w:val="18"/>
              </w:rPr>
              <w:t>Methodology</w:t>
            </w:r>
          </w:p>
        </w:tc>
        <w:tc>
          <w:tcPr>
            <w:tcW w:w="6691" w:type="dxa"/>
          </w:tcPr>
          <w:p w14:paraId="08D37363" w14:textId="30E5F48B" w:rsidR="000E0FEF" w:rsidRPr="008E7AB8" w:rsidRDefault="007C2F4D" w:rsidP="0000105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E7AB8">
              <w:rPr>
                <w:rFonts w:ascii="Arial" w:hAnsi="Arial" w:cs="Arial"/>
                <w:sz w:val="18"/>
                <w:szCs w:val="18"/>
              </w:rPr>
              <w:t>Numerator divided by denominator</w:t>
            </w:r>
            <w:r w:rsidR="00904AAF" w:rsidRPr="008E7AB8">
              <w:rPr>
                <w:rFonts w:ascii="Arial" w:hAnsi="Arial" w:cs="Arial"/>
                <w:sz w:val="18"/>
                <w:szCs w:val="18"/>
              </w:rPr>
              <w:t xml:space="preserve"> expressed as a percentage.</w:t>
            </w:r>
          </w:p>
        </w:tc>
      </w:tr>
      <w:tr w:rsidR="000E0FEF" w:rsidRPr="008E7AB8" w14:paraId="0D7A00DD" w14:textId="77777777" w:rsidTr="00001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gridSpan w:val="3"/>
          </w:tcPr>
          <w:p w14:paraId="60F0B5C4" w14:textId="77777777" w:rsidR="000E0FEF" w:rsidRPr="008E7AB8" w:rsidRDefault="000E0FEF" w:rsidP="00001051">
            <w:pPr>
              <w:spacing w:after="0" w:line="240" w:lineRule="auto"/>
              <w:rPr>
                <w:rFonts w:ascii="Arial" w:hAnsi="Arial" w:cs="Arial"/>
                <w:sz w:val="18"/>
                <w:szCs w:val="18"/>
              </w:rPr>
            </w:pPr>
            <w:r w:rsidRPr="008E7AB8">
              <w:rPr>
                <w:rFonts w:ascii="Arial" w:hAnsi="Arial" w:cs="Arial"/>
                <w:sz w:val="18"/>
                <w:szCs w:val="18"/>
              </w:rPr>
              <w:t>Section 2: Rationale</w:t>
            </w:r>
          </w:p>
        </w:tc>
      </w:tr>
      <w:tr w:rsidR="000E0FEF" w:rsidRPr="008E7AB8" w14:paraId="65BF2D8B" w14:textId="77777777" w:rsidTr="00001051">
        <w:trPr>
          <w:trHeight w:val="558"/>
        </w:trPr>
        <w:tc>
          <w:tcPr>
            <w:cnfStyle w:val="001000000000" w:firstRow="0" w:lastRow="0" w:firstColumn="1" w:lastColumn="0" w:oddVBand="0" w:evenVBand="0" w:oddHBand="0" w:evenHBand="0" w:firstRowFirstColumn="0" w:firstRowLastColumn="0" w:lastRowFirstColumn="0" w:lastRowLastColumn="0"/>
            <w:tcW w:w="534" w:type="dxa"/>
          </w:tcPr>
          <w:p w14:paraId="1C7FDDE7" w14:textId="77777777" w:rsidR="000E0FEF" w:rsidRPr="008E7AB8" w:rsidRDefault="000E0FEF" w:rsidP="00001051">
            <w:pPr>
              <w:spacing w:after="0" w:line="240" w:lineRule="auto"/>
              <w:rPr>
                <w:rFonts w:ascii="Arial" w:hAnsi="Arial" w:cs="Arial"/>
                <w:sz w:val="18"/>
                <w:szCs w:val="18"/>
              </w:rPr>
            </w:pPr>
            <w:r w:rsidRPr="008E7AB8">
              <w:rPr>
                <w:rFonts w:ascii="Arial" w:hAnsi="Arial" w:cs="Arial"/>
                <w:sz w:val="18"/>
                <w:szCs w:val="18"/>
              </w:rPr>
              <w:t>2.1</w:t>
            </w:r>
          </w:p>
          <w:p w14:paraId="7070A28F" w14:textId="77777777" w:rsidR="000E0FEF" w:rsidRPr="008E7AB8" w:rsidRDefault="000E0FEF" w:rsidP="00001051">
            <w:pPr>
              <w:spacing w:after="0" w:line="240" w:lineRule="auto"/>
              <w:rPr>
                <w:rFonts w:ascii="Arial" w:hAnsi="Arial" w:cs="Arial"/>
                <w:sz w:val="18"/>
                <w:szCs w:val="18"/>
              </w:rPr>
            </w:pPr>
          </w:p>
        </w:tc>
        <w:tc>
          <w:tcPr>
            <w:tcW w:w="1701" w:type="dxa"/>
          </w:tcPr>
          <w:p w14:paraId="2C193845" w14:textId="77777777" w:rsidR="000E0FEF" w:rsidRPr="008E7AB8" w:rsidRDefault="000E0FEF" w:rsidP="0000105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E7AB8">
              <w:rPr>
                <w:rFonts w:ascii="Arial" w:hAnsi="Arial" w:cs="Arial"/>
                <w:b/>
                <w:sz w:val="18"/>
                <w:szCs w:val="18"/>
              </w:rPr>
              <w:t>Purpose</w:t>
            </w:r>
          </w:p>
        </w:tc>
        <w:tc>
          <w:tcPr>
            <w:tcW w:w="6691" w:type="dxa"/>
          </w:tcPr>
          <w:p w14:paraId="5E906D55" w14:textId="3E8F95BD" w:rsidR="000E0FEF" w:rsidRPr="008E7AB8" w:rsidRDefault="003C76B2" w:rsidP="0000105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8E7AB8">
              <w:rPr>
                <w:rFonts w:ascii="Arial" w:hAnsi="Arial" w:cs="Arial"/>
                <w:sz w:val="18"/>
                <w:szCs w:val="18"/>
              </w:rPr>
              <w:t xml:space="preserve">To determine the extent to which liquid medicines prescribed for patients under the age of 18 follow the nationally recommended concentration for each drug.  This will help prescribers, prescribing advisors and other members of the team identify patients on non-standard concentrations and review them with a view to </w:t>
            </w:r>
            <w:r w:rsidRPr="008E7AB8">
              <w:rPr>
                <w:rFonts w:ascii="Arial" w:hAnsi="Arial" w:cs="Arial"/>
                <w:sz w:val="18"/>
                <w:szCs w:val="18"/>
              </w:rPr>
              <w:lastRenderedPageBreak/>
              <w:t xml:space="preserve">switching to the national standard where appropriate.  It will also help describe variations in prescribing at a practice, PCN and </w:t>
            </w:r>
            <w:r w:rsidR="00673D81" w:rsidRPr="008E7AB8">
              <w:rPr>
                <w:rFonts w:ascii="Arial" w:hAnsi="Arial" w:cs="Arial"/>
                <w:sz w:val="18"/>
                <w:szCs w:val="18"/>
              </w:rPr>
              <w:t>SICBL</w:t>
            </w:r>
            <w:r w:rsidRPr="008E7AB8">
              <w:rPr>
                <w:rFonts w:ascii="Arial" w:hAnsi="Arial" w:cs="Arial"/>
                <w:sz w:val="18"/>
                <w:szCs w:val="18"/>
              </w:rPr>
              <w:t xml:space="preserve"> level and identify areas of focus.</w:t>
            </w:r>
          </w:p>
        </w:tc>
      </w:tr>
      <w:tr w:rsidR="000E0FEF" w:rsidRPr="008E7AB8" w14:paraId="0595289B" w14:textId="77777777" w:rsidTr="00001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2431B43" w14:textId="77777777" w:rsidR="000E0FEF" w:rsidRPr="008E7AB8" w:rsidRDefault="000E0FEF" w:rsidP="00001051">
            <w:pPr>
              <w:spacing w:after="0" w:line="240" w:lineRule="auto"/>
              <w:rPr>
                <w:rFonts w:ascii="Arial" w:hAnsi="Arial" w:cs="Arial"/>
                <w:sz w:val="18"/>
                <w:szCs w:val="18"/>
              </w:rPr>
            </w:pPr>
            <w:r w:rsidRPr="008E7AB8">
              <w:rPr>
                <w:rFonts w:ascii="Arial" w:hAnsi="Arial" w:cs="Arial"/>
                <w:sz w:val="18"/>
                <w:szCs w:val="18"/>
              </w:rPr>
              <w:lastRenderedPageBreak/>
              <w:t>2.2</w:t>
            </w:r>
          </w:p>
          <w:p w14:paraId="1379DD84" w14:textId="77777777" w:rsidR="000E0FEF" w:rsidRPr="008E7AB8" w:rsidRDefault="000E0FEF" w:rsidP="00001051">
            <w:pPr>
              <w:spacing w:after="0" w:line="240" w:lineRule="auto"/>
              <w:rPr>
                <w:rFonts w:ascii="Arial" w:hAnsi="Arial" w:cs="Arial"/>
                <w:sz w:val="18"/>
                <w:szCs w:val="18"/>
              </w:rPr>
            </w:pPr>
          </w:p>
        </w:tc>
        <w:tc>
          <w:tcPr>
            <w:tcW w:w="1701" w:type="dxa"/>
          </w:tcPr>
          <w:p w14:paraId="4533D450" w14:textId="77777777" w:rsidR="000E0FEF" w:rsidRPr="008E7AB8" w:rsidRDefault="000E0FEF" w:rsidP="0000105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E7AB8">
              <w:rPr>
                <w:rFonts w:ascii="Arial" w:hAnsi="Arial" w:cs="Arial"/>
                <w:b/>
                <w:sz w:val="18"/>
                <w:szCs w:val="18"/>
              </w:rPr>
              <w:t>Evidence and Policy Base</w:t>
            </w:r>
          </w:p>
        </w:tc>
        <w:tc>
          <w:tcPr>
            <w:tcW w:w="6691" w:type="dxa"/>
          </w:tcPr>
          <w:p w14:paraId="1E8299F5" w14:textId="77777777" w:rsidR="00D41E1D" w:rsidRPr="008E7AB8" w:rsidRDefault="00D41E1D" w:rsidP="00001051">
            <w:pPr>
              <w:autoSpaceDE w:val="0"/>
              <w:autoSpaceDN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7AB8">
              <w:rPr>
                <w:rFonts w:ascii="Arial" w:hAnsi="Arial" w:cs="Arial"/>
                <w:sz w:val="18"/>
                <w:szCs w:val="18"/>
              </w:rPr>
              <w:t>Liquid medicines are commonly prescribed for children.  For many drugs, there is a range of different concentrations of liquid available, leading to the potential for dosing errors if the concentration is changed and parents and carers do not adjust the volume to be given accordingly.  Although unlicensed liquid “specials” are the most variable in terms of the range of concentrations available, there are also a significant number of drugs for which there are a range of licensed liquid concentrations in use.</w:t>
            </w:r>
          </w:p>
          <w:p w14:paraId="1358FC7C" w14:textId="77777777" w:rsidR="00D41E1D" w:rsidRPr="008E7AB8" w:rsidRDefault="00D41E1D" w:rsidP="00001051">
            <w:pPr>
              <w:autoSpaceDE w:val="0"/>
              <w:autoSpaceDN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57DAE887" w14:textId="77777777" w:rsidR="00D41E1D" w:rsidRPr="008E7AB8" w:rsidRDefault="00D41E1D" w:rsidP="00001051">
            <w:pPr>
              <w:autoSpaceDE w:val="0"/>
              <w:autoSpaceDN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7AB8">
              <w:rPr>
                <w:rFonts w:ascii="Arial" w:hAnsi="Arial" w:cs="Arial"/>
                <w:sz w:val="18"/>
                <w:szCs w:val="18"/>
              </w:rPr>
              <w:t>Dosing errors arising from inadvertent switching between liquid concentrations or planned switches being incorrectly understood by parents and carers are reported in the literature and in the NHS National Learning and Reporting System (NRLS).</w:t>
            </w:r>
          </w:p>
          <w:p w14:paraId="041767D3" w14:textId="77777777" w:rsidR="00D41E1D" w:rsidRPr="008E7AB8" w:rsidRDefault="00D41E1D" w:rsidP="00001051">
            <w:pPr>
              <w:autoSpaceDE w:val="0"/>
              <w:autoSpaceDN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6B826CCF" w14:textId="10F6C8E5" w:rsidR="000E0FEF" w:rsidRPr="008E7AB8" w:rsidRDefault="00D41E1D" w:rsidP="00001051">
            <w:pPr>
              <w:autoSpaceDE w:val="0"/>
              <w:autoSpaceDN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8E7AB8">
              <w:rPr>
                <w:rFonts w:ascii="Arial" w:hAnsi="Arial" w:cs="Arial"/>
                <w:sz w:val="18"/>
                <w:szCs w:val="18"/>
              </w:rPr>
              <w:t>With the aim of improving patient safety, the UK Neonatal and Paediatric Pharmacists Group (NPPG) and the Royal College of Paediatrics and Child Health (RCPCH) have published a national list of recommended concentrations for a range of oral drugs commonly prescribed as liquid formulations.  This document, first published in 2018, focuses on drugs for which there isn’t a licensed liquid product available.  However, it is planned that the list will expand during 2022 and 2023 to include recommended concentrations for licensed products as well as an extended range of unlicensed products.</w:t>
            </w:r>
          </w:p>
        </w:tc>
      </w:tr>
    </w:tbl>
    <w:p w14:paraId="464368E6" w14:textId="77777777" w:rsidR="008A6C13" w:rsidRPr="008E7AB8" w:rsidRDefault="008A6C13" w:rsidP="008A139B">
      <w:pPr>
        <w:pStyle w:val="Heading2"/>
        <w:rPr>
          <w:rFonts w:cs="Arial"/>
        </w:rPr>
      </w:pPr>
      <w:bookmarkStart w:id="68" w:name="_Toc473636488"/>
      <w:bookmarkStart w:id="69" w:name="_Toc474398588"/>
      <w:bookmarkStart w:id="70" w:name="_Toc475027487"/>
    </w:p>
    <w:p w14:paraId="206ED4BE" w14:textId="5B2ABD3A" w:rsidR="001E5E2E" w:rsidRPr="008E7AB8" w:rsidRDefault="008A6C13" w:rsidP="008E7AB8">
      <w:r w:rsidRPr="008E7AB8">
        <w:br w:type="page"/>
      </w:r>
      <w:bookmarkStart w:id="71" w:name="_Toc105489183"/>
      <w:r w:rsidR="001E5E2E" w:rsidRPr="008E7AB8">
        <w:lastRenderedPageBreak/>
        <w:t>Percentage of NIC for standard strength Items</w:t>
      </w:r>
      <w:bookmarkEnd w:id="71"/>
    </w:p>
    <w:tbl>
      <w:tblPr>
        <w:tblStyle w:val="GridTable4-Accent1"/>
        <w:tblW w:w="9889" w:type="dxa"/>
        <w:tblLayout w:type="fixed"/>
        <w:tblLook w:val="04A0" w:firstRow="1" w:lastRow="0" w:firstColumn="1" w:lastColumn="0" w:noHBand="0" w:noVBand="1"/>
      </w:tblPr>
      <w:tblGrid>
        <w:gridCol w:w="534"/>
        <w:gridCol w:w="1701"/>
        <w:gridCol w:w="7654"/>
      </w:tblGrid>
      <w:tr w:rsidR="00780E69" w:rsidRPr="008E7AB8" w14:paraId="17968EE7" w14:textId="77777777" w:rsidTr="007F7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3"/>
          </w:tcPr>
          <w:p w14:paraId="129FCD60" w14:textId="77777777" w:rsidR="00780E69" w:rsidRPr="008E7AB8" w:rsidRDefault="00780E69" w:rsidP="005A3E31">
            <w:pPr>
              <w:spacing w:after="0" w:line="240" w:lineRule="auto"/>
              <w:rPr>
                <w:rFonts w:ascii="Arial" w:hAnsi="Arial" w:cs="Arial"/>
                <w:sz w:val="18"/>
                <w:szCs w:val="18"/>
              </w:rPr>
            </w:pPr>
            <w:r w:rsidRPr="008E7AB8">
              <w:rPr>
                <w:rFonts w:ascii="Arial" w:hAnsi="Arial" w:cs="Arial"/>
                <w:sz w:val="18"/>
                <w:szCs w:val="18"/>
              </w:rPr>
              <w:t>Section 1: Introduction / Overview</w:t>
            </w:r>
          </w:p>
        </w:tc>
      </w:tr>
      <w:tr w:rsidR="00780E69" w:rsidRPr="008E7AB8" w14:paraId="5BCB31E3" w14:textId="77777777" w:rsidTr="007F7A28">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534" w:type="dxa"/>
          </w:tcPr>
          <w:p w14:paraId="05F50226" w14:textId="77777777" w:rsidR="00780E69" w:rsidRPr="008E7AB8" w:rsidRDefault="00780E69" w:rsidP="005A3E31">
            <w:pPr>
              <w:spacing w:after="0" w:line="240" w:lineRule="auto"/>
              <w:rPr>
                <w:rFonts w:ascii="Arial" w:hAnsi="Arial" w:cs="Arial"/>
                <w:sz w:val="18"/>
                <w:szCs w:val="18"/>
              </w:rPr>
            </w:pPr>
            <w:r w:rsidRPr="008E7AB8">
              <w:rPr>
                <w:rFonts w:ascii="Arial" w:hAnsi="Arial" w:cs="Arial"/>
                <w:sz w:val="18"/>
                <w:szCs w:val="18"/>
              </w:rPr>
              <w:t>1.1</w:t>
            </w:r>
          </w:p>
          <w:p w14:paraId="23601132" w14:textId="77777777" w:rsidR="00780E69" w:rsidRPr="008E7AB8" w:rsidRDefault="00780E69" w:rsidP="005A3E31">
            <w:pPr>
              <w:spacing w:after="0" w:line="240" w:lineRule="auto"/>
              <w:rPr>
                <w:rFonts w:ascii="Arial" w:hAnsi="Arial" w:cs="Arial"/>
                <w:sz w:val="18"/>
                <w:szCs w:val="18"/>
              </w:rPr>
            </w:pPr>
          </w:p>
        </w:tc>
        <w:tc>
          <w:tcPr>
            <w:tcW w:w="1701" w:type="dxa"/>
          </w:tcPr>
          <w:p w14:paraId="37807724" w14:textId="77777777" w:rsidR="00780E69" w:rsidRPr="008E7AB8" w:rsidRDefault="00780E69" w:rsidP="005A3E3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E7AB8">
              <w:rPr>
                <w:rFonts w:ascii="Arial" w:hAnsi="Arial" w:cs="Arial"/>
                <w:b/>
                <w:sz w:val="18"/>
                <w:szCs w:val="18"/>
              </w:rPr>
              <w:t>Title</w:t>
            </w:r>
          </w:p>
        </w:tc>
        <w:tc>
          <w:tcPr>
            <w:tcW w:w="7654" w:type="dxa"/>
          </w:tcPr>
          <w:p w14:paraId="566780F6" w14:textId="5027780F" w:rsidR="00780E69" w:rsidRPr="008E7AB8" w:rsidRDefault="001E5E2E" w:rsidP="005A3E3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7AB8">
              <w:rPr>
                <w:rFonts w:ascii="Arial" w:hAnsi="Arial" w:cs="Arial"/>
              </w:rPr>
              <w:t>Percentage of Net Ingredient Cost (</w:t>
            </w:r>
            <w:r w:rsidR="007163E1" w:rsidRPr="008E7AB8">
              <w:rPr>
                <w:rFonts w:ascii="Arial" w:hAnsi="Arial" w:cs="Arial"/>
              </w:rPr>
              <w:t>NIC (</w:t>
            </w:r>
            <w:r w:rsidR="001B4A8E" w:rsidRPr="008E7AB8">
              <w:rPr>
                <w:rFonts w:ascii="Arial" w:hAnsi="Arial" w:cs="Arial"/>
              </w:rPr>
              <w:t>£))</w:t>
            </w:r>
            <w:r w:rsidRPr="008E7AB8">
              <w:rPr>
                <w:rFonts w:ascii="Arial" w:hAnsi="Arial" w:cs="Arial"/>
              </w:rPr>
              <w:t xml:space="preserve"> for standard strength Items</w:t>
            </w:r>
          </w:p>
        </w:tc>
      </w:tr>
      <w:tr w:rsidR="00780E69" w:rsidRPr="008E7AB8" w14:paraId="76F6F8C4" w14:textId="77777777" w:rsidTr="007F7A28">
        <w:tc>
          <w:tcPr>
            <w:cnfStyle w:val="001000000000" w:firstRow="0" w:lastRow="0" w:firstColumn="1" w:lastColumn="0" w:oddVBand="0" w:evenVBand="0" w:oddHBand="0" w:evenHBand="0" w:firstRowFirstColumn="0" w:firstRowLastColumn="0" w:lastRowFirstColumn="0" w:lastRowLastColumn="0"/>
            <w:tcW w:w="534" w:type="dxa"/>
          </w:tcPr>
          <w:p w14:paraId="1D45A71C" w14:textId="77777777" w:rsidR="00780E69" w:rsidRPr="008E7AB8" w:rsidRDefault="00780E69" w:rsidP="005A3E31">
            <w:pPr>
              <w:spacing w:after="0" w:line="240" w:lineRule="auto"/>
              <w:rPr>
                <w:rFonts w:ascii="Arial" w:hAnsi="Arial" w:cs="Arial"/>
                <w:sz w:val="18"/>
                <w:szCs w:val="18"/>
              </w:rPr>
            </w:pPr>
            <w:r w:rsidRPr="008E7AB8">
              <w:rPr>
                <w:rFonts w:ascii="Arial" w:hAnsi="Arial" w:cs="Arial"/>
                <w:sz w:val="18"/>
                <w:szCs w:val="18"/>
              </w:rPr>
              <w:t>1.2</w:t>
            </w:r>
          </w:p>
        </w:tc>
        <w:tc>
          <w:tcPr>
            <w:tcW w:w="1701" w:type="dxa"/>
          </w:tcPr>
          <w:p w14:paraId="1428A841" w14:textId="77777777" w:rsidR="00780E69" w:rsidRPr="008E7AB8" w:rsidRDefault="00780E69" w:rsidP="005A3E3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E7AB8">
              <w:rPr>
                <w:rFonts w:ascii="Arial" w:hAnsi="Arial" w:cs="Arial"/>
                <w:b/>
                <w:sz w:val="18"/>
                <w:szCs w:val="18"/>
              </w:rPr>
              <w:t>Definition</w:t>
            </w:r>
          </w:p>
        </w:tc>
        <w:tc>
          <w:tcPr>
            <w:tcW w:w="7654" w:type="dxa"/>
          </w:tcPr>
          <w:p w14:paraId="76CB793C" w14:textId="77777777" w:rsidR="00780E69" w:rsidRPr="008E7AB8" w:rsidRDefault="00780E69" w:rsidP="005A3E3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E7AB8">
              <w:rPr>
                <w:rFonts w:ascii="Arial" w:hAnsi="Arial" w:cs="Arial"/>
                <w:sz w:val="18"/>
                <w:szCs w:val="18"/>
              </w:rPr>
              <w:t xml:space="preserve">Proportion of prescribing of recommended concentrations for a range of oral drugs commonly prescribed as liquid formulations. </w:t>
            </w:r>
          </w:p>
        </w:tc>
      </w:tr>
      <w:tr w:rsidR="00780E69" w:rsidRPr="008E7AB8" w14:paraId="685FC2DF" w14:textId="77777777" w:rsidTr="007F7A28">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34" w:type="dxa"/>
          </w:tcPr>
          <w:p w14:paraId="7BB26EB6" w14:textId="77777777" w:rsidR="00780E69" w:rsidRPr="008E7AB8" w:rsidRDefault="00780E69" w:rsidP="005A3E31">
            <w:pPr>
              <w:spacing w:after="0" w:line="240" w:lineRule="auto"/>
              <w:rPr>
                <w:rFonts w:ascii="Arial" w:hAnsi="Arial" w:cs="Arial"/>
                <w:sz w:val="18"/>
                <w:szCs w:val="18"/>
              </w:rPr>
            </w:pPr>
            <w:r w:rsidRPr="008E7AB8">
              <w:rPr>
                <w:rFonts w:ascii="Arial" w:hAnsi="Arial" w:cs="Arial"/>
                <w:sz w:val="18"/>
                <w:szCs w:val="18"/>
              </w:rPr>
              <w:t>1.3</w:t>
            </w:r>
          </w:p>
        </w:tc>
        <w:tc>
          <w:tcPr>
            <w:tcW w:w="1701" w:type="dxa"/>
          </w:tcPr>
          <w:p w14:paraId="074E3189" w14:textId="77777777" w:rsidR="00780E69" w:rsidRPr="008E7AB8" w:rsidRDefault="00780E69" w:rsidP="005A3E3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E7AB8">
              <w:rPr>
                <w:rFonts w:ascii="Arial" w:hAnsi="Arial" w:cs="Arial"/>
                <w:b/>
                <w:sz w:val="18"/>
                <w:szCs w:val="18"/>
              </w:rPr>
              <w:t>Reporting Level</w:t>
            </w:r>
          </w:p>
        </w:tc>
        <w:tc>
          <w:tcPr>
            <w:tcW w:w="7654" w:type="dxa"/>
          </w:tcPr>
          <w:p w14:paraId="5DCEFA28" w14:textId="04C58B7E" w:rsidR="00780E69" w:rsidRPr="008E7AB8" w:rsidRDefault="00780E69" w:rsidP="005A3E3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7AB8">
              <w:rPr>
                <w:rFonts w:ascii="Arial" w:hAnsi="Arial" w:cs="Arial"/>
                <w:sz w:val="18"/>
                <w:szCs w:val="18"/>
              </w:rPr>
              <w:t xml:space="preserve">GP Practice/Cost Centre level (aggregated to PCN, </w:t>
            </w:r>
            <w:r w:rsidR="00C0722F" w:rsidRPr="008E7AB8">
              <w:rPr>
                <w:rFonts w:ascii="Arial" w:hAnsi="Arial" w:cs="Arial"/>
                <w:sz w:val="18"/>
                <w:szCs w:val="18"/>
              </w:rPr>
              <w:t>SICBL</w:t>
            </w:r>
            <w:r w:rsidRPr="008E7AB8">
              <w:rPr>
                <w:rFonts w:ascii="Arial" w:hAnsi="Arial" w:cs="Arial"/>
                <w:sz w:val="18"/>
                <w:szCs w:val="18"/>
              </w:rPr>
              <w:t xml:space="preserve">, Regional and England level).  </w:t>
            </w:r>
          </w:p>
        </w:tc>
      </w:tr>
      <w:tr w:rsidR="00780E69" w:rsidRPr="008E7AB8" w14:paraId="3E6992B5" w14:textId="77777777" w:rsidTr="007F7A28">
        <w:trPr>
          <w:trHeight w:val="4050"/>
        </w:trPr>
        <w:tc>
          <w:tcPr>
            <w:cnfStyle w:val="001000000000" w:firstRow="0" w:lastRow="0" w:firstColumn="1" w:lastColumn="0" w:oddVBand="0" w:evenVBand="0" w:oddHBand="0" w:evenHBand="0" w:firstRowFirstColumn="0" w:firstRowLastColumn="0" w:lastRowFirstColumn="0" w:lastRowLastColumn="0"/>
            <w:tcW w:w="534" w:type="dxa"/>
          </w:tcPr>
          <w:p w14:paraId="3CC3C5E5" w14:textId="77777777" w:rsidR="00780E69" w:rsidRPr="008E7AB8" w:rsidRDefault="00780E69" w:rsidP="005A3E31">
            <w:pPr>
              <w:spacing w:after="0" w:line="240" w:lineRule="auto"/>
              <w:rPr>
                <w:rFonts w:ascii="Arial" w:hAnsi="Arial" w:cs="Arial"/>
                <w:sz w:val="18"/>
                <w:szCs w:val="18"/>
              </w:rPr>
            </w:pPr>
            <w:r w:rsidRPr="008E7AB8">
              <w:rPr>
                <w:rFonts w:ascii="Arial" w:hAnsi="Arial" w:cs="Arial"/>
                <w:sz w:val="18"/>
                <w:szCs w:val="18"/>
              </w:rPr>
              <w:t>1.4</w:t>
            </w:r>
          </w:p>
        </w:tc>
        <w:tc>
          <w:tcPr>
            <w:tcW w:w="1701" w:type="dxa"/>
          </w:tcPr>
          <w:p w14:paraId="3D8BB6B6" w14:textId="77777777" w:rsidR="00780E69" w:rsidRPr="008E7AB8" w:rsidRDefault="00780E69" w:rsidP="005A3E3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E7AB8">
              <w:rPr>
                <w:rFonts w:ascii="Arial" w:hAnsi="Arial" w:cs="Arial"/>
                <w:b/>
                <w:sz w:val="18"/>
                <w:szCs w:val="18"/>
              </w:rPr>
              <w:t>Numerator</w:t>
            </w:r>
          </w:p>
        </w:tc>
        <w:tc>
          <w:tcPr>
            <w:tcW w:w="7654" w:type="dxa"/>
          </w:tcPr>
          <w:p w14:paraId="33ED39C3" w14:textId="4B65CCF2" w:rsidR="00780E69" w:rsidRPr="008E7AB8" w:rsidRDefault="001E5E2E" w:rsidP="005A3E3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E7AB8">
              <w:rPr>
                <w:rFonts w:ascii="Arial" w:hAnsi="Arial" w:cs="Arial"/>
                <w:sz w:val="18"/>
                <w:szCs w:val="18"/>
              </w:rPr>
              <w:t>NIC of items</w:t>
            </w:r>
            <w:r w:rsidR="00780E69" w:rsidRPr="008E7AB8">
              <w:rPr>
                <w:rFonts w:ascii="Arial" w:hAnsi="Arial" w:cs="Arial"/>
                <w:sz w:val="18"/>
                <w:szCs w:val="18"/>
              </w:rPr>
              <w:t xml:space="preserve"> prescribed to all patients over a </w:t>
            </w:r>
            <w:r w:rsidR="007163E1" w:rsidRPr="008E7AB8">
              <w:rPr>
                <w:rFonts w:ascii="Arial" w:hAnsi="Arial" w:cs="Arial"/>
                <w:sz w:val="18"/>
                <w:szCs w:val="18"/>
              </w:rPr>
              <w:t>12-month</w:t>
            </w:r>
            <w:r w:rsidR="00780E69" w:rsidRPr="008E7AB8">
              <w:rPr>
                <w:rFonts w:ascii="Arial" w:hAnsi="Arial" w:cs="Arial"/>
                <w:sz w:val="18"/>
                <w:szCs w:val="18"/>
              </w:rPr>
              <w:t xml:space="preserve"> period for </w:t>
            </w:r>
            <w:r w:rsidR="001B4A8E" w:rsidRPr="008E7AB8">
              <w:rPr>
                <w:rFonts w:ascii="Arial" w:hAnsi="Arial" w:cs="Arial"/>
                <w:sz w:val="18"/>
                <w:szCs w:val="18"/>
              </w:rPr>
              <w:t xml:space="preserve">Liquids, Oral Solutions and Oral Suspensions </w:t>
            </w:r>
            <w:r w:rsidR="00780E69" w:rsidRPr="008E7AB8">
              <w:rPr>
                <w:rFonts w:ascii="Arial" w:hAnsi="Arial" w:cs="Arial"/>
                <w:sz w:val="18"/>
                <w:szCs w:val="18"/>
              </w:rPr>
              <w:t>of the following drugs and strengths:</w:t>
            </w:r>
          </w:p>
          <w:p w14:paraId="2ECDB8EB" w14:textId="77777777" w:rsidR="00780E69" w:rsidRPr="008E7AB8" w:rsidRDefault="00780E69" w:rsidP="005A3E3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bl>
            <w:tblPr>
              <w:tblStyle w:val="TableGridLight"/>
              <w:tblW w:w="5999" w:type="dxa"/>
              <w:tblLayout w:type="fixed"/>
              <w:tblLook w:val="04A0" w:firstRow="1" w:lastRow="0" w:firstColumn="1" w:lastColumn="0" w:noHBand="0" w:noVBand="1"/>
            </w:tblPr>
            <w:tblGrid>
              <w:gridCol w:w="2880"/>
              <w:gridCol w:w="1276"/>
              <w:gridCol w:w="1843"/>
            </w:tblGrid>
            <w:tr w:rsidR="0000635B" w:rsidRPr="008E7AB8" w14:paraId="08A9F1D3" w14:textId="77777777" w:rsidTr="00816833">
              <w:trPr>
                <w:trHeight w:val="262"/>
              </w:trPr>
              <w:tc>
                <w:tcPr>
                  <w:tcW w:w="2880" w:type="dxa"/>
                </w:tcPr>
                <w:p w14:paraId="6A3EF54A" w14:textId="77777777" w:rsidR="0000635B" w:rsidRPr="008E7AB8" w:rsidRDefault="0000635B" w:rsidP="0000635B">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 xml:space="preserve">BNF Chemical Substance </w:t>
                  </w:r>
                </w:p>
              </w:tc>
              <w:tc>
                <w:tcPr>
                  <w:tcW w:w="1276" w:type="dxa"/>
                </w:tcPr>
                <w:p w14:paraId="0C551850" w14:textId="77777777" w:rsidR="0000635B" w:rsidRPr="008E7AB8" w:rsidRDefault="0000635B" w:rsidP="0000635B">
                  <w:pPr>
                    <w:spacing w:after="0" w:line="240" w:lineRule="auto"/>
                    <w:jc w:val="center"/>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BNF Code</w:t>
                  </w:r>
                </w:p>
              </w:tc>
              <w:tc>
                <w:tcPr>
                  <w:tcW w:w="1843" w:type="dxa"/>
                  <w:hideMark/>
                </w:tcPr>
                <w:p w14:paraId="37927547" w14:textId="77777777" w:rsidR="0000635B" w:rsidRPr="008E7AB8" w:rsidRDefault="0000635B" w:rsidP="0000635B">
                  <w:pPr>
                    <w:spacing w:after="0" w:line="240" w:lineRule="auto"/>
                    <w:jc w:val="center"/>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Strength</w:t>
                  </w:r>
                </w:p>
              </w:tc>
            </w:tr>
            <w:tr w:rsidR="00831AD9" w:rsidRPr="008E7AB8" w14:paraId="323F49F8" w14:textId="77777777" w:rsidTr="00816833">
              <w:trPr>
                <w:trHeight w:val="248"/>
              </w:trPr>
              <w:tc>
                <w:tcPr>
                  <w:tcW w:w="2880" w:type="dxa"/>
                </w:tcPr>
                <w:p w14:paraId="7AAED4A3" w14:textId="77777777" w:rsidR="00831AD9" w:rsidRPr="008E7AB8" w:rsidRDefault="00831AD9" w:rsidP="00831AD9">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Azathioprine</w:t>
                  </w:r>
                </w:p>
              </w:tc>
              <w:tc>
                <w:tcPr>
                  <w:tcW w:w="1276" w:type="dxa"/>
                </w:tcPr>
                <w:p w14:paraId="202058C5" w14:textId="77777777" w:rsidR="00831AD9" w:rsidRPr="008E7AB8" w:rsidRDefault="00831AD9" w:rsidP="00831AD9">
                  <w:pPr>
                    <w:spacing w:after="0" w:line="240" w:lineRule="auto"/>
                    <w:jc w:val="right"/>
                    <w:rPr>
                      <w:rFonts w:ascii="Arial" w:eastAsia="Times New Roman" w:hAnsi="Arial" w:cs="Arial"/>
                      <w:color w:val="000000"/>
                      <w:sz w:val="20"/>
                      <w:szCs w:val="20"/>
                      <w:lang w:eastAsia="en-GB"/>
                    </w:rPr>
                  </w:pPr>
                  <w:r w:rsidRPr="008E7AB8">
                    <w:rPr>
                      <w:rFonts w:ascii="Arial" w:eastAsia="Times New Roman" w:hAnsi="Arial" w:cs="Arial"/>
                      <w:color w:val="000000"/>
                      <w:sz w:val="18"/>
                      <w:szCs w:val="18"/>
                      <w:lang w:eastAsia="en-GB"/>
                    </w:rPr>
                    <w:t>0802010G0</w:t>
                  </w:r>
                </w:p>
              </w:tc>
              <w:tc>
                <w:tcPr>
                  <w:tcW w:w="1843" w:type="dxa"/>
                </w:tcPr>
                <w:p w14:paraId="5536CC0F" w14:textId="695F5EA8" w:rsidR="00831AD9" w:rsidRPr="00481911" w:rsidRDefault="00831AD9" w:rsidP="00831AD9">
                  <w:pPr>
                    <w:spacing w:after="0" w:line="240" w:lineRule="auto"/>
                    <w:rPr>
                      <w:rFonts w:ascii="Arial" w:eastAsia="Times New Roman" w:hAnsi="Arial" w:cs="Arial"/>
                      <w:color w:val="000000"/>
                      <w:sz w:val="18"/>
                      <w:szCs w:val="18"/>
                      <w:lang w:eastAsia="en-GB"/>
                    </w:rPr>
                  </w:pPr>
                  <w:r w:rsidRPr="00481911">
                    <w:rPr>
                      <w:rFonts w:ascii="Arial" w:hAnsi="Arial" w:cs="Arial"/>
                      <w:sz w:val="18"/>
                      <w:szCs w:val="18"/>
                    </w:rPr>
                    <w:t>10mg/ml</w:t>
                  </w:r>
                </w:p>
              </w:tc>
            </w:tr>
            <w:tr w:rsidR="00831AD9" w:rsidRPr="008E7AB8" w14:paraId="667D90FE" w14:textId="77777777" w:rsidTr="00816833">
              <w:trPr>
                <w:trHeight w:val="248"/>
              </w:trPr>
              <w:tc>
                <w:tcPr>
                  <w:tcW w:w="2880" w:type="dxa"/>
                </w:tcPr>
                <w:p w14:paraId="410585DC" w14:textId="77777777" w:rsidR="00831AD9" w:rsidRPr="008E7AB8" w:rsidRDefault="00831AD9" w:rsidP="00831AD9">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Chloral hydrate</w:t>
                  </w:r>
                </w:p>
              </w:tc>
              <w:tc>
                <w:tcPr>
                  <w:tcW w:w="1276" w:type="dxa"/>
                </w:tcPr>
                <w:p w14:paraId="0BED2FCD" w14:textId="77777777" w:rsidR="00831AD9" w:rsidRPr="008E7AB8" w:rsidRDefault="00831AD9" w:rsidP="00831AD9">
                  <w:pPr>
                    <w:spacing w:after="0" w:line="240" w:lineRule="auto"/>
                    <w:jc w:val="right"/>
                    <w:rPr>
                      <w:rFonts w:ascii="Arial" w:eastAsia="Times New Roman" w:hAnsi="Arial" w:cs="Arial"/>
                      <w:color w:val="000000"/>
                      <w:sz w:val="20"/>
                      <w:szCs w:val="20"/>
                      <w:lang w:eastAsia="en-GB"/>
                    </w:rPr>
                  </w:pPr>
                  <w:r w:rsidRPr="008E7AB8">
                    <w:rPr>
                      <w:rFonts w:ascii="Arial" w:eastAsia="Times New Roman" w:hAnsi="Arial" w:cs="Arial"/>
                      <w:color w:val="000000"/>
                      <w:sz w:val="18"/>
                      <w:szCs w:val="18"/>
                      <w:lang w:eastAsia="en-GB"/>
                    </w:rPr>
                    <w:t>0401010B0</w:t>
                  </w:r>
                </w:p>
              </w:tc>
              <w:tc>
                <w:tcPr>
                  <w:tcW w:w="1843" w:type="dxa"/>
                </w:tcPr>
                <w:p w14:paraId="491C8740" w14:textId="0ABF46A6" w:rsidR="00831AD9" w:rsidRPr="00481911" w:rsidRDefault="00831AD9" w:rsidP="00831AD9">
                  <w:pPr>
                    <w:spacing w:after="0" w:line="240" w:lineRule="auto"/>
                    <w:rPr>
                      <w:rFonts w:ascii="Arial" w:eastAsia="Times New Roman" w:hAnsi="Arial" w:cs="Arial"/>
                      <w:color w:val="000000"/>
                      <w:sz w:val="18"/>
                      <w:szCs w:val="18"/>
                      <w:lang w:eastAsia="en-GB"/>
                    </w:rPr>
                  </w:pPr>
                  <w:r w:rsidRPr="00481911">
                    <w:rPr>
                      <w:rFonts w:ascii="Arial" w:hAnsi="Arial" w:cs="Arial"/>
                      <w:sz w:val="18"/>
                      <w:szCs w:val="18"/>
                    </w:rPr>
                    <w:t>100mg/ml</w:t>
                  </w:r>
                </w:p>
              </w:tc>
            </w:tr>
            <w:tr w:rsidR="00831AD9" w:rsidRPr="008E7AB8" w14:paraId="041BE9D8" w14:textId="77777777" w:rsidTr="00816833">
              <w:trPr>
                <w:trHeight w:val="248"/>
              </w:trPr>
              <w:tc>
                <w:tcPr>
                  <w:tcW w:w="2880" w:type="dxa"/>
                </w:tcPr>
                <w:p w14:paraId="7A304BF1" w14:textId="77777777" w:rsidR="00831AD9" w:rsidRPr="008E7AB8" w:rsidRDefault="00831AD9" w:rsidP="00831AD9">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Clopidogrel</w:t>
                  </w:r>
                </w:p>
              </w:tc>
              <w:tc>
                <w:tcPr>
                  <w:tcW w:w="1276" w:type="dxa"/>
                </w:tcPr>
                <w:p w14:paraId="29DE5D6E" w14:textId="77777777" w:rsidR="00831AD9" w:rsidRPr="008E7AB8" w:rsidRDefault="00831AD9" w:rsidP="00831AD9">
                  <w:pPr>
                    <w:spacing w:after="0" w:line="240" w:lineRule="auto"/>
                    <w:jc w:val="right"/>
                    <w:rPr>
                      <w:rFonts w:ascii="Arial" w:eastAsia="Times New Roman" w:hAnsi="Arial" w:cs="Arial"/>
                      <w:color w:val="000000"/>
                      <w:sz w:val="20"/>
                      <w:szCs w:val="20"/>
                      <w:lang w:eastAsia="en-GB"/>
                    </w:rPr>
                  </w:pPr>
                  <w:r w:rsidRPr="008E7AB8">
                    <w:rPr>
                      <w:rFonts w:ascii="Arial" w:eastAsia="Times New Roman" w:hAnsi="Arial" w:cs="Arial"/>
                      <w:color w:val="000000"/>
                      <w:sz w:val="18"/>
                      <w:szCs w:val="18"/>
                      <w:lang w:eastAsia="en-GB"/>
                    </w:rPr>
                    <w:t>0209000C0</w:t>
                  </w:r>
                </w:p>
              </w:tc>
              <w:tc>
                <w:tcPr>
                  <w:tcW w:w="1843" w:type="dxa"/>
                </w:tcPr>
                <w:p w14:paraId="12774197" w14:textId="67060C32" w:rsidR="00831AD9" w:rsidRPr="00481911" w:rsidRDefault="00831AD9" w:rsidP="00831AD9">
                  <w:pPr>
                    <w:spacing w:after="0" w:line="240" w:lineRule="auto"/>
                    <w:rPr>
                      <w:rFonts w:ascii="Arial" w:eastAsia="Times New Roman" w:hAnsi="Arial" w:cs="Arial"/>
                      <w:color w:val="000000"/>
                      <w:sz w:val="18"/>
                      <w:szCs w:val="18"/>
                      <w:lang w:eastAsia="en-GB"/>
                    </w:rPr>
                  </w:pPr>
                  <w:r w:rsidRPr="00481911">
                    <w:rPr>
                      <w:rFonts w:ascii="Arial" w:hAnsi="Arial" w:cs="Arial"/>
                      <w:sz w:val="18"/>
                      <w:szCs w:val="18"/>
                    </w:rPr>
                    <w:t>5mg/ml</w:t>
                  </w:r>
                </w:p>
              </w:tc>
            </w:tr>
            <w:tr w:rsidR="00831AD9" w:rsidRPr="008E7AB8" w14:paraId="451A67CF" w14:textId="77777777" w:rsidTr="00816833">
              <w:trPr>
                <w:trHeight w:val="248"/>
              </w:trPr>
              <w:tc>
                <w:tcPr>
                  <w:tcW w:w="2880" w:type="dxa"/>
                </w:tcPr>
                <w:p w14:paraId="3DE6A87C" w14:textId="77777777" w:rsidR="00831AD9" w:rsidRPr="008E7AB8" w:rsidRDefault="00831AD9" w:rsidP="00831AD9">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Ethambutol hydrochloride</w:t>
                  </w:r>
                </w:p>
              </w:tc>
              <w:tc>
                <w:tcPr>
                  <w:tcW w:w="1276" w:type="dxa"/>
                </w:tcPr>
                <w:p w14:paraId="54DA6C8B" w14:textId="77777777" w:rsidR="00831AD9" w:rsidRPr="008E7AB8" w:rsidRDefault="00831AD9" w:rsidP="00831AD9">
                  <w:pPr>
                    <w:spacing w:after="0" w:line="240" w:lineRule="auto"/>
                    <w:jc w:val="right"/>
                    <w:rPr>
                      <w:rFonts w:ascii="Arial" w:eastAsia="Times New Roman" w:hAnsi="Arial" w:cs="Arial"/>
                      <w:color w:val="000000"/>
                      <w:sz w:val="20"/>
                      <w:szCs w:val="20"/>
                      <w:lang w:eastAsia="en-GB"/>
                    </w:rPr>
                  </w:pPr>
                  <w:r w:rsidRPr="008E7AB8">
                    <w:rPr>
                      <w:rFonts w:ascii="Arial" w:eastAsia="Times New Roman" w:hAnsi="Arial" w:cs="Arial"/>
                      <w:color w:val="000000"/>
                      <w:sz w:val="18"/>
                      <w:szCs w:val="18"/>
                      <w:lang w:eastAsia="en-GB"/>
                    </w:rPr>
                    <w:t>0501090H0</w:t>
                  </w:r>
                </w:p>
              </w:tc>
              <w:tc>
                <w:tcPr>
                  <w:tcW w:w="1843" w:type="dxa"/>
                </w:tcPr>
                <w:p w14:paraId="4FB09A40" w14:textId="6E0EB559" w:rsidR="00831AD9" w:rsidRPr="00481911" w:rsidRDefault="00831AD9" w:rsidP="00831AD9">
                  <w:pPr>
                    <w:spacing w:after="0" w:line="240" w:lineRule="auto"/>
                    <w:rPr>
                      <w:rFonts w:ascii="Arial" w:eastAsia="Times New Roman" w:hAnsi="Arial" w:cs="Arial"/>
                      <w:color w:val="000000"/>
                      <w:sz w:val="18"/>
                      <w:szCs w:val="18"/>
                      <w:lang w:eastAsia="en-GB"/>
                    </w:rPr>
                  </w:pPr>
                  <w:r w:rsidRPr="00481911">
                    <w:rPr>
                      <w:rFonts w:ascii="Arial" w:hAnsi="Arial" w:cs="Arial"/>
                      <w:sz w:val="18"/>
                      <w:szCs w:val="18"/>
                    </w:rPr>
                    <w:t>80mg/ml</w:t>
                  </w:r>
                </w:p>
              </w:tc>
            </w:tr>
            <w:tr w:rsidR="00831AD9" w:rsidRPr="008E7AB8" w14:paraId="5D09F572" w14:textId="77777777" w:rsidTr="00816833">
              <w:trPr>
                <w:trHeight w:val="248"/>
              </w:trPr>
              <w:tc>
                <w:tcPr>
                  <w:tcW w:w="2880" w:type="dxa"/>
                </w:tcPr>
                <w:p w14:paraId="210D52E2" w14:textId="77777777" w:rsidR="00831AD9" w:rsidRPr="008E7AB8" w:rsidRDefault="00831AD9" w:rsidP="00831AD9">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Hydrocortisone</w:t>
                  </w:r>
                </w:p>
              </w:tc>
              <w:tc>
                <w:tcPr>
                  <w:tcW w:w="1276" w:type="dxa"/>
                </w:tcPr>
                <w:p w14:paraId="1731640C" w14:textId="77777777" w:rsidR="00831AD9" w:rsidRPr="008E7AB8" w:rsidRDefault="00831AD9" w:rsidP="00831AD9">
                  <w:pPr>
                    <w:spacing w:after="0" w:line="240" w:lineRule="auto"/>
                    <w:jc w:val="right"/>
                    <w:rPr>
                      <w:rFonts w:ascii="Arial" w:eastAsia="Times New Roman" w:hAnsi="Arial" w:cs="Arial"/>
                      <w:color w:val="000000"/>
                      <w:sz w:val="20"/>
                      <w:szCs w:val="20"/>
                      <w:lang w:eastAsia="en-GB"/>
                    </w:rPr>
                  </w:pPr>
                  <w:r w:rsidRPr="008E7AB8">
                    <w:rPr>
                      <w:rFonts w:ascii="Arial" w:eastAsia="Times New Roman" w:hAnsi="Arial" w:cs="Arial"/>
                      <w:color w:val="000000"/>
                      <w:sz w:val="18"/>
                      <w:szCs w:val="18"/>
                      <w:lang w:eastAsia="en-GB"/>
                    </w:rPr>
                    <w:t>0603020J0</w:t>
                  </w:r>
                </w:p>
              </w:tc>
              <w:tc>
                <w:tcPr>
                  <w:tcW w:w="1843" w:type="dxa"/>
                </w:tcPr>
                <w:p w14:paraId="74F7AF38" w14:textId="455019B5" w:rsidR="00831AD9" w:rsidRPr="00481911" w:rsidRDefault="00831AD9" w:rsidP="00831AD9">
                  <w:pPr>
                    <w:spacing w:after="0" w:line="240" w:lineRule="auto"/>
                    <w:rPr>
                      <w:rFonts w:ascii="Arial" w:eastAsia="Times New Roman" w:hAnsi="Arial" w:cs="Arial"/>
                      <w:color w:val="000000"/>
                      <w:sz w:val="18"/>
                      <w:szCs w:val="18"/>
                      <w:lang w:eastAsia="en-GB"/>
                    </w:rPr>
                  </w:pPr>
                  <w:r w:rsidRPr="00481911">
                    <w:rPr>
                      <w:rFonts w:ascii="Arial" w:hAnsi="Arial" w:cs="Arial"/>
                      <w:sz w:val="18"/>
                      <w:szCs w:val="18"/>
                    </w:rPr>
                    <w:t>1mg/ml</w:t>
                  </w:r>
                </w:p>
              </w:tc>
            </w:tr>
            <w:tr w:rsidR="00831AD9" w:rsidRPr="008E7AB8" w14:paraId="06838634" w14:textId="77777777" w:rsidTr="00816833">
              <w:trPr>
                <w:trHeight w:val="248"/>
              </w:trPr>
              <w:tc>
                <w:tcPr>
                  <w:tcW w:w="2880" w:type="dxa"/>
                </w:tcPr>
                <w:p w14:paraId="621A0B3A" w14:textId="77777777" w:rsidR="00831AD9" w:rsidRPr="008E7AB8" w:rsidRDefault="00831AD9" w:rsidP="00831AD9">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Isoniazid</w:t>
                  </w:r>
                </w:p>
              </w:tc>
              <w:tc>
                <w:tcPr>
                  <w:tcW w:w="1276" w:type="dxa"/>
                </w:tcPr>
                <w:p w14:paraId="1C2D90BB" w14:textId="77777777" w:rsidR="00831AD9" w:rsidRPr="008E7AB8" w:rsidRDefault="00831AD9" w:rsidP="00831AD9">
                  <w:pPr>
                    <w:spacing w:after="0" w:line="240" w:lineRule="auto"/>
                    <w:jc w:val="right"/>
                    <w:rPr>
                      <w:rFonts w:ascii="Arial" w:eastAsia="Times New Roman" w:hAnsi="Arial" w:cs="Arial"/>
                      <w:color w:val="000000"/>
                      <w:sz w:val="20"/>
                      <w:szCs w:val="20"/>
                      <w:lang w:eastAsia="en-GB"/>
                    </w:rPr>
                  </w:pPr>
                  <w:r w:rsidRPr="008E7AB8">
                    <w:rPr>
                      <w:rFonts w:ascii="Arial" w:eastAsia="Times New Roman" w:hAnsi="Arial" w:cs="Arial"/>
                      <w:color w:val="000000"/>
                      <w:sz w:val="18"/>
                      <w:szCs w:val="18"/>
                      <w:lang w:eastAsia="en-GB"/>
                    </w:rPr>
                    <w:t>0501090K0</w:t>
                  </w:r>
                </w:p>
              </w:tc>
              <w:tc>
                <w:tcPr>
                  <w:tcW w:w="1843" w:type="dxa"/>
                </w:tcPr>
                <w:p w14:paraId="58CB337F" w14:textId="2CF710B1" w:rsidR="00831AD9" w:rsidRPr="00481911" w:rsidRDefault="00831AD9" w:rsidP="00831AD9">
                  <w:pPr>
                    <w:spacing w:after="0" w:line="240" w:lineRule="auto"/>
                    <w:rPr>
                      <w:rFonts w:ascii="Arial" w:eastAsia="Times New Roman" w:hAnsi="Arial" w:cs="Arial"/>
                      <w:color w:val="000000"/>
                      <w:sz w:val="18"/>
                      <w:szCs w:val="18"/>
                      <w:lang w:eastAsia="en-GB"/>
                    </w:rPr>
                  </w:pPr>
                  <w:r w:rsidRPr="00481911">
                    <w:rPr>
                      <w:rFonts w:ascii="Arial" w:hAnsi="Arial" w:cs="Arial"/>
                      <w:sz w:val="18"/>
                      <w:szCs w:val="18"/>
                    </w:rPr>
                    <w:t>10mg/ml</w:t>
                  </w:r>
                </w:p>
              </w:tc>
            </w:tr>
            <w:tr w:rsidR="00831AD9" w:rsidRPr="008E7AB8" w14:paraId="57A2173D" w14:textId="77777777" w:rsidTr="00816833">
              <w:trPr>
                <w:trHeight w:val="248"/>
              </w:trPr>
              <w:tc>
                <w:tcPr>
                  <w:tcW w:w="2880" w:type="dxa"/>
                </w:tcPr>
                <w:p w14:paraId="7EC01E0D" w14:textId="77777777" w:rsidR="00831AD9" w:rsidRPr="008E7AB8" w:rsidRDefault="00831AD9" w:rsidP="00831AD9">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Phenobarbital</w:t>
                  </w:r>
                </w:p>
              </w:tc>
              <w:tc>
                <w:tcPr>
                  <w:tcW w:w="1276" w:type="dxa"/>
                </w:tcPr>
                <w:p w14:paraId="2B4DDC86" w14:textId="77777777" w:rsidR="00831AD9" w:rsidRPr="008E7AB8" w:rsidRDefault="00831AD9" w:rsidP="00831AD9">
                  <w:pPr>
                    <w:spacing w:after="0" w:line="240" w:lineRule="auto"/>
                    <w:jc w:val="right"/>
                    <w:rPr>
                      <w:rFonts w:ascii="Arial" w:eastAsia="Times New Roman" w:hAnsi="Arial" w:cs="Arial"/>
                      <w:color w:val="000000"/>
                      <w:sz w:val="20"/>
                      <w:szCs w:val="20"/>
                      <w:lang w:eastAsia="en-GB"/>
                    </w:rPr>
                  </w:pPr>
                  <w:r w:rsidRPr="008E7AB8">
                    <w:rPr>
                      <w:rFonts w:ascii="Arial" w:eastAsia="Times New Roman" w:hAnsi="Arial" w:cs="Arial"/>
                      <w:color w:val="000000"/>
                      <w:sz w:val="18"/>
                      <w:szCs w:val="18"/>
                      <w:lang w:eastAsia="en-GB"/>
                    </w:rPr>
                    <w:t>0408010N0</w:t>
                  </w:r>
                </w:p>
              </w:tc>
              <w:tc>
                <w:tcPr>
                  <w:tcW w:w="1843" w:type="dxa"/>
                </w:tcPr>
                <w:p w14:paraId="5ABE752D" w14:textId="1D482B46" w:rsidR="00831AD9" w:rsidRPr="00481911" w:rsidRDefault="00831AD9" w:rsidP="00831AD9">
                  <w:pPr>
                    <w:spacing w:after="0" w:line="240" w:lineRule="auto"/>
                    <w:rPr>
                      <w:rFonts w:ascii="Arial" w:eastAsia="Times New Roman" w:hAnsi="Arial" w:cs="Arial"/>
                      <w:color w:val="000000"/>
                      <w:sz w:val="18"/>
                      <w:szCs w:val="18"/>
                      <w:lang w:eastAsia="en-GB"/>
                    </w:rPr>
                  </w:pPr>
                  <w:r w:rsidRPr="00481911">
                    <w:rPr>
                      <w:rFonts w:ascii="Arial" w:hAnsi="Arial" w:cs="Arial"/>
                      <w:sz w:val="18"/>
                      <w:szCs w:val="18"/>
                    </w:rPr>
                    <w:t>10mg/ml</w:t>
                  </w:r>
                </w:p>
              </w:tc>
            </w:tr>
            <w:tr w:rsidR="00831AD9" w:rsidRPr="008E7AB8" w14:paraId="31A6A55A" w14:textId="77777777" w:rsidTr="00816833">
              <w:trPr>
                <w:trHeight w:val="248"/>
              </w:trPr>
              <w:tc>
                <w:tcPr>
                  <w:tcW w:w="2880" w:type="dxa"/>
                </w:tcPr>
                <w:p w14:paraId="00625B7A" w14:textId="77777777" w:rsidR="00831AD9" w:rsidRPr="008E7AB8" w:rsidRDefault="00831AD9" w:rsidP="00831AD9">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Phenobarbital sodium</w:t>
                  </w:r>
                </w:p>
              </w:tc>
              <w:tc>
                <w:tcPr>
                  <w:tcW w:w="1276" w:type="dxa"/>
                </w:tcPr>
                <w:p w14:paraId="585C0267" w14:textId="77777777" w:rsidR="00831AD9" w:rsidRPr="008E7AB8" w:rsidRDefault="00831AD9" w:rsidP="00831AD9">
                  <w:pPr>
                    <w:spacing w:after="0" w:line="240" w:lineRule="auto"/>
                    <w:jc w:val="right"/>
                    <w:rPr>
                      <w:rFonts w:ascii="Arial" w:eastAsia="Times New Roman" w:hAnsi="Arial" w:cs="Arial"/>
                      <w:color w:val="000000"/>
                      <w:sz w:val="20"/>
                      <w:szCs w:val="20"/>
                      <w:lang w:eastAsia="en-GB"/>
                    </w:rPr>
                  </w:pPr>
                  <w:r w:rsidRPr="008E7AB8">
                    <w:rPr>
                      <w:rFonts w:ascii="Arial" w:eastAsia="Times New Roman" w:hAnsi="Arial" w:cs="Arial"/>
                      <w:color w:val="000000"/>
                      <w:sz w:val="18"/>
                      <w:szCs w:val="18"/>
                      <w:lang w:eastAsia="en-GB"/>
                    </w:rPr>
                    <w:t>0408010P0</w:t>
                  </w:r>
                </w:p>
              </w:tc>
              <w:tc>
                <w:tcPr>
                  <w:tcW w:w="1843" w:type="dxa"/>
                </w:tcPr>
                <w:p w14:paraId="79C264EC" w14:textId="74B0CF27" w:rsidR="00831AD9" w:rsidRPr="00481911" w:rsidRDefault="00831AD9" w:rsidP="00831AD9">
                  <w:pPr>
                    <w:spacing w:after="0" w:line="240" w:lineRule="auto"/>
                    <w:rPr>
                      <w:rFonts w:ascii="Arial" w:eastAsia="Times New Roman" w:hAnsi="Arial" w:cs="Arial"/>
                      <w:color w:val="000000"/>
                      <w:sz w:val="18"/>
                      <w:szCs w:val="18"/>
                      <w:lang w:eastAsia="en-GB"/>
                    </w:rPr>
                  </w:pPr>
                  <w:r w:rsidRPr="00481911">
                    <w:rPr>
                      <w:rFonts w:ascii="Arial" w:hAnsi="Arial" w:cs="Arial"/>
                      <w:sz w:val="18"/>
                      <w:szCs w:val="18"/>
                    </w:rPr>
                    <w:t>10mg/ml</w:t>
                  </w:r>
                </w:p>
              </w:tc>
            </w:tr>
            <w:tr w:rsidR="00831AD9" w:rsidRPr="008E7AB8" w14:paraId="019D6B60" w14:textId="77777777" w:rsidTr="00816833">
              <w:trPr>
                <w:trHeight w:val="248"/>
              </w:trPr>
              <w:tc>
                <w:tcPr>
                  <w:tcW w:w="2880" w:type="dxa"/>
                </w:tcPr>
                <w:p w14:paraId="61222BA9" w14:textId="77777777" w:rsidR="00831AD9" w:rsidRPr="008E7AB8" w:rsidRDefault="00831AD9" w:rsidP="00831AD9">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Pyrazinamide</w:t>
                  </w:r>
                </w:p>
              </w:tc>
              <w:tc>
                <w:tcPr>
                  <w:tcW w:w="1276" w:type="dxa"/>
                </w:tcPr>
                <w:p w14:paraId="76F1D48C" w14:textId="77777777" w:rsidR="00831AD9" w:rsidRPr="008E7AB8" w:rsidRDefault="00831AD9" w:rsidP="00831AD9">
                  <w:pPr>
                    <w:spacing w:after="0" w:line="240" w:lineRule="auto"/>
                    <w:jc w:val="right"/>
                    <w:rPr>
                      <w:rFonts w:ascii="Arial" w:eastAsia="Times New Roman" w:hAnsi="Arial" w:cs="Arial"/>
                      <w:color w:val="000000"/>
                      <w:sz w:val="20"/>
                      <w:szCs w:val="20"/>
                      <w:lang w:eastAsia="en-GB"/>
                    </w:rPr>
                  </w:pPr>
                  <w:r w:rsidRPr="008E7AB8">
                    <w:rPr>
                      <w:rFonts w:ascii="Arial" w:eastAsia="Times New Roman" w:hAnsi="Arial" w:cs="Arial"/>
                      <w:color w:val="000000"/>
                      <w:sz w:val="18"/>
                      <w:szCs w:val="18"/>
                      <w:lang w:eastAsia="en-GB"/>
                    </w:rPr>
                    <w:t>0501090N0</w:t>
                  </w:r>
                </w:p>
              </w:tc>
              <w:tc>
                <w:tcPr>
                  <w:tcW w:w="1843" w:type="dxa"/>
                </w:tcPr>
                <w:p w14:paraId="186BFB89" w14:textId="3E080A3F" w:rsidR="00831AD9" w:rsidRPr="00481911" w:rsidRDefault="00831AD9" w:rsidP="00831AD9">
                  <w:pPr>
                    <w:spacing w:after="0" w:line="240" w:lineRule="auto"/>
                    <w:rPr>
                      <w:rFonts w:ascii="Arial" w:eastAsia="Times New Roman" w:hAnsi="Arial" w:cs="Arial"/>
                      <w:color w:val="000000"/>
                      <w:sz w:val="18"/>
                      <w:szCs w:val="18"/>
                      <w:lang w:eastAsia="en-GB"/>
                    </w:rPr>
                  </w:pPr>
                  <w:r w:rsidRPr="00481911">
                    <w:rPr>
                      <w:rFonts w:ascii="Arial" w:hAnsi="Arial" w:cs="Arial"/>
                      <w:sz w:val="18"/>
                      <w:szCs w:val="18"/>
                    </w:rPr>
                    <w:t>100mg/ml</w:t>
                  </w:r>
                </w:p>
              </w:tc>
            </w:tr>
            <w:tr w:rsidR="00831AD9" w:rsidRPr="008E7AB8" w14:paraId="6728A288" w14:textId="77777777" w:rsidTr="00816833">
              <w:trPr>
                <w:trHeight w:val="248"/>
              </w:trPr>
              <w:tc>
                <w:tcPr>
                  <w:tcW w:w="2880" w:type="dxa"/>
                </w:tcPr>
                <w:p w14:paraId="0F2CE29F" w14:textId="77777777" w:rsidR="00831AD9" w:rsidRPr="008E7AB8" w:rsidRDefault="00831AD9" w:rsidP="00831AD9">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Sertraline hydrochloride</w:t>
                  </w:r>
                </w:p>
              </w:tc>
              <w:tc>
                <w:tcPr>
                  <w:tcW w:w="1276" w:type="dxa"/>
                </w:tcPr>
                <w:p w14:paraId="47FEAFB3" w14:textId="77777777" w:rsidR="00831AD9" w:rsidRPr="008E7AB8" w:rsidRDefault="00831AD9" w:rsidP="00831AD9">
                  <w:pPr>
                    <w:spacing w:after="0" w:line="240" w:lineRule="auto"/>
                    <w:jc w:val="right"/>
                    <w:rPr>
                      <w:rFonts w:ascii="Arial" w:eastAsia="Times New Roman" w:hAnsi="Arial" w:cs="Arial"/>
                      <w:color w:val="000000"/>
                      <w:sz w:val="20"/>
                      <w:szCs w:val="20"/>
                      <w:lang w:eastAsia="en-GB"/>
                    </w:rPr>
                  </w:pPr>
                  <w:r w:rsidRPr="008E7AB8">
                    <w:rPr>
                      <w:rFonts w:ascii="Arial" w:eastAsia="Times New Roman" w:hAnsi="Arial" w:cs="Arial"/>
                      <w:color w:val="000000"/>
                      <w:sz w:val="18"/>
                      <w:szCs w:val="18"/>
                      <w:lang w:eastAsia="en-GB"/>
                    </w:rPr>
                    <w:t>0403030Q0</w:t>
                  </w:r>
                </w:p>
              </w:tc>
              <w:tc>
                <w:tcPr>
                  <w:tcW w:w="1843" w:type="dxa"/>
                </w:tcPr>
                <w:p w14:paraId="48DD26DC" w14:textId="557DEF1F" w:rsidR="00831AD9" w:rsidRPr="00481911" w:rsidRDefault="00831AD9" w:rsidP="00831AD9">
                  <w:pPr>
                    <w:spacing w:after="0" w:line="240" w:lineRule="auto"/>
                    <w:rPr>
                      <w:rFonts w:ascii="Arial" w:eastAsia="Times New Roman" w:hAnsi="Arial" w:cs="Arial"/>
                      <w:color w:val="000000"/>
                      <w:sz w:val="18"/>
                      <w:szCs w:val="18"/>
                      <w:lang w:eastAsia="en-GB"/>
                    </w:rPr>
                  </w:pPr>
                  <w:r w:rsidRPr="00481911">
                    <w:rPr>
                      <w:rFonts w:ascii="Arial" w:hAnsi="Arial" w:cs="Arial"/>
                      <w:sz w:val="18"/>
                      <w:szCs w:val="18"/>
                    </w:rPr>
                    <w:t>10mg/ml</w:t>
                  </w:r>
                </w:p>
              </w:tc>
            </w:tr>
            <w:tr w:rsidR="00831AD9" w:rsidRPr="008E7AB8" w14:paraId="4F56738E" w14:textId="77777777" w:rsidTr="00816833">
              <w:trPr>
                <w:trHeight w:val="248"/>
              </w:trPr>
              <w:tc>
                <w:tcPr>
                  <w:tcW w:w="2880" w:type="dxa"/>
                </w:tcPr>
                <w:p w14:paraId="1CF028BB" w14:textId="77777777" w:rsidR="00831AD9" w:rsidRPr="008E7AB8" w:rsidRDefault="00831AD9" w:rsidP="00831AD9">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Sodium chloride</w:t>
                  </w:r>
                </w:p>
              </w:tc>
              <w:tc>
                <w:tcPr>
                  <w:tcW w:w="1276" w:type="dxa"/>
                </w:tcPr>
                <w:p w14:paraId="445741EF" w14:textId="77777777" w:rsidR="00831AD9" w:rsidRPr="008E7AB8" w:rsidRDefault="00831AD9" w:rsidP="00831AD9">
                  <w:pPr>
                    <w:spacing w:after="0" w:line="240" w:lineRule="auto"/>
                    <w:jc w:val="right"/>
                    <w:rPr>
                      <w:rFonts w:ascii="Arial" w:eastAsia="Times New Roman" w:hAnsi="Arial" w:cs="Arial"/>
                      <w:color w:val="000000"/>
                      <w:sz w:val="20"/>
                      <w:szCs w:val="20"/>
                      <w:lang w:eastAsia="en-GB"/>
                    </w:rPr>
                  </w:pPr>
                  <w:r w:rsidRPr="008E7AB8">
                    <w:rPr>
                      <w:rFonts w:ascii="Arial" w:eastAsia="Times New Roman" w:hAnsi="Arial" w:cs="Arial"/>
                      <w:color w:val="000000"/>
                      <w:sz w:val="18"/>
                      <w:szCs w:val="18"/>
                      <w:lang w:eastAsia="en-GB"/>
                    </w:rPr>
                    <w:t>0902012L0</w:t>
                  </w:r>
                </w:p>
              </w:tc>
              <w:tc>
                <w:tcPr>
                  <w:tcW w:w="1843" w:type="dxa"/>
                </w:tcPr>
                <w:p w14:paraId="6EE7D800" w14:textId="5B4B691A" w:rsidR="00831AD9" w:rsidRPr="00481911" w:rsidRDefault="00831AD9" w:rsidP="00831AD9">
                  <w:pPr>
                    <w:spacing w:after="0" w:line="240" w:lineRule="auto"/>
                    <w:rPr>
                      <w:rFonts w:ascii="Arial" w:eastAsia="Times New Roman" w:hAnsi="Arial" w:cs="Arial"/>
                      <w:color w:val="000000"/>
                      <w:sz w:val="18"/>
                      <w:szCs w:val="18"/>
                      <w:lang w:eastAsia="en-GB"/>
                    </w:rPr>
                  </w:pPr>
                  <w:r w:rsidRPr="00481911">
                    <w:rPr>
                      <w:rFonts w:ascii="Arial" w:hAnsi="Arial" w:cs="Arial"/>
                      <w:sz w:val="18"/>
                      <w:szCs w:val="18"/>
                    </w:rPr>
                    <w:t>292mg/ml</w:t>
                  </w:r>
                </w:p>
              </w:tc>
            </w:tr>
            <w:tr w:rsidR="00831AD9" w:rsidRPr="008E7AB8" w14:paraId="49B544CC" w14:textId="77777777" w:rsidTr="00816833">
              <w:trPr>
                <w:trHeight w:val="248"/>
              </w:trPr>
              <w:tc>
                <w:tcPr>
                  <w:tcW w:w="2880" w:type="dxa"/>
                </w:tcPr>
                <w:p w14:paraId="429BFCA8" w14:textId="77777777" w:rsidR="00831AD9" w:rsidRPr="008E7AB8" w:rsidRDefault="00831AD9" w:rsidP="00831AD9">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Spironolactone</w:t>
                  </w:r>
                </w:p>
              </w:tc>
              <w:tc>
                <w:tcPr>
                  <w:tcW w:w="1276" w:type="dxa"/>
                </w:tcPr>
                <w:p w14:paraId="75388C59" w14:textId="77777777" w:rsidR="00831AD9" w:rsidRPr="008E7AB8" w:rsidRDefault="00831AD9" w:rsidP="00831AD9">
                  <w:pPr>
                    <w:spacing w:after="0" w:line="240" w:lineRule="auto"/>
                    <w:jc w:val="right"/>
                    <w:rPr>
                      <w:rFonts w:ascii="Arial" w:eastAsia="Times New Roman" w:hAnsi="Arial" w:cs="Arial"/>
                      <w:color w:val="000000"/>
                      <w:sz w:val="20"/>
                      <w:szCs w:val="20"/>
                      <w:lang w:eastAsia="en-GB"/>
                    </w:rPr>
                  </w:pPr>
                  <w:r w:rsidRPr="008E7AB8">
                    <w:rPr>
                      <w:rFonts w:ascii="Arial" w:eastAsia="Times New Roman" w:hAnsi="Arial" w:cs="Arial"/>
                      <w:color w:val="000000"/>
                      <w:sz w:val="18"/>
                      <w:szCs w:val="18"/>
                      <w:lang w:eastAsia="en-GB"/>
                    </w:rPr>
                    <w:t>0202030S0</w:t>
                  </w:r>
                </w:p>
              </w:tc>
              <w:tc>
                <w:tcPr>
                  <w:tcW w:w="1843" w:type="dxa"/>
                </w:tcPr>
                <w:p w14:paraId="7799288B" w14:textId="770BF969" w:rsidR="00831AD9" w:rsidRPr="00481911" w:rsidRDefault="00831AD9" w:rsidP="00831AD9">
                  <w:pPr>
                    <w:spacing w:after="0" w:line="240" w:lineRule="auto"/>
                    <w:rPr>
                      <w:rFonts w:ascii="Arial" w:eastAsia="Times New Roman" w:hAnsi="Arial" w:cs="Arial"/>
                      <w:color w:val="000000"/>
                      <w:sz w:val="18"/>
                      <w:szCs w:val="18"/>
                      <w:lang w:eastAsia="en-GB"/>
                    </w:rPr>
                  </w:pPr>
                  <w:r w:rsidRPr="00481911">
                    <w:rPr>
                      <w:rFonts w:ascii="Arial" w:hAnsi="Arial" w:cs="Arial"/>
                      <w:sz w:val="18"/>
                      <w:szCs w:val="18"/>
                    </w:rPr>
                    <w:t>10mg/ml</w:t>
                  </w:r>
                </w:p>
              </w:tc>
            </w:tr>
            <w:tr w:rsidR="00831AD9" w:rsidRPr="008E7AB8" w14:paraId="59638A9E" w14:textId="77777777" w:rsidTr="00816833">
              <w:trPr>
                <w:trHeight w:val="248"/>
              </w:trPr>
              <w:tc>
                <w:tcPr>
                  <w:tcW w:w="2880" w:type="dxa"/>
                </w:tcPr>
                <w:p w14:paraId="4A1D19F4" w14:textId="77777777" w:rsidR="00831AD9" w:rsidRPr="008E7AB8" w:rsidRDefault="00831AD9" w:rsidP="00831AD9">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Tacrolimus</w:t>
                  </w:r>
                </w:p>
              </w:tc>
              <w:tc>
                <w:tcPr>
                  <w:tcW w:w="1276" w:type="dxa"/>
                </w:tcPr>
                <w:p w14:paraId="5979894B" w14:textId="77777777" w:rsidR="00831AD9" w:rsidRPr="008E7AB8" w:rsidRDefault="00831AD9" w:rsidP="00831AD9">
                  <w:pPr>
                    <w:spacing w:after="0" w:line="240" w:lineRule="auto"/>
                    <w:jc w:val="right"/>
                    <w:rPr>
                      <w:rFonts w:ascii="Arial" w:eastAsia="Times New Roman" w:hAnsi="Arial" w:cs="Arial"/>
                      <w:color w:val="000000"/>
                      <w:sz w:val="20"/>
                      <w:szCs w:val="20"/>
                      <w:lang w:eastAsia="en-GB"/>
                    </w:rPr>
                  </w:pPr>
                  <w:r w:rsidRPr="008E7AB8">
                    <w:rPr>
                      <w:rFonts w:ascii="Arial" w:eastAsia="Times New Roman" w:hAnsi="Arial" w:cs="Arial"/>
                      <w:color w:val="000000"/>
                      <w:sz w:val="18"/>
                      <w:szCs w:val="18"/>
                      <w:lang w:eastAsia="en-GB"/>
                    </w:rPr>
                    <w:t>0802020T0</w:t>
                  </w:r>
                </w:p>
              </w:tc>
              <w:tc>
                <w:tcPr>
                  <w:tcW w:w="1843" w:type="dxa"/>
                </w:tcPr>
                <w:p w14:paraId="27FE1475" w14:textId="216C31B9" w:rsidR="00831AD9" w:rsidRPr="00481911" w:rsidRDefault="00831AD9" w:rsidP="00831AD9">
                  <w:pPr>
                    <w:spacing w:after="0" w:line="240" w:lineRule="auto"/>
                    <w:rPr>
                      <w:rFonts w:ascii="Arial" w:eastAsia="Times New Roman" w:hAnsi="Arial" w:cs="Arial"/>
                      <w:color w:val="000000"/>
                      <w:sz w:val="18"/>
                      <w:szCs w:val="18"/>
                      <w:lang w:eastAsia="en-GB"/>
                    </w:rPr>
                  </w:pPr>
                  <w:r w:rsidRPr="00481911">
                    <w:rPr>
                      <w:rFonts w:ascii="Arial" w:hAnsi="Arial" w:cs="Arial"/>
                      <w:sz w:val="18"/>
                      <w:szCs w:val="18"/>
                    </w:rPr>
                    <w:t>1mg/ml</w:t>
                  </w:r>
                </w:p>
              </w:tc>
            </w:tr>
          </w:tbl>
          <w:p w14:paraId="5063AA3D" w14:textId="79E6441C" w:rsidR="00780E69" w:rsidRDefault="00780E69" w:rsidP="005A3E3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6EF9ABBA" w14:textId="6E4ACB8E" w:rsidR="00D83178" w:rsidRDefault="00D83178" w:rsidP="00D8317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All other strengths are non-standard. </w:t>
            </w:r>
          </w:p>
          <w:p w14:paraId="1A86BF67" w14:textId="77777777" w:rsidR="00780E69" w:rsidRPr="008E7AB8" w:rsidRDefault="00780E69" w:rsidP="005A3E3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780E69" w:rsidRPr="008E7AB8" w14:paraId="400E391A" w14:textId="77777777" w:rsidTr="007F7A2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534" w:type="dxa"/>
          </w:tcPr>
          <w:p w14:paraId="732DFDBF" w14:textId="77777777" w:rsidR="00780E69" w:rsidRPr="008E7AB8" w:rsidRDefault="00780E69" w:rsidP="005A3E31">
            <w:pPr>
              <w:spacing w:after="0" w:line="240" w:lineRule="auto"/>
              <w:rPr>
                <w:rFonts w:ascii="Arial" w:hAnsi="Arial" w:cs="Arial"/>
                <w:sz w:val="18"/>
                <w:szCs w:val="18"/>
              </w:rPr>
            </w:pPr>
            <w:r w:rsidRPr="008E7AB8">
              <w:rPr>
                <w:rFonts w:ascii="Arial" w:hAnsi="Arial" w:cs="Arial"/>
                <w:sz w:val="18"/>
                <w:szCs w:val="18"/>
              </w:rPr>
              <w:t>1.5</w:t>
            </w:r>
          </w:p>
        </w:tc>
        <w:tc>
          <w:tcPr>
            <w:tcW w:w="1701" w:type="dxa"/>
          </w:tcPr>
          <w:p w14:paraId="466C79FA" w14:textId="77777777" w:rsidR="00780E69" w:rsidRPr="008E7AB8" w:rsidRDefault="00780E69" w:rsidP="005A3E3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E7AB8">
              <w:rPr>
                <w:rFonts w:ascii="Arial" w:hAnsi="Arial" w:cs="Arial"/>
                <w:b/>
                <w:sz w:val="18"/>
                <w:szCs w:val="18"/>
              </w:rPr>
              <w:t>Denominator</w:t>
            </w:r>
          </w:p>
        </w:tc>
        <w:tc>
          <w:tcPr>
            <w:tcW w:w="7654" w:type="dxa"/>
          </w:tcPr>
          <w:p w14:paraId="4A9053BF" w14:textId="05ECFE4A" w:rsidR="00780E69" w:rsidRPr="008E7AB8" w:rsidRDefault="00C64504" w:rsidP="005A3E3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NIC of </w:t>
            </w:r>
            <w:r w:rsidR="00780E69" w:rsidRPr="008E7AB8">
              <w:rPr>
                <w:rFonts w:ascii="Arial" w:hAnsi="Arial" w:cs="Arial"/>
                <w:sz w:val="18"/>
                <w:szCs w:val="18"/>
              </w:rPr>
              <w:t xml:space="preserve">items prescribed to all patients over a </w:t>
            </w:r>
            <w:r w:rsidR="007163E1" w:rsidRPr="008E7AB8">
              <w:rPr>
                <w:rFonts w:ascii="Arial" w:hAnsi="Arial" w:cs="Arial"/>
                <w:sz w:val="18"/>
                <w:szCs w:val="18"/>
              </w:rPr>
              <w:t>12-month</w:t>
            </w:r>
            <w:r w:rsidR="00780E69" w:rsidRPr="008E7AB8">
              <w:rPr>
                <w:rFonts w:ascii="Arial" w:hAnsi="Arial" w:cs="Arial"/>
                <w:sz w:val="18"/>
                <w:szCs w:val="18"/>
              </w:rPr>
              <w:t xml:space="preserve"> period for Liquids, Oral Solutions and Oral Suspensions only for the following drugs:</w:t>
            </w:r>
          </w:p>
          <w:p w14:paraId="1DE99DC1" w14:textId="77777777" w:rsidR="00780E69" w:rsidRPr="008E7AB8" w:rsidRDefault="00780E69" w:rsidP="005A3E3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bl>
            <w:tblPr>
              <w:tblStyle w:val="TableGridLight"/>
              <w:tblW w:w="7280" w:type="dxa"/>
              <w:tblLayout w:type="fixed"/>
              <w:tblLook w:val="04A0" w:firstRow="1" w:lastRow="0" w:firstColumn="1" w:lastColumn="0" w:noHBand="0" w:noVBand="1"/>
            </w:tblPr>
            <w:tblGrid>
              <w:gridCol w:w="3640"/>
              <w:gridCol w:w="3640"/>
            </w:tblGrid>
            <w:tr w:rsidR="00780E69" w:rsidRPr="008E7AB8" w14:paraId="4BE2560B" w14:textId="77777777" w:rsidTr="00816833">
              <w:trPr>
                <w:trHeight w:val="270"/>
              </w:trPr>
              <w:tc>
                <w:tcPr>
                  <w:tcW w:w="3640" w:type="dxa"/>
                  <w:hideMark/>
                </w:tcPr>
                <w:p w14:paraId="2655C703" w14:textId="77777777" w:rsidR="00780E69" w:rsidRPr="008E7AB8" w:rsidRDefault="00780E69" w:rsidP="005A3E31">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 xml:space="preserve">BNF Chemical Substance </w:t>
                  </w:r>
                </w:p>
              </w:tc>
              <w:tc>
                <w:tcPr>
                  <w:tcW w:w="3640" w:type="dxa"/>
                  <w:hideMark/>
                </w:tcPr>
                <w:p w14:paraId="43C08605" w14:textId="77777777" w:rsidR="00780E69" w:rsidRPr="008E7AB8" w:rsidRDefault="00780E69" w:rsidP="005A3E31">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BNF Code</w:t>
                  </w:r>
                </w:p>
              </w:tc>
            </w:tr>
            <w:tr w:rsidR="00780E69" w:rsidRPr="008E7AB8" w14:paraId="024808D1" w14:textId="77777777" w:rsidTr="00816833">
              <w:trPr>
                <w:trHeight w:val="255"/>
              </w:trPr>
              <w:tc>
                <w:tcPr>
                  <w:tcW w:w="3640" w:type="dxa"/>
                </w:tcPr>
                <w:p w14:paraId="450BB0DF" w14:textId="77777777" w:rsidR="00780E69" w:rsidRPr="008E7AB8" w:rsidRDefault="00780E69" w:rsidP="005A3E31">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Azathioprine</w:t>
                  </w:r>
                </w:p>
              </w:tc>
              <w:tc>
                <w:tcPr>
                  <w:tcW w:w="3640" w:type="dxa"/>
                </w:tcPr>
                <w:p w14:paraId="6C8D42C9" w14:textId="77777777" w:rsidR="00780E69" w:rsidRPr="008E7AB8" w:rsidRDefault="00780E69" w:rsidP="005A3E31">
                  <w:pPr>
                    <w:spacing w:after="0" w:line="240" w:lineRule="auto"/>
                    <w:rPr>
                      <w:rFonts w:ascii="Arial" w:eastAsia="Times New Roman" w:hAnsi="Arial" w:cs="Arial"/>
                      <w:color w:val="000000"/>
                      <w:sz w:val="18"/>
                      <w:szCs w:val="18"/>
                      <w:lang w:eastAsia="en-GB"/>
                    </w:rPr>
                  </w:pPr>
                  <w:r w:rsidRPr="008E7AB8">
                    <w:rPr>
                      <w:rFonts w:ascii="Arial" w:eastAsia="Times New Roman" w:hAnsi="Arial" w:cs="Arial"/>
                      <w:color w:val="000000"/>
                      <w:sz w:val="18"/>
                      <w:szCs w:val="18"/>
                      <w:lang w:eastAsia="en-GB"/>
                    </w:rPr>
                    <w:t>0802010G0</w:t>
                  </w:r>
                </w:p>
              </w:tc>
            </w:tr>
            <w:tr w:rsidR="00780E69" w:rsidRPr="008E7AB8" w14:paraId="58FCBC4F" w14:textId="77777777" w:rsidTr="00816833">
              <w:trPr>
                <w:trHeight w:val="255"/>
              </w:trPr>
              <w:tc>
                <w:tcPr>
                  <w:tcW w:w="3640" w:type="dxa"/>
                </w:tcPr>
                <w:p w14:paraId="2086EDB4" w14:textId="77777777" w:rsidR="00780E69" w:rsidRPr="008E7AB8" w:rsidRDefault="00780E69" w:rsidP="005A3E31">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Chloral hydrate</w:t>
                  </w:r>
                </w:p>
              </w:tc>
              <w:tc>
                <w:tcPr>
                  <w:tcW w:w="3640" w:type="dxa"/>
                </w:tcPr>
                <w:p w14:paraId="7359D992" w14:textId="77777777" w:rsidR="00780E69" w:rsidRPr="008E7AB8" w:rsidRDefault="00780E69" w:rsidP="005A3E31">
                  <w:pPr>
                    <w:spacing w:after="0" w:line="240" w:lineRule="auto"/>
                    <w:rPr>
                      <w:rFonts w:ascii="Arial" w:eastAsia="Times New Roman" w:hAnsi="Arial" w:cs="Arial"/>
                      <w:color w:val="000000"/>
                      <w:sz w:val="18"/>
                      <w:szCs w:val="18"/>
                      <w:lang w:eastAsia="en-GB"/>
                    </w:rPr>
                  </w:pPr>
                  <w:r w:rsidRPr="008E7AB8">
                    <w:rPr>
                      <w:rFonts w:ascii="Arial" w:eastAsia="Times New Roman" w:hAnsi="Arial" w:cs="Arial"/>
                      <w:color w:val="000000"/>
                      <w:sz w:val="18"/>
                      <w:szCs w:val="18"/>
                      <w:lang w:eastAsia="en-GB"/>
                    </w:rPr>
                    <w:t>0401010B0</w:t>
                  </w:r>
                </w:p>
              </w:tc>
            </w:tr>
            <w:tr w:rsidR="00780E69" w:rsidRPr="008E7AB8" w14:paraId="29BC9B63" w14:textId="77777777" w:rsidTr="00816833">
              <w:trPr>
                <w:trHeight w:val="255"/>
              </w:trPr>
              <w:tc>
                <w:tcPr>
                  <w:tcW w:w="3640" w:type="dxa"/>
                </w:tcPr>
                <w:p w14:paraId="72D10FB8" w14:textId="77777777" w:rsidR="00780E69" w:rsidRPr="008E7AB8" w:rsidRDefault="00780E69" w:rsidP="005A3E31">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Clopidogrel</w:t>
                  </w:r>
                </w:p>
              </w:tc>
              <w:tc>
                <w:tcPr>
                  <w:tcW w:w="3640" w:type="dxa"/>
                </w:tcPr>
                <w:p w14:paraId="5954EAB2" w14:textId="77777777" w:rsidR="00780E69" w:rsidRPr="008E7AB8" w:rsidRDefault="00780E69" w:rsidP="005A3E31">
                  <w:pPr>
                    <w:spacing w:after="0" w:line="240" w:lineRule="auto"/>
                    <w:rPr>
                      <w:rFonts w:ascii="Arial" w:eastAsia="Times New Roman" w:hAnsi="Arial" w:cs="Arial"/>
                      <w:color w:val="000000"/>
                      <w:sz w:val="18"/>
                      <w:szCs w:val="18"/>
                      <w:lang w:eastAsia="en-GB"/>
                    </w:rPr>
                  </w:pPr>
                  <w:r w:rsidRPr="008E7AB8">
                    <w:rPr>
                      <w:rFonts w:ascii="Arial" w:eastAsia="Times New Roman" w:hAnsi="Arial" w:cs="Arial"/>
                      <w:color w:val="000000"/>
                      <w:sz w:val="18"/>
                      <w:szCs w:val="18"/>
                      <w:lang w:eastAsia="en-GB"/>
                    </w:rPr>
                    <w:t>0209000C0</w:t>
                  </w:r>
                </w:p>
              </w:tc>
            </w:tr>
            <w:tr w:rsidR="00780E69" w:rsidRPr="008E7AB8" w14:paraId="3EF2A138" w14:textId="77777777" w:rsidTr="00816833">
              <w:trPr>
                <w:trHeight w:val="255"/>
              </w:trPr>
              <w:tc>
                <w:tcPr>
                  <w:tcW w:w="3640" w:type="dxa"/>
                </w:tcPr>
                <w:p w14:paraId="43A1EDF2" w14:textId="77777777" w:rsidR="00780E69" w:rsidRPr="008E7AB8" w:rsidRDefault="00780E69" w:rsidP="005A3E31">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Ethambutol hydrochloride</w:t>
                  </w:r>
                </w:p>
              </w:tc>
              <w:tc>
                <w:tcPr>
                  <w:tcW w:w="3640" w:type="dxa"/>
                </w:tcPr>
                <w:p w14:paraId="3632339B" w14:textId="77777777" w:rsidR="00780E69" w:rsidRPr="008E7AB8" w:rsidRDefault="00780E69" w:rsidP="005A3E31">
                  <w:pPr>
                    <w:spacing w:after="0" w:line="240" w:lineRule="auto"/>
                    <w:rPr>
                      <w:rFonts w:ascii="Arial" w:eastAsia="Times New Roman" w:hAnsi="Arial" w:cs="Arial"/>
                      <w:color w:val="000000"/>
                      <w:sz w:val="18"/>
                      <w:szCs w:val="18"/>
                      <w:lang w:eastAsia="en-GB"/>
                    </w:rPr>
                  </w:pPr>
                  <w:r w:rsidRPr="008E7AB8">
                    <w:rPr>
                      <w:rFonts w:ascii="Arial" w:eastAsia="Times New Roman" w:hAnsi="Arial" w:cs="Arial"/>
                      <w:color w:val="000000"/>
                      <w:sz w:val="18"/>
                      <w:szCs w:val="18"/>
                      <w:lang w:eastAsia="en-GB"/>
                    </w:rPr>
                    <w:t>0501090H0</w:t>
                  </w:r>
                </w:p>
              </w:tc>
            </w:tr>
            <w:tr w:rsidR="00780E69" w:rsidRPr="008E7AB8" w14:paraId="4D9753EA" w14:textId="77777777" w:rsidTr="00816833">
              <w:trPr>
                <w:trHeight w:val="255"/>
              </w:trPr>
              <w:tc>
                <w:tcPr>
                  <w:tcW w:w="3640" w:type="dxa"/>
                </w:tcPr>
                <w:p w14:paraId="7D1FA7FF" w14:textId="77777777" w:rsidR="00780E69" w:rsidRPr="008E7AB8" w:rsidRDefault="00780E69" w:rsidP="005A3E31">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Hydrocortisone</w:t>
                  </w:r>
                </w:p>
              </w:tc>
              <w:tc>
                <w:tcPr>
                  <w:tcW w:w="3640" w:type="dxa"/>
                </w:tcPr>
                <w:p w14:paraId="427CECDB" w14:textId="77777777" w:rsidR="00780E69" w:rsidRPr="008E7AB8" w:rsidRDefault="00780E69" w:rsidP="005A3E31">
                  <w:pPr>
                    <w:spacing w:after="0" w:line="240" w:lineRule="auto"/>
                    <w:rPr>
                      <w:rFonts w:ascii="Arial" w:eastAsia="Times New Roman" w:hAnsi="Arial" w:cs="Arial"/>
                      <w:color w:val="000000"/>
                      <w:sz w:val="18"/>
                      <w:szCs w:val="18"/>
                      <w:lang w:eastAsia="en-GB"/>
                    </w:rPr>
                  </w:pPr>
                  <w:r w:rsidRPr="008E7AB8">
                    <w:rPr>
                      <w:rFonts w:ascii="Arial" w:eastAsia="Times New Roman" w:hAnsi="Arial" w:cs="Arial"/>
                      <w:color w:val="000000"/>
                      <w:sz w:val="18"/>
                      <w:szCs w:val="18"/>
                      <w:lang w:eastAsia="en-GB"/>
                    </w:rPr>
                    <w:t>0603020J0</w:t>
                  </w:r>
                </w:p>
              </w:tc>
            </w:tr>
            <w:tr w:rsidR="00780E69" w:rsidRPr="008E7AB8" w14:paraId="4A7A7BDF" w14:textId="77777777" w:rsidTr="00816833">
              <w:trPr>
                <w:trHeight w:val="255"/>
              </w:trPr>
              <w:tc>
                <w:tcPr>
                  <w:tcW w:w="3640" w:type="dxa"/>
                </w:tcPr>
                <w:p w14:paraId="417B275A" w14:textId="77777777" w:rsidR="00780E69" w:rsidRPr="008E7AB8" w:rsidRDefault="00780E69" w:rsidP="005A3E31">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Isoniazid</w:t>
                  </w:r>
                </w:p>
              </w:tc>
              <w:tc>
                <w:tcPr>
                  <w:tcW w:w="3640" w:type="dxa"/>
                </w:tcPr>
                <w:p w14:paraId="2CA17E64" w14:textId="77777777" w:rsidR="00780E69" w:rsidRPr="008E7AB8" w:rsidRDefault="00780E69" w:rsidP="005A3E31">
                  <w:pPr>
                    <w:spacing w:after="0" w:line="240" w:lineRule="auto"/>
                    <w:rPr>
                      <w:rFonts w:ascii="Arial" w:eastAsia="Times New Roman" w:hAnsi="Arial" w:cs="Arial"/>
                      <w:color w:val="000000"/>
                      <w:sz w:val="18"/>
                      <w:szCs w:val="18"/>
                      <w:lang w:eastAsia="en-GB"/>
                    </w:rPr>
                  </w:pPr>
                  <w:r w:rsidRPr="008E7AB8">
                    <w:rPr>
                      <w:rFonts w:ascii="Arial" w:eastAsia="Times New Roman" w:hAnsi="Arial" w:cs="Arial"/>
                      <w:color w:val="000000"/>
                      <w:sz w:val="18"/>
                      <w:szCs w:val="18"/>
                      <w:lang w:eastAsia="en-GB"/>
                    </w:rPr>
                    <w:t>0501090K0</w:t>
                  </w:r>
                </w:p>
              </w:tc>
            </w:tr>
            <w:tr w:rsidR="00780E69" w:rsidRPr="008E7AB8" w14:paraId="4289D90C" w14:textId="77777777" w:rsidTr="00816833">
              <w:trPr>
                <w:trHeight w:val="255"/>
              </w:trPr>
              <w:tc>
                <w:tcPr>
                  <w:tcW w:w="3640" w:type="dxa"/>
                </w:tcPr>
                <w:p w14:paraId="57EF0708" w14:textId="77777777" w:rsidR="00780E69" w:rsidRPr="008E7AB8" w:rsidRDefault="00780E69" w:rsidP="005A3E31">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Phenobarbital</w:t>
                  </w:r>
                </w:p>
              </w:tc>
              <w:tc>
                <w:tcPr>
                  <w:tcW w:w="3640" w:type="dxa"/>
                </w:tcPr>
                <w:p w14:paraId="07EDA2C3" w14:textId="77777777" w:rsidR="00780E69" w:rsidRPr="008E7AB8" w:rsidRDefault="00780E69" w:rsidP="005A3E31">
                  <w:pPr>
                    <w:spacing w:after="0" w:line="240" w:lineRule="auto"/>
                    <w:rPr>
                      <w:rFonts w:ascii="Arial" w:eastAsia="Times New Roman" w:hAnsi="Arial" w:cs="Arial"/>
                      <w:color w:val="000000"/>
                      <w:sz w:val="18"/>
                      <w:szCs w:val="18"/>
                      <w:lang w:eastAsia="en-GB"/>
                    </w:rPr>
                  </w:pPr>
                  <w:r w:rsidRPr="008E7AB8">
                    <w:rPr>
                      <w:rFonts w:ascii="Arial" w:eastAsia="Times New Roman" w:hAnsi="Arial" w:cs="Arial"/>
                      <w:color w:val="000000"/>
                      <w:sz w:val="18"/>
                      <w:szCs w:val="18"/>
                      <w:lang w:eastAsia="en-GB"/>
                    </w:rPr>
                    <w:t>0408010N0</w:t>
                  </w:r>
                </w:p>
              </w:tc>
            </w:tr>
            <w:tr w:rsidR="00780E69" w:rsidRPr="008E7AB8" w14:paraId="3F16B5E0" w14:textId="77777777" w:rsidTr="00816833">
              <w:trPr>
                <w:trHeight w:val="255"/>
              </w:trPr>
              <w:tc>
                <w:tcPr>
                  <w:tcW w:w="3640" w:type="dxa"/>
                </w:tcPr>
                <w:p w14:paraId="3D5882C4" w14:textId="77777777" w:rsidR="00780E69" w:rsidRPr="008E7AB8" w:rsidRDefault="00780E69" w:rsidP="005A3E31">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Phenobarbital sodium</w:t>
                  </w:r>
                </w:p>
              </w:tc>
              <w:tc>
                <w:tcPr>
                  <w:tcW w:w="3640" w:type="dxa"/>
                </w:tcPr>
                <w:p w14:paraId="079D7824" w14:textId="77777777" w:rsidR="00780E69" w:rsidRPr="008E7AB8" w:rsidRDefault="00780E69" w:rsidP="005A3E31">
                  <w:pPr>
                    <w:spacing w:after="0" w:line="240" w:lineRule="auto"/>
                    <w:rPr>
                      <w:rFonts w:ascii="Arial" w:eastAsia="Times New Roman" w:hAnsi="Arial" w:cs="Arial"/>
                      <w:color w:val="000000"/>
                      <w:sz w:val="18"/>
                      <w:szCs w:val="18"/>
                      <w:lang w:eastAsia="en-GB"/>
                    </w:rPr>
                  </w:pPr>
                  <w:r w:rsidRPr="008E7AB8">
                    <w:rPr>
                      <w:rFonts w:ascii="Arial" w:eastAsia="Times New Roman" w:hAnsi="Arial" w:cs="Arial"/>
                      <w:color w:val="000000"/>
                      <w:sz w:val="18"/>
                      <w:szCs w:val="18"/>
                      <w:lang w:eastAsia="en-GB"/>
                    </w:rPr>
                    <w:t>0408010P0</w:t>
                  </w:r>
                </w:p>
              </w:tc>
            </w:tr>
            <w:tr w:rsidR="00780E69" w:rsidRPr="008E7AB8" w14:paraId="62C1DCC5" w14:textId="77777777" w:rsidTr="00816833">
              <w:trPr>
                <w:trHeight w:val="255"/>
              </w:trPr>
              <w:tc>
                <w:tcPr>
                  <w:tcW w:w="3640" w:type="dxa"/>
                </w:tcPr>
                <w:p w14:paraId="654C2013" w14:textId="77777777" w:rsidR="00780E69" w:rsidRPr="008E7AB8" w:rsidRDefault="00780E69" w:rsidP="005A3E31">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Pyrazinamide</w:t>
                  </w:r>
                </w:p>
              </w:tc>
              <w:tc>
                <w:tcPr>
                  <w:tcW w:w="3640" w:type="dxa"/>
                </w:tcPr>
                <w:p w14:paraId="3477609B" w14:textId="77777777" w:rsidR="00780E69" w:rsidRPr="008E7AB8" w:rsidRDefault="00780E69" w:rsidP="005A3E31">
                  <w:pPr>
                    <w:spacing w:after="0" w:line="240" w:lineRule="auto"/>
                    <w:rPr>
                      <w:rFonts w:ascii="Arial" w:eastAsia="Times New Roman" w:hAnsi="Arial" w:cs="Arial"/>
                      <w:color w:val="000000"/>
                      <w:sz w:val="18"/>
                      <w:szCs w:val="18"/>
                      <w:lang w:eastAsia="en-GB"/>
                    </w:rPr>
                  </w:pPr>
                  <w:r w:rsidRPr="008E7AB8">
                    <w:rPr>
                      <w:rFonts w:ascii="Arial" w:eastAsia="Times New Roman" w:hAnsi="Arial" w:cs="Arial"/>
                      <w:color w:val="000000"/>
                      <w:sz w:val="18"/>
                      <w:szCs w:val="18"/>
                      <w:lang w:eastAsia="en-GB"/>
                    </w:rPr>
                    <w:t>0501090N0</w:t>
                  </w:r>
                </w:p>
              </w:tc>
            </w:tr>
            <w:tr w:rsidR="00780E69" w:rsidRPr="008E7AB8" w14:paraId="4904F114" w14:textId="77777777" w:rsidTr="00816833">
              <w:trPr>
                <w:trHeight w:val="255"/>
              </w:trPr>
              <w:tc>
                <w:tcPr>
                  <w:tcW w:w="3640" w:type="dxa"/>
                </w:tcPr>
                <w:p w14:paraId="423F4FD4" w14:textId="77777777" w:rsidR="00780E69" w:rsidRPr="008E7AB8" w:rsidRDefault="00780E69" w:rsidP="005A3E31">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Sertraline hydrochloride</w:t>
                  </w:r>
                </w:p>
              </w:tc>
              <w:tc>
                <w:tcPr>
                  <w:tcW w:w="3640" w:type="dxa"/>
                </w:tcPr>
                <w:p w14:paraId="11E63ED3" w14:textId="77777777" w:rsidR="00780E69" w:rsidRPr="008E7AB8" w:rsidRDefault="00780E69" w:rsidP="005A3E31">
                  <w:pPr>
                    <w:spacing w:after="0" w:line="240" w:lineRule="auto"/>
                    <w:rPr>
                      <w:rFonts w:ascii="Arial" w:eastAsia="Times New Roman" w:hAnsi="Arial" w:cs="Arial"/>
                      <w:color w:val="000000"/>
                      <w:sz w:val="18"/>
                      <w:szCs w:val="18"/>
                      <w:lang w:eastAsia="en-GB"/>
                    </w:rPr>
                  </w:pPr>
                  <w:r w:rsidRPr="008E7AB8">
                    <w:rPr>
                      <w:rFonts w:ascii="Arial" w:eastAsia="Times New Roman" w:hAnsi="Arial" w:cs="Arial"/>
                      <w:color w:val="000000"/>
                      <w:sz w:val="18"/>
                      <w:szCs w:val="18"/>
                      <w:lang w:eastAsia="en-GB"/>
                    </w:rPr>
                    <w:t>0403030Q0</w:t>
                  </w:r>
                </w:p>
              </w:tc>
            </w:tr>
            <w:tr w:rsidR="00780E69" w:rsidRPr="008E7AB8" w14:paraId="05968FC5" w14:textId="77777777" w:rsidTr="00816833">
              <w:trPr>
                <w:trHeight w:val="255"/>
              </w:trPr>
              <w:tc>
                <w:tcPr>
                  <w:tcW w:w="3640" w:type="dxa"/>
                </w:tcPr>
                <w:p w14:paraId="5DA17098" w14:textId="77777777" w:rsidR="00780E69" w:rsidRPr="008E7AB8" w:rsidRDefault="00780E69" w:rsidP="005A3E31">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Sodium chloride</w:t>
                  </w:r>
                </w:p>
              </w:tc>
              <w:tc>
                <w:tcPr>
                  <w:tcW w:w="3640" w:type="dxa"/>
                </w:tcPr>
                <w:p w14:paraId="15695961" w14:textId="77777777" w:rsidR="00780E69" w:rsidRPr="008E7AB8" w:rsidRDefault="00780E69" w:rsidP="005A3E31">
                  <w:pPr>
                    <w:spacing w:after="0" w:line="240" w:lineRule="auto"/>
                    <w:rPr>
                      <w:rFonts w:ascii="Arial" w:eastAsia="Times New Roman" w:hAnsi="Arial" w:cs="Arial"/>
                      <w:color w:val="000000"/>
                      <w:sz w:val="18"/>
                      <w:szCs w:val="18"/>
                      <w:lang w:eastAsia="en-GB"/>
                    </w:rPr>
                  </w:pPr>
                  <w:r w:rsidRPr="008E7AB8">
                    <w:rPr>
                      <w:rFonts w:ascii="Arial" w:eastAsia="Times New Roman" w:hAnsi="Arial" w:cs="Arial"/>
                      <w:color w:val="000000"/>
                      <w:sz w:val="18"/>
                      <w:szCs w:val="18"/>
                      <w:lang w:eastAsia="en-GB"/>
                    </w:rPr>
                    <w:t>0902012L0</w:t>
                  </w:r>
                </w:p>
              </w:tc>
            </w:tr>
            <w:tr w:rsidR="00780E69" w:rsidRPr="008E7AB8" w14:paraId="6C09E6FA" w14:textId="77777777" w:rsidTr="00816833">
              <w:trPr>
                <w:trHeight w:val="255"/>
              </w:trPr>
              <w:tc>
                <w:tcPr>
                  <w:tcW w:w="3640" w:type="dxa"/>
                </w:tcPr>
                <w:p w14:paraId="7C162E83" w14:textId="77777777" w:rsidR="00780E69" w:rsidRPr="008E7AB8" w:rsidRDefault="00780E69" w:rsidP="005A3E31">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Spironolactone</w:t>
                  </w:r>
                </w:p>
              </w:tc>
              <w:tc>
                <w:tcPr>
                  <w:tcW w:w="3640" w:type="dxa"/>
                </w:tcPr>
                <w:p w14:paraId="7A034F66" w14:textId="77777777" w:rsidR="00780E69" w:rsidRPr="008E7AB8" w:rsidRDefault="00780E69" w:rsidP="005A3E31">
                  <w:pPr>
                    <w:spacing w:after="0" w:line="240" w:lineRule="auto"/>
                    <w:rPr>
                      <w:rFonts w:ascii="Arial" w:eastAsia="Times New Roman" w:hAnsi="Arial" w:cs="Arial"/>
                      <w:color w:val="000000"/>
                      <w:sz w:val="18"/>
                      <w:szCs w:val="18"/>
                      <w:lang w:eastAsia="en-GB"/>
                    </w:rPr>
                  </w:pPr>
                  <w:r w:rsidRPr="008E7AB8">
                    <w:rPr>
                      <w:rFonts w:ascii="Arial" w:eastAsia="Times New Roman" w:hAnsi="Arial" w:cs="Arial"/>
                      <w:color w:val="000000"/>
                      <w:sz w:val="18"/>
                      <w:szCs w:val="18"/>
                      <w:lang w:eastAsia="en-GB"/>
                    </w:rPr>
                    <w:t>0202030S0</w:t>
                  </w:r>
                </w:p>
              </w:tc>
            </w:tr>
            <w:tr w:rsidR="00780E69" w:rsidRPr="008E7AB8" w14:paraId="07790912" w14:textId="77777777" w:rsidTr="00816833">
              <w:trPr>
                <w:trHeight w:val="255"/>
              </w:trPr>
              <w:tc>
                <w:tcPr>
                  <w:tcW w:w="3640" w:type="dxa"/>
                </w:tcPr>
                <w:p w14:paraId="52EEE673" w14:textId="77777777" w:rsidR="00780E69" w:rsidRPr="008E7AB8" w:rsidRDefault="00780E69" w:rsidP="005A3E31">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Tacrolimus</w:t>
                  </w:r>
                </w:p>
              </w:tc>
              <w:tc>
                <w:tcPr>
                  <w:tcW w:w="3640" w:type="dxa"/>
                </w:tcPr>
                <w:p w14:paraId="320BBDB1" w14:textId="77777777" w:rsidR="00780E69" w:rsidRPr="008E7AB8" w:rsidRDefault="00780E69" w:rsidP="005A3E31">
                  <w:pPr>
                    <w:spacing w:after="0" w:line="240" w:lineRule="auto"/>
                    <w:rPr>
                      <w:rFonts w:ascii="Arial" w:eastAsia="Times New Roman" w:hAnsi="Arial" w:cs="Arial"/>
                      <w:color w:val="000000"/>
                      <w:sz w:val="18"/>
                      <w:szCs w:val="18"/>
                      <w:lang w:eastAsia="en-GB"/>
                    </w:rPr>
                  </w:pPr>
                  <w:r w:rsidRPr="008E7AB8">
                    <w:rPr>
                      <w:rFonts w:ascii="Arial" w:eastAsia="Times New Roman" w:hAnsi="Arial" w:cs="Arial"/>
                      <w:color w:val="000000"/>
                      <w:sz w:val="18"/>
                      <w:szCs w:val="18"/>
                      <w:lang w:eastAsia="en-GB"/>
                    </w:rPr>
                    <w:t>0802020T0</w:t>
                  </w:r>
                </w:p>
              </w:tc>
            </w:tr>
          </w:tbl>
          <w:p w14:paraId="495D9BE1" w14:textId="77777777" w:rsidR="00780E69" w:rsidRPr="008E7AB8" w:rsidRDefault="00780E69" w:rsidP="005A3E3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2731E440" w14:textId="77777777" w:rsidR="00780E69" w:rsidRPr="008E7AB8" w:rsidRDefault="00780E69" w:rsidP="005A3E3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780E69" w:rsidRPr="008E7AB8" w14:paraId="5BA33C4E" w14:textId="77777777" w:rsidTr="007F7A28">
        <w:tc>
          <w:tcPr>
            <w:cnfStyle w:val="001000000000" w:firstRow="0" w:lastRow="0" w:firstColumn="1" w:lastColumn="0" w:oddVBand="0" w:evenVBand="0" w:oddHBand="0" w:evenHBand="0" w:firstRowFirstColumn="0" w:firstRowLastColumn="0" w:lastRowFirstColumn="0" w:lastRowLastColumn="0"/>
            <w:tcW w:w="534" w:type="dxa"/>
          </w:tcPr>
          <w:p w14:paraId="7CB169B7" w14:textId="77777777" w:rsidR="00780E69" w:rsidRPr="008E7AB8" w:rsidRDefault="00780E69" w:rsidP="005A3E31">
            <w:pPr>
              <w:spacing w:after="0" w:line="240" w:lineRule="auto"/>
              <w:rPr>
                <w:rFonts w:ascii="Arial" w:hAnsi="Arial" w:cs="Arial"/>
                <w:sz w:val="18"/>
                <w:szCs w:val="18"/>
              </w:rPr>
            </w:pPr>
            <w:r w:rsidRPr="008E7AB8">
              <w:rPr>
                <w:rFonts w:ascii="Arial" w:hAnsi="Arial" w:cs="Arial"/>
                <w:sz w:val="18"/>
                <w:szCs w:val="18"/>
              </w:rPr>
              <w:t>1.6</w:t>
            </w:r>
          </w:p>
        </w:tc>
        <w:tc>
          <w:tcPr>
            <w:tcW w:w="1701" w:type="dxa"/>
          </w:tcPr>
          <w:p w14:paraId="3D31986D" w14:textId="77777777" w:rsidR="00780E69" w:rsidRPr="008E7AB8" w:rsidRDefault="00780E69" w:rsidP="005A3E3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E7AB8">
              <w:rPr>
                <w:rFonts w:ascii="Arial" w:hAnsi="Arial" w:cs="Arial"/>
                <w:b/>
                <w:sz w:val="18"/>
                <w:szCs w:val="18"/>
              </w:rPr>
              <w:t>Methodology</w:t>
            </w:r>
          </w:p>
        </w:tc>
        <w:tc>
          <w:tcPr>
            <w:tcW w:w="7654" w:type="dxa"/>
          </w:tcPr>
          <w:p w14:paraId="32B16CAF" w14:textId="77777777" w:rsidR="00780E69" w:rsidRPr="008E7AB8" w:rsidRDefault="00780E69" w:rsidP="005A3E3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E7AB8">
              <w:rPr>
                <w:rFonts w:ascii="Arial" w:hAnsi="Arial" w:cs="Arial"/>
                <w:sz w:val="18"/>
                <w:szCs w:val="18"/>
              </w:rPr>
              <w:t>Numerator divided by denominator expressed as a percentage.</w:t>
            </w:r>
          </w:p>
        </w:tc>
      </w:tr>
      <w:tr w:rsidR="00780E69" w:rsidRPr="008E7AB8" w14:paraId="54A1AEFB" w14:textId="77777777" w:rsidTr="007F7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3"/>
          </w:tcPr>
          <w:p w14:paraId="204D6829" w14:textId="77777777" w:rsidR="00780E69" w:rsidRPr="008E7AB8" w:rsidRDefault="00780E69" w:rsidP="005A3E31">
            <w:pPr>
              <w:spacing w:after="0" w:line="240" w:lineRule="auto"/>
              <w:rPr>
                <w:rFonts w:ascii="Arial" w:hAnsi="Arial" w:cs="Arial"/>
                <w:sz w:val="18"/>
                <w:szCs w:val="18"/>
              </w:rPr>
            </w:pPr>
            <w:r w:rsidRPr="008E7AB8">
              <w:rPr>
                <w:rFonts w:ascii="Arial" w:hAnsi="Arial" w:cs="Arial"/>
                <w:sz w:val="18"/>
                <w:szCs w:val="18"/>
              </w:rPr>
              <w:t>Section 2: Rationale</w:t>
            </w:r>
          </w:p>
        </w:tc>
      </w:tr>
      <w:tr w:rsidR="00780E69" w:rsidRPr="008E7AB8" w14:paraId="2E3A27B6" w14:textId="77777777" w:rsidTr="007F7A28">
        <w:trPr>
          <w:trHeight w:val="558"/>
        </w:trPr>
        <w:tc>
          <w:tcPr>
            <w:cnfStyle w:val="001000000000" w:firstRow="0" w:lastRow="0" w:firstColumn="1" w:lastColumn="0" w:oddVBand="0" w:evenVBand="0" w:oddHBand="0" w:evenHBand="0" w:firstRowFirstColumn="0" w:firstRowLastColumn="0" w:lastRowFirstColumn="0" w:lastRowLastColumn="0"/>
            <w:tcW w:w="534" w:type="dxa"/>
          </w:tcPr>
          <w:p w14:paraId="59C2B4F7" w14:textId="77777777" w:rsidR="00780E69" w:rsidRPr="008E7AB8" w:rsidRDefault="00780E69" w:rsidP="005A3E31">
            <w:pPr>
              <w:spacing w:after="0" w:line="240" w:lineRule="auto"/>
              <w:rPr>
                <w:rFonts w:ascii="Arial" w:hAnsi="Arial" w:cs="Arial"/>
                <w:sz w:val="18"/>
                <w:szCs w:val="18"/>
              </w:rPr>
            </w:pPr>
            <w:r w:rsidRPr="008E7AB8">
              <w:rPr>
                <w:rFonts w:ascii="Arial" w:hAnsi="Arial" w:cs="Arial"/>
                <w:sz w:val="18"/>
                <w:szCs w:val="18"/>
              </w:rPr>
              <w:t>2.1</w:t>
            </w:r>
          </w:p>
          <w:p w14:paraId="1DA54325" w14:textId="77777777" w:rsidR="00780E69" w:rsidRPr="008E7AB8" w:rsidRDefault="00780E69" w:rsidP="005A3E31">
            <w:pPr>
              <w:spacing w:after="0" w:line="240" w:lineRule="auto"/>
              <w:rPr>
                <w:rFonts w:ascii="Arial" w:hAnsi="Arial" w:cs="Arial"/>
                <w:sz w:val="18"/>
                <w:szCs w:val="18"/>
              </w:rPr>
            </w:pPr>
          </w:p>
        </w:tc>
        <w:tc>
          <w:tcPr>
            <w:tcW w:w="1701" w:type="dxa"/>
          </w:tcPr>
          <w:p w14:paraId="680DACFE" w14:textId="77777777" w:rsidR="00780E69" w:rsidRPr="008E7AB8" w:rsidRDefault="00780E69" w:rsidP="005A3E3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E7AB8">
              <w:rPr>
                <w:rFonts w:ascii="Arial" w:hAnsi="Arial" w:cs="Arial"/>
                <w:b/>
                <w:sz w:val="18"/>
                <w:szCs w:val="18"/>
              </w:rPr>
              <w:t>Purpose</w:t>
            </w:r>
          </w:p>
        </w:tc>
        <w:tc>
          <w:tcPr>
            <w:tcW w:w="7654" w:type="dxa"/>
          </w:tcPr>
          <w:p w14:paraId="6FB28235" w14:textId="28DE5BD1" w:rsidR="00780E69" w:rsidRPr="008E7AB8" w:rsidRDefault="00780E69" w:rsidP="005A3E3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8E7AB8">
              <w:rPr>
                <w:rFonts w:ascii="Arial" w:hAnsi="Arial" w:cs="Arial"/>
                <w:sz w:val="18"/>
                <w:szCs w:val="18"/>
              </w:rPr>
              <w:t xml:space="preserve">To determine the extent to which liquid medicines prescribed for patients under the age of 18 follow the nationally recommended concentration for each drug.  This will help prescribers, prescribing advisors and other members of the team identify patients on non-standard concentrations and review them with a view to switching to the national standard where appropriate.  It will also help describe variations in prescribing at a practice, PCN and </w:t>
            </w:r>
            <w:r w:rsidR="0008014E" w:rsidRPr="008E7AB8">
              <w:rPr>
                <w:rFonts w:ascii="Arial" w:hAnsi="Arial" w:cs="Arial"/>
                <w:sz w:val="18"/>
                <w:szCs w:val="18"/>
              </w:rPr>
              <w:t>SICBL</w:t>
            </w:r>
            <w:r w:rsidRPr="008E7AB8">
              <w:rPr>
                <w:rFonts w:ascii="Arial" w:hAnsi="Arial" w:cs="Arial"/>
                <w:sz w:val="18"/>
                <w:szCs w:val="18"/>
              </w:rPr>
              <w:t xml:space="preserve"> level and identify areas of focus.</w:t>
            </w:r>
          </w:p>
        </w:tc>
      </w:tr>
      <w:tr w:rsidR="00831AD9" w:rsidRPr="008E7AB8" w14:paraId="67FB39A8" w14:textId="77777777" w:rsidTr="007F7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8123FB9" w14:textId="77777777" w:rsidR="00780E69" w:rsidRPr="008E7AB8" w:rsidRDefault="00780E69" w:rsidP="005A3E31">
            <w:pPr>
              <w:spacing w:after="0" w:line="240" w:lineRule="auto"/>
              <w:rPr>
                <w:rFonts w:ascii="Arial" w:hAnsi="Arial" w:cs="Arial"/>
                <w:sz w:val="18"/>
                <w:szCs w:val="18"/>
              </w:rPr>
            </w:pPr>
            <w:r w:rsidRPr="008E7AB8">
              <w:rPr>
                <w:rFonts w:ascii="Arial" w:hAnsi="Arial" w:cs="Arial"/>
                <w:sz w:val="18"/>
                <w:szCs w:val="18"/>
              </w:rPr>
              <w:t>2.2</w:t>
            </w:r>
          </w:p>
          <w:p w14:paraId="3F233E13" w14:textId="77777777" w:rsidR="00780E69" w:rsidRPr="008E7AB8" w:rsidRDefault="00780E69" w:rsidP="005A3E31">
            <w:pPr>
              <w:spacing w:after="0" w:line="240" w:lineRule="auto"/>
              <w:rPr>
                <w:rFonts w:ascii="Arial" w:hAnsi="Arial" w:cs="Arial"/>
                <w:sz w:val="18"/>
                <w:szCs w:val="18"/>
              </w:rPr>
            </w:pPr>
          </w:p>
        </w:tc>
        <w:tc>
          <w:tcPr>
            <w:tcW w:w="1701" w:type="dxa"/>
          </w:tcPr>
          <w:p w14:paraId="46113CA3" w14:textId="77777777" w:rsidR="00780E69" w:rsidRPr="008E7AB8" w:rsidRDefault="00780E69" w:rsidP="005A3E3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E7AB8">
              <w:rPr>
                <w:rFonts w:ascii="Arial" w:hAnsi="Arial" w:cs="Arial"/>
                <w:b/>
                <w:sz w:val="18"/>
                <w:szCs w:val="18"/>
              </w:rPr>
              <w:t>Evidence and Policy Base</w:t>
            </w:r>
          </w:p>
        </w:tc>
        <w:tc>
          <w:tcPr>
            <w:tcW w:w="7654" w:type="dxa"/>
          </w:tcPr>
          <w:p w14:paraId="1E501BF9" w14:textId="77777777" w:rsidR="00780E69" w:rsidRPr="008E7AB8" w:rsidRDefault="00780E69" w:rsidP="005A3E31">
            <w:pPr>
              <w:autoSpaceDE w:val="0"/>
              <w:autoSpaceDN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7AB8">
              <w:rPr>
                <w:rFonts w:ascii="Arial" w:hAnsi="Arial" w:cs="Arial"/>
                <w:sz w:val="18"/>
                <w:szCs w:val="18"/>
              </w:rPr>
              <w:t xml:space="preserve">Liquid medicines are commonly prescribed for children.  For many drugs, there is a range of different concentrations of liquid available, leading to the potential for dosing errors if the concentration is changed and parents and carers do not adjust the volume to be given </w:t>
            </w:r>
            <w:r w:rsidRPr="008E7AB8">
              <w:rPr>
                <w:rFonts w:ascii="Arial" w:hAnsi="Arial" w:cs="Arial"/>
                <w:sz w:val="18"/>
                <w:szCs w:val="18"/>
              </w:rPr>
              <w:lastRenderedPageBreak/>
              <w:t>accordingly.  Although unlicensed liquid “specials” are the most variable in terms of the range of concentrations available, there are also a significant number of drugs for which there are a range of licensed liquid concentrations in use.</w:t>
            </w:r>
          </w:p>
          <w:p w14:paraId="024DE25F" w14:textId="77777777" w:rsidR="00780E69" w:rsidRPr="008E7AB8" w:rsidRDefault="00780E69" w:rsidP="005A3E31">
            <w:pPr>
              <w:autoSpaceDE w:val="0"/>
              <w:autoSpaceDN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00F211DC" w14:textId="77777777" w:rsidR="00780E69" w:rsidRPr="008E7AB8" w:rsidRDefault="00780E69" w:rsidP="005A3E31">
            <w:pPr>
              <w:autoSpaceDE w:val="0"/>
              <w:autoSpaceDN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7AB8">
              <w:rPr>
                <w:rFonts w:ascii="Arial" w:hAnsi="Arial" w:cs="Arial"/>
                <w:sz w:val="18"/>
                <w:szCs w:val="18"/>
              </w:rPr>
              <w:t>Dosing errors arising from inadvertent switching between liquid concentrations or planned switches being incorrectly understood by parents and carers are reported in the literature and in the NHS National Learning and Reporting System (NRLS).</w:t>
            </w:r>
          </w:p>
          <w:p w14:paraId="61A3D301" w14:textId="77777777" w:rsidR="00780E69" w:rsidRPr="008E7AB8" w:rsidRDefault="00780E69" w:rsidP="005A3E31">
            <w:pPr>
              <w:autoSpaceDE w:val="0"/>
              <w:autoSpaceDN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64E2B308" w14:textId="77777777" w:rsidR="00780E69" w:rsidRPr="008E7AB8" w:rsidRDefault="00780E69" w:rsidP="005A3E31">
            <w:pPr>
              <w:autoSpaceDE w:val="0"/>
              <w:autoSpaceDN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8E7AB8">
              <w:rPr>
                <w:rFonts w:ascii="Arial" w:hAnsi="Arial" w:cs="Arial"/>
                <w:sz w:val="18"/>
                <w:szCs w:val="18"/>
              </w:rPr>
              <w:t>With the aim of improving patient safety, the UK Neonatal and Paediatric Pharmacists Group (NPPG) and the Royal College of Paediatrics and Child Health (RCPCH) have published a national list of recommended concentrations for a range of oral drugs commonly prescribed as liquid formulations.  This document, first published in 2018, focuses on drugs for which there isn’t a licensed liquid product available.  However, it is planned that the list will expand during 2022 and 2023 to include recommended concentrations for licensed products as well as an extended range of unlicensed products.</w:t>
            </w:r>
          </w:p>
        </w:tc>
      </w:tr>
    </w:tbl>
    <w:p w14:paraId="73EF1F02" w14:textId="234BA8F4" w:rsidR="00CF2715" w:rsidRPr="008E7AB8" w:rsidRDefault="008A6C13" w:rsidP="00EE08DC">
      <w:pPr>
        <w:pStyle w:val="Heading2"/>
        <w:rPr>
          <w:rFonts w:cs="Arial"/>
        </w:rPr>
      </w:pPr>
      <w:r w:rsidRPr="008E7AB8">
        <w:rPr>
          <w:rFonts w:cs="Arial"/>
        </w:rPr>
        <w:lastRenderedPageBreak/>
        <w:br w:type="page"/>
      </w:r>
      <w:bookmarkStart w:id="72" w:name="_Toc473636493"/>
      <w:bookmarkEnd w:id="68"/>
      <w:bookmarkEnd w:id="69"/>
      <w:bookmarkEnd w:id="70"/>
    </w:p>
    <w:p w14:paraId="37B43318" w14:textId="1B178CD8" w:rsidR="00EE08DC" w:rsidRPr="008E7AB8" w:rsidRDefault="00706FE9" w:rsidP="008E7AB8">
      <w:bookmarkStart w:id="73" w:name="_Toc105489184"/>
      <w:r w:rsidRPr="008E7AB8">
        <w:lastRenderedPageBreak/>
        <w:t>NIC per 1,000 patients in age group on registered List Size</w:t>
      </w:r>
      <w:bookmarkEnd w:id="73"/>
    </w:p>
    <w:tbl>
      <w:tblPr>
        <w:tblStyle w:val="GridTable4-Accent1"/>
        <w:tblW w:w="9889" w:type="dxa"/>
        <w:tblLayout w:type="fixed"/>
        <w:tblLook w:val="04A0" w:firstRow="1" w:lastRow="0" w:firstColumn="1" w:lastColumn="0" w:noHBand="0" w:noVBand="1"/>
      </w:tblPr>
      <w:tblGrid>
        <w:gridCol w:w="534"/>
        <w:gridCol w:w="1701"/>
        <w:gridCol w:w="7654"/>
      </w:tblGrid>
      <w:tr w:rsidR="00EE08DC" w:rsidRPr="008E7AB8" w14:paraId="332AE022" w14:textId="77777777" w:rsidTr="007F7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3"/>
          </w:tcPr>
          <w:p w14:paraId="1718F2E4" w14:textId="77777777" w:rsidR="00EE08DC" w:rsidRPr="008E7AB8" w:rsidRDefault="00EE08DC" w:rsidP="005A3E31">
            <w:pPr>
              <w:spacing w:after="0" w:line="240" w:lineRule="auto"/>
              <w:rPr>
                <w:rFonts w:ascii="Arial" w:hAnsi="Arial" w:cs="Arial"/>
                <w:sz w:val="18"/>
                <w:szCs w:val="18"/>
              </w:rPr>
            </w:pPr>
            <w:r w:rsidRPr="008E7AB8">
              <w:rPr>
                <w:rFonts w:ascii="Arial" w:hAnsi="Arial" w:cs="Arial"/>
                <w:sz w:val="18"/>
                <w:szCs w:val="18"/>
              </w:rPr>
              <w:t>Section 1: Introduction / Overview</w:t>
            </w:r>
          </w:p>
        </w:tc>
      </w:tr>
      <w:tr w:rsidR="00EE08DC" w:rsidRPr="008E7AB8" w14:paraId="091BC978" w14:textId="77777777" w:rsidTr="007F7A28">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534" w:type="dxa"/>
          </w:tcPr>
          <w:p w14:paraId="0EE540E3" w14:textId="77777777" w:rsidR="00EE08DC" w:rsidRPr="008E7AB8" w:rsidRDefault="00EE08DC" w:rsidP="005A3E31">
            <w:pPr>
              <w:spacing w:after="0" w:line="240" w:lineRule="auto"/>
              <w:rPr>
                <w:rFonts w:ascii="Arial" w:hAnsi="Arial" w:cs="Arial"/>
                <w:sz w:val="18"/>
                <w:szCs w:val="18"/>
              </w:rPr>
            </w:pPr>
            <w:r w:rsidRPr="008E7AB8">
              <w:rPr>
                <w:rFonts w:ascii="Arial" w:hAnsi="Arial" w:cs="Arial"/>
                <w:sz w:val="18"/>
                <w:szCs w:val="18"/>
              </w:rPr>
              <w:t>1.1</w:t>
            </w:r>
          </w:p>
          <w:p w14:paraId="0BF6F15A" w14:textId="77777777" w:rsidR="00EE08DC" w:rsidRPr="008E7AB8" w:rsidRDefault="00EE08DC" w:rsidP="005A3E31">
            <w:pPr>
              <w:spacing w:after="0" w:line="240" w:lineRule="auto"/>
              <w:rPr>
                <w:rFonts w:ascii="Arial" w:hAnsi="Arial" w:cs="Arial"/>
                <w:sz w:val="18"/>
                <w:szCs w:val="18"/>
              </w:rPr>
            </w:pPr>
          </w:p>
        </w:tc>
        <w:tc>
          <w:tcPr>
            <w:tcW w:w="1701" w:type="dxa"/>
          </w:tcPr>
          <w:p w14:paraId="1B95B59B" w14:textId="77777777" w:rsidR="00EE08DC" w:rsidRPr="008E7AB8" w:rsidRDefault="00EE08DC" w:rsidP="005A3E3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E7AB8">
              <w:rPr>
                <w:rFonts w:ascii="Arial" w:hAnsi="Arial" w:cs="Arial"/>
                <w:b/>
                <w:sz w:val="18"/>
                <w:szCs w:val="18"/>
              </w:rPr>
              <w:t>Title</w:t>
            </w:r>
          </w:p>
        </w:tc>
        <w:tc>
          <w:tcPr>
            <w:tcW w:w="7654" w:type="dxa"/>
          </w:tcPr>
          <w:p w14:paraId="5964BFB8" w14:textId="3CD14AAF" w:rsidR="00EE08DC" w:rsidRPr="008E7AB8" w:rsidRDefault="00706FE9" w:rsidP="005A3E3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7AB8">
              <w:rPr>
                <w:rFonts w:ascii="Arial" w:hAnsi="Arial" w:cs="Arial"/>
              </w:rPr>
              <w:t>NIC per 1,000 patients in age group on registered List Size</w:t>
            </w:r>
          </w:p>
        </w:tc>
      </w:tr>
      <w:tr w:rsidR="00EE08DC" w:rsidRPr="008E7AB8" w14:paraId="4FD271F1" w14:textId="77777777" w:rsidTr="007F7A28">
        <w:tc>
          <w:tcPr>
            <w:cnfStyle w:val="001000000000" w:firstRow="0" w:lastRow="0" w:firstColumn="1" w:lastColumn="0" w:oddVBand="0" w:evenVBand="0" w:oddHBand="0" w:evenHBand="0" w:firstRowFirstColumn="0" w:firstRowLastColumn="0" w:lastRowFirstColumn="0" w:lastRowLastColumn="0"/>
            <w:tcW w:w="534" w:type="dxa"/>
          </w:tcPr>
          <w:p w14:paraId="0A0CA8FC" w14:textId="77777777" w:rsidR="00EE08DC" w:rsidRPr="008E7AB8" w:rsidRDefault="00EE08DC" w:rsidP="005A3E31">
            <w:pPr>
              <w:spacing w:after="0" w:line="240" w:lineRule="auto"/>
              <w:rPr>
                <w:rFonts w:ascii="Arial" w:hAnsi="Arial" w:cs="Arial"/>
                <w:sz w:val="18"/>
                <w:szCs w:val="18"/>
              </w:rPr>
            </w:pPr>
            <w:r w:rsidRPr="008E7AB8">
              <w:rPr>
                <w:rFonts w:ascii="Arial" w:hAnsi="Arial" w:cs="Arial"/>
                <w:sz w:val="18"/>
                <w:szCs w:val="18"/>
              </w:rPr>
              <w:t>1.2</w:t>
            </w:r>
          </w:p>
        </w:tc>
        <w:tc>
          <w:tcPr>
            <w:tcW w:w="1701" w:type="dxa"/>
          </w:tcPr>
          <w:p w14:paraId="22BB7B5A" w14:textId="77777777" w:rsidR="00EE08DC" w:rsidRPr="008E7AB8" w:rsidRDefault="00EE08DC" w:rsidP="005A3E3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E7AB8">
              <w:rPr>
                <w:rFonts w:ascii="Arial" w:hAnsi="Arial" w:cs="Arial"/>
                <w:b/>
                <w:sz w:val="18"/>
                <w:szCs w:val="18"/>
              </w:rPr>
              <w:t>Definition</w:t>
            </w:r>
          </w:p>
        </w:tc>
        <w:tc>
          <w:tcPr>
            <w:tcW w:w="7654" w:type="dxa"/>
          </w:tcPr>
          <w:p w14:paraId="0D780131" w14:textId="502C42C4" w:rsidR="00EE08DC" w:rsidRPr="008E7AB8" w:rsidRDefault="00EE08DC" w:rsidP="005A3E3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E7AB8">
              <w:rPr>
                <w:rFonts w:ascii="Arial" w:hAnsi="Arial" w:cs="Arial"/>
                <w:sz w:val="18"/>
                <w:szCs w:val="18"/>
              </w:rPr>
              <w:t>Proportion of prescribing of recommended concentrations for a range of oral drugs commonly prescribed as liquid formulations</w:t>
            </w:r>
            <w:r w:rsidR="00706FE9" w:rsidRPr="008E7AB8">
              <w:rPr>
                <w:rFonts w:ascii="Arial" w:hAnsi="Arial" w:cs="Arial"/>
                <w:sz w:val="18"/>
                <w:szCs w:val="18"/>
              </w:rPr>
              <w:t xml:space="preserve"> per 1,000 patients</w:t>
            </w:r>
            <w:r w:rsidRPr="008E7AB8">
              <w:rPr>
                <w:rFonts w:ascii="Arial" w:hAnsi="Arial" w:cs="Arial"/>
                <w:sz w:val="18"/>
                <w:szCs w:val="18"/>
              </w:rPr>
              <w:t xml:space="preserve">. </w:t>
            </w:r>
          </w:p>
        </w:tc>
      </w:tr>
      <w:tr w:rsidR="00EE08DC" w:rsidRPr="008E7AB8" w14:paraId="1E7C8844" w14:textId="77777777" w:rsidTr="007F7A28">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34" w:type="dxa"/>
          </w:tcPr>
          <w:p w14:paraId="576A0CC8" w14:textId="77777777" w:rsidR="00EE08DC" w:rsidRPr="008E7AB8" w:rsidRDefault="00EE08DC" w:rsidP="005A3E31">
            <w:pPr>
              <w:spacing w:after="0" w:line="240" w:lineRule="auto"/>
              <w:rPr>
                <w:rFonts w:ascii="Arial" w:hAnsi="Arial" w:cs="Arial"/>
                <w:sz w:val="18"/>
                <w:szCs w:val="18"/>
              </w:rPr>
            </w:pPr>
            <w:r w:rsidRPr="008E7AB8">
              <w:rPr>
                <w:rFonts w:ascii="Arial" w:hAnsi="Arial" w:cs="Arial"/>
                <w:sz w:val="18"/>
                <w:szCs w:val="18"/>
              </w:rPr>
              <w:t>1.3</w:t>
            </w:r>
          </w:p>
        </w:tc>
        <w:tc>
          <w:tcPr>
            <w:tcW w:w="1701" w:type="dxa"/>
          </w:tcPr>
          <w:p w14:paraId="1A793385" w14:textId="77777777" w:rsidR="00EE08DC" w:rsidRPr="008E7AB8" w:rsidRDefault="00EE08DC" w:rsidP="005A3E3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E7AB8">
              <w:rPr>
                <w:rFonts w:ascii="Arial" w:hAnsi="Arial" w:cs="Arial"/>
                <w:b/>
                <w:sz w:val="18"/>
                <w:szCs w:val="18"/>
              </w:rPr>
              <w:t>Reporting Level</w:t>
            </w:r>
          </w:p>
        </w:tc>
        <w:tc>
          <w:tcPr>
            <w:tcW w:w="7654" w:type="dxa"/>
          </w:tcPr>
          <w:p w14:paraId="36BA2725" w14:textId="59EF7E77" w:rsidR="00EE08DC" w:rsidRPr="008E7AB8" w:rsidRDefault="00EE08DC" w:rsidP="005A3E3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7AB8">
              <w:rPr>
                <w:rFonts w:ascii="Arial" w:hAnsi="Arial" w:cs="Arial"/>
                <w:sz w:val="18"/>
                <w:szCs w:val="18"/>
              </w:rPr>
              <w:t xml:space="preserve">GP Practice/Cost Centre level (aggregated to PCN, </w:t>
            </w:r>
            <w:r w:rsidR="005F0C47" w:rsidRPr="008E7AB8">
              <w:rPr>
                <w:rFonts w:ascii="Arial" w:hAnsi="Arial" w:cs="Arial"/>
                <w:sz w:val="18"/>
                <w:szCs w:val="18"/>
              </w:rPr>
              <w:t>SICBL</w:t>
            </w:r>
            <w:r w:rsidRPr="008E7AB8">
              <w:rPr>
                <w:rFonts w:ascii="Arial" w:hAnsi="Arial" w:cs="Arial"/>
                <w:sz w:val="18"/>
                <w:szCs w:val="18"/>
              </w:rPr>
              <w:t xml:space="preserve">, Regional and England level).  </w:t>
            </w:r>
          </w:p>
        </w:tc>
      </w:tr>
      <w:tr w:rsidR="00EE08DC" w:rsidRPr="008E7AB8" w14:paraId="7253FDBB" w14:textId="77777777" w:rsidTr="007F7A28">
        <w:trPr>
          <w:trHeight w:val="4050"/>
        </w:trPr>
        <w:tc>
          <w:tcPr>
            <w:cnfStyle w:val="001000000000" w:firstRow="0" w:lastRow="0" w:firstColumn="1" w:lastColumn="0" w:oddVBand="0" w:evenVBand="0" w:oddHBand="0" w:evenHBand="0" w:firstRowFirstColumn="0" w:firstRowLastColumn="0" w:lastRowFirstColumn="0" w:lastRowLastColumn="0"/>
            <w:tcW w:w="534" w:type="dxa"/>
          </w:tcPr>
          <w:p w14:paraId="2A8459AB" w14:textId="77777777" w:rsidR="00EE08DC" w:rsidRPr="008E7AB8" w:rsidRDefault="00EE08DC" w:rsidP="005A3E31">
            <w:pPr>
              <w:spacing w:after="0" w:line="240" w:lineRule="auto"/>
              <w:rPr>
                <w:rFonts w:ascii="Arial" w:hAnsi="Arial" w:cs="Arial"/>
                <w:sz w:val="18"/>
                <w:szCs w:val="18"/>
              </w:rPr>
            </w:pPr>
            <w:r w:rsidRPr="008E7AB8">
              <w:rPr>
                <w:rFonts w:ascii="Arial" w:hAnsi="Arial" w:cs="Arial"/>
                <w:sz w:val="18"/>
                <w:szCs w:val="18"/>
              </w:rPr>
              <w:t>1.4</w:t>
            </w:r>
          </w:p>
        </w:tc>
        <w:tc>
          <w:tcPr>
            <w:tcW w:w="1701" w:type="dxa"/>
          </w:tcPr>
          <w:p w14:paraId="3270BB1B" w14:textId="77777777" w:rsidR="00EE08DC" w:rsidRPr="008E7AB8" w:rsidRDefault="00EE08DC" w:rsidP="005A3E3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E7AB8">
              <w:rPr>
                <w:rFonts w:ascii="Arial" w:hAnsi="Arial" w:cs="Arial"/>
                <w:b/>
                <w:sz w:val="18"/>
                <w:szCs w:val="18"/>
              </w:rPr>
              <w:t>Numerator</w:t>
            </w:r>
          </w:p>
        </w:tc>
        <w:tc>
          <w:tcPr>
            <w:tcW w:w="7654" w:type="dxa"/>
          </w:tcPr>
          <w:p w14:paraId="29C6C750" w14:textId="6FD39276" w:rsidR="00EE08DC" w:rsidRPr="008E7AB8" w:rsidRDefault="00EE08DC" w:rsidP="005A3E3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E7AB8">
              <w:rPr>
                <w:rFonts w:ascii="Arial" w:hAnsi="Arial" w:cs="Arial"/>
                <w:sz w:val="18"/>
                <w:szCs w:val="18"/>
              </w:rPr>
              <w:t xml:space="preserve">NIC of items prescribed to all patients over a </w:t>
            </w:r>
            <w:r w:rsidR="007163E1" w:rsidRPr="008E7AB8">
              <w:rPr>
                <w:rFonts w:ascii="Arial" w:hAnsi="Arial" w:cs="Arial"/>
                <w:sz w:val="18"/>
                <w:szCs w:val="18"/>
              </w:rPr>
              <w:t>12-month</w:t>
            </w:r>
            <w:r w:rsidRPr="008E7AB8">
              <w:rPr>
                <w:rFonts w:ascii="Arial" w:hAnsi="Arial" w:cs="Arial"/>
                <w:sz w:val="18"/>
                <w:szCs w:val="18"/>
              </w:rPr>
              <w:t xml:space="preserve"> period for Liquids, Oral Solutions and Oral Suspensions of the following </w:t>
            </w:r>
            <w:r w:rsidR="00990A7C">
              <w:rPr>
                <w:rFonts w:ascii="Arial" w:hAnsi="Arial" w:cs="Arial"/>
                <w:sz w:val="18"/>
                <w:szCs w:val="18"/>
              </w:rPr>
              <w:t xml:space="preserve">standard </w:t>
            </w:r>
            <w:r w:rsidRPr="008E7AB8">
              <w:rPr>
                <w:rFonts w:ascii="Arial" w:hAnsi="Arial" w:cs="Arial"/>
                <w:sz w:val="18"/>
                <w:szCs w:val="18"/>
              </w:rPr>
              <w:t>drugs and strengths:</w:t>
            </w:r>
          </w:p>
          <w:p w14:paraId="49D90CFF" w14:textId="77777777" w:rsidR="00EE08DC" w:rsidRPr="008E7AB8" w:rsidRDefault="00EE08DC" w:rsidP="005A3E3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bl>
            <w:tblPr>
              <w:tblStyle w:val="TableGridLight"/>
              <w:tblW w:w="5999" w:type="dxa"/>
              <w:tblLayout w:type="fixed"/>
              <w:tblLook w:val="04A0" w:firstRow="1" w:lastRow="0" w:firstColumn="1" w:lastColumn="0" w:noHBand="0" w:noVBand="1"/>
            </w:tblPr>
            <w:tblGrid>
              <w:gridCol w:w="2880"/>
              <w:gridCol w:w="1276"/>
              <w:gridCol w:w="1843"/>
            </w:tblGrid>
            <w:tr w:rsidR="0000635B" w:rsidRPr="008E7AB8" w14:paraId="284FD155" w14:textId="77777777" w:rsidTr="00816833">
              <w:trPr>
                <w:trHeight w:val="262"/>
              </w:trPr>
              <w:tc>
                <w:tcPr>
                  <w:tcW w:w="2880" w:type="dxa"/>
                </w:tcPr>
                <w:p w14:paraId="1D500863" w14:textId="77777777" w:rsidR="0000635B" w:rsidRPr="008E7AB8" w:rsidRDefault="0000635B" w:rsidP="0000635B">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 xml:space="preserve">BNF Chemical Substance </w:t>
                  </w:r>
                </w:p>
              </w:tc>
              <w:tc>
                <w:tcPr>
                  <w:tcW w:w="1276" w:type="dxa"/>
                </w:tcPr>
                <w:p w14:paraId="225E8BAB" w14:textId="77777777" w:rsidR="0000635B" w:rsidRPr="008E7AB8" w:rsidRDefault="0000635B" w:rsidP="0000635B">
                  <w:pPr>
                    <w:spacing w:after="0" w:line="240" w:lineRule="auto"/>
                    <w:jc w:val="center"/>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BNF Code</w:t>
                  </w:r>
                </w:p>
              </w:tc>
              <w:tc>
                <w:tcPr>
                  <w:tcW w:w="1843" w:type="dxa"/>
                  <w:hideMark/>
                </w:tcPr>
                <w:p w14:paraId="2020E076" w14:textId="77777777" w:rsidR="0000635B" w:rsidRPr="008E7AB8" w:rsidRDefault="0000635B" w:rsidP="0000635B">
                  <w:pPr>
                    <w:spacing w:after="0" w:line="240" w:lineRule="auto"/>
                    <w:jc w:val="center"/>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Strength</w:t>
                  </w:r>
                </w:p>
              </w:tc>
            </w:tr>
            <w:tr w:rsidR="0000635B" w:rsidRPr="008E7AB8" w14:paraId="2DB35F3F" w14:textId="77777777" w:rsidTr="00816833">
              <w:trPr>
                <w:trHeight w:val="248"/>
              </w:trPr>
              <w:tc>
                <w:tcPr>
                  <w:tcW w:w="2880" w:type="dxa"/>
                </w:tcPr>
                <w:p w14:paraId="191E61C7" w14:textId="77777777" w:rsidR="0000635B" w:rsidRPr="008E7AB8" w:rsidRDefault="0000635B" w:rsidP="0000635B">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Azathioprine</w:t>
                  </w:r>
                </w:p>
              </w:tc>
              <w:tc>
                <w:tcPr>
                  <w:tcW w:w="1276" w:type="dxa"/>
                </w:tcPr>
                <w:p w14:paraId="3D99D61A" w14:textId="77777777" w:rsidR="0000635B" w:rsidRPr="00481911" w:rsidRDefault="0000635B" w:rsidP="0000635B">
                  <w:pPr>
                    <w:spacing w:after="0" w:line="240" w:lineRule="auto"/>
                    <w:jc w:val="right"/>
                    <w:rPr>
                      <w:rFonts w:ascii="Arial" w:eastAsia="Times New Roman" w:hAnsi="Arial" w:cs="Arial"/>
                      <w:color w:val="000000"/>
                      <w:sz w:val="18"/>
                      <w:szCs w:val="18"/>
                      <w:lang w:eastAsia="en-GB"/>
                    </w:rPr>
                  </w:pPr>
                  <w:r w:rsidRPr="00481911">
                    <w:rPr>
                      <w:rFonts w:ascii="Arial" w:eastAsia="Times New Roman" w:hAnsi="Arial" w:cs="Arial"/>
                      <w:color w:val="000000"/>
                      <w:sz w:val="18"/>
                      <w:szCs w:val="18"/>
                      <w:lang w:eastAsia="en-GB"/>
                    </w:rPr>
                    <w:t>0802010G0</w:t>
                  </w:r>
                </w:p>
              </w:tc>
              <w:tc>
                <w:tcPr>
                  <w:tcW w:w="1843" w:type="dxa"/>
                </w:tcPr>
                <w:p w14:paraId="2972A1BC" w14:textId="5EEBF4B4" w:rsidR="0000635B" w:rsidRPr="00481911" w:rsidRDefault="003D221F" w:rsidP="0000635B">
                  <w:pPr>
                    <w:spacing w:after="0" w:line="240" w:lineRule="auto"/>
                    <w:rPr>
                      <w:rFonts w:ascii="Arial" w:hAnsi="Arial" w:cs="Arial"/>
                      <w:color w:val="000000"/>
                      <w:sz w:val="18"/>
                      <w:szCs w:val="18"/>
                      <w:lang w:eastAsia="en-GB"/>
                    </w:rPr>
                  </w:pPr>
                  <w:r w:rsidRPr="00481911">
                    <w:rPr>
                      <w:rFonts w:ascii="Arial" w:hAnsi="Arial" w:cs="Arial"/>
                      <w:color w:val="000000"/>
                      <w:sz w:val="18"/>
                      <w:szCs w:val="18"/>
                    </w:rPr>
                    <w:t>10mg/ml</w:t>
                  </w:r>
                </w:p>
              </w:tc>
            </w:tr>
            <w:tr w:rsidR="0000635B" w:rsidRPr="008E7AB8" w14:paraId="3C9989D1" w14:textId="77777777" w:rsidTr="00816833">
              <w:trPr>
                <w:trHeight w:val="248"/>
              </w:trPr>
              <w:tc>
                <w:tcPr>
                  <w:tcW w:w="2880" w:type="dxa"/>
                </w:tcPr>
                <w:p w14:paraId="5559C555" w14:textId="77777777" w:rsidR="0000635B" w:rsidRPr="008E7AB8" w:rsidRDefault="0000635B" w:rsidP="0000635B">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Chloral hydrate</w:t>
                  </w:r>
                </w:p>
              </w:tc>
              <w:tc>
                <w:tcPr>
                  <w:tcW w:w="1276" w:type="dxa"/>
                </w:tcPr>
                <w:p w14:paraId="6FF438B9" w14:textId="77777777" w:rsidR="0000635B" w:rsidRPr="00481911" w:rsidRDefault="0000635B" w:rsidP="0000635B">
                  <w:pPr>
                    <w:spacing w:after="0" w:line="240" w:lineRule="auto"/>
                    <w:jc w:val="right"/>
                    <w:rPr>
                      <w:rFonts w:ascii="Arial" w:eastAsia="Times New Roman" w:hAnsi="Arial" w:cs="Arial"/>
                      <w:color w:val="000000"/>
                      <w:sz w:val="18"/>
                      <w:szCs w:val="18"/>
                      <w:lang w:eastAsia="en-GB"/>
                    </w:rPr>
                  </w:pPr>
                  <w:r w:rsidRPr="00481911">
                    <w:rPr>
                      <w:rFonts w:ascii="Arial" w:eastAsia="Times New Roman" w:hAnsi="Arial" w:cs="Arial"/>
                      <w:color w:val="000000"/>
                      <w:sz w:val="18"/>
                      <w:szCs w:val="18"/>
                      <w:lang w:eastAsia="en-GB"/>
                    </w:rPr>
                    <w:t>0401010B0</w:t>
                  </w:r>
                </w:p>
              </w:tc>
              <w:tc>
                <w:tcPr>
                  <w:tcW w:w="1843" w:type="dxa"/>
                </w:tcPr>
                <w:p w14:paraId="24892693" w14:textId="4E427678" w:rsidR="0000635B" w:rsidRPr="00481911" w:rsidRDefault="002D3B6C" w:rsidP="0000635B">
                  <w:pPr>
                    <w:spacing w:after="0" w:line="240" w:lineRule="auto"/>
                    <w:rPr>
                      <w:rFonts w:ascii="Arial" w:eastAsia="Times New Roman" w:hAnsi="Arial" w:cs="Arial"/>
                      <w:color w:val="000000"/>
                      <w:sz w:val="18"/>
                      <w:szCs w:val="18"/>
                      <w:lang w:eastAsia="en-GB"/>
                    </w:rPr>
                  </w:pPr>
                  <w:r w:rsidRPr="00481911">
                    <w:rPr>
                      <w:rFonts w:ascii="Arial" w:eastAsia="Times New Roman" w:hAnsi="Arial" w:cs="Arial"/>
                      <w:color w:val="000000"/>
                      <w:sz w:val="18"/>
                      <w:szCs w:val="18"/>
                      <w:lang w:eastAsia="en-GB"/>
                    </w:rPr>
                    <w:t>100mg/ml</w:t>
                  </w:r>
                </w:p>
              </w:tc>
            </w:tr>
            <w:tr w:rsidR="0000635B" w:rsidRPr="008E7AB8" w14:paraId="3BBCE9DB" w14:textId="77777777" w:rsidTr="00816833">
              <w:trPr>
                <w:trHeight w:val="248"/>
              </w:trPr>
              <w:tc>
                <w:tcPr>
                  <w:tcW w:w="2880" w:type="dxa"/>
                </w:tcPr>
                <w:p w14:paraId="6948DFCB" w14:textId="77777777" w:rsidR="0000635B" w:rsidRPr="008E7AB8" w:rsidRDefault="0000635B" w:rsidP="0000635B">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Clopidogrel</w:t>
                  </w:r>
                </w:p>
              </w:tc>
              <w:tc>
                <w:tcPr>
                  <w:tcW w:w="1276" w:type="dxa"/>
                </w:tcPr>
                <w:p w14:paraId="2BBE4E35" w14:textId="77777777" w:rsidR="0000635B" w:rsidRPr="00481911" w:rsidRDefault="0000635B" w:rsidP="0000635B">
                  <w:pPr>
                    <w:spacing w:after="0" w:line="240" w:lineRule="auto"/>
                    <w:jc w:val="right"/>
                    <w:rPr>
                      <w:rFonts w:ascii="Arial" w:eastAsia="Times New Roman" w:hAnsi="Arial" w:cs="Arial"/>
                      <w:color w:val="000000"/>
                      <w:sz w:val="18"/>
                      <w:szCs w:val="18"/>
                      <w:lang w:eastAsia="en-GB"/>
                    </w:rPr>
                  </w:pPr>
                  <w:r w:rsidRPr="00481911">
                    <w:rPr>
                      <w:rFonts w:ascii="Arial" w:eastAsia="Times New Roman" w:hAnsi="Arial" w:cs="Arial"/>
                      <w:color w:val="000000"/>
                      <w:sz w:val="18"/>
                      <w:szCs w:val="18"/>
                      <w:lang w:eastAsia="en-GB"/>
                    </w:rPr>
                    <w:t>0209000C0</w:t>
                  </w:r>
                </w:p>
              </w:tc>
              <w:tc>
                <w:tcPr>
                  <w:tcW w:w="1843" w:type="dxa"/>
                </w:tcPr>
                <w:p w14:paraId="44C103D5" w14:textId="5D6FC238" w:rsidR="0000635B" w:rsidRPr="00481911" w:rsidRDefault="002D3B6C" w:rsidP="0000635B">
                  <w:pPr>
                    <w:spacing w:after="0" w:line="240" w:lineRule="auto"/>
                    <w:rPr>
                      <w:rFonts w:ascii="Arial" w:eastAsia="Times New Roman" w:hAnsi="Arial" w:cs="Arial"/>
                      <w:color w:val="000000"/>
                      <w:sz w:val="18"/>
                      <w:szCs w:val="18"/>
                      <w:lang w:eastAsia="en-GB"/>
                    </w:rPr>
                  </w:pPr>
                  <w:r w:rsidRPr="00481911">
                    <w:rPr>
                      <w:rFonts w:ascii="Arial" w:eastAsia="Times New Roman" w:hAnsi="Arial" w:cs="Arial"/>
                      <w:color w:val="000000"/>
                      <w:sz w:val="18"/>
                      <w:szCs w:val="18"/>
                      <w:lang w:eastAsia="en-GB"/>
                    </w:rPr>
                    <w:t>5mg/ml</w:t>
                  </w:r>
                </w:p>
              </w:tc>
            </w:tr>
            <w:tr w:rsidR="0000635B" w:rsidRPr="008E7AB8" w14:paraId="0026D628" w14:textId="77777777" w:rsidTr="00816833">
              <w:trPr>
                <w:trHeight w:val="248"/>
              </w:trPr>
              <w:tc>
                <w:tcPr>
                  <w:tcW w:w="2880" w:type="dxa"/>
                </w:tcPr>
                <w:p w14:paraId="59644A7A" w14:textId="77777777" w:rsidR="0000635B" w:rsidRPr="008E7AB8" w:rsidRDefault="0000635B" w:rsidP="0000635B">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Ethambutol hydrochloride</w:t>
                  </w:r>
                </w:p>
              </w:tc>
              <w:tc>
                <w:tcPr>
                  <w:tcW w:w="1276" w:type="dxa"/>
                </w:tcPr>
                <w:p w14:paraId="778A14F1" w14:textId="77777777" w:rsidR="0000635B" w:rsidRPr="00481911" w:rsidRDefault="0000635B" w:rsidP="0000635B">
                  <w:pPr>
                    <w:spacing w:after="0" w:line="240" w:lineRule="auto"/>
                    <w:jc w:val="right"/>
                    <w:rPr>
                      <w:rFonts w:ascii="Arial" w:eastAsia="Times New Roman" w:hAnsi="Arial" w:cs="Arial"/>
                      <w:color w:val="000000"/>
                      <w:sz w:val="18"/>
                      <w:szCs w:val="18"/>
                      <w:lang w:eastAsia="en-GB"/>
                    </w:rPr>
                  </w:pPr>
                  <w:r w:rsidRPr="00481911">
                    <w:rPr>
                      <w:rFonts w:ascii="Arial" w:eastAsia="Times New Roman" w:hAnsi="Arial" w:cs="Arial"/>
                      <w:color w:val="000000"/>
                      <w:sz w:val="18"/>
                      <w:szCs w:val="18"/>
                      <w:lang w:eastAsia="en-GB"/>
                    </w:rPr>
                    <w:t>0501090H0</w:t>
                  </w:r>
                </w:p>
              </w:tc>
              <w:tc>
                <w:tcPr>
                  <w:tcW w:w="1843" w:type="dxa"/>
                </w:tcPr>
                <w:p w14:paraId="5A9779C1" w14:textId="41998366" w:rsidR="0000635B" w:rsidRPr="00481911" w:rsidRDefault="002D3B6C" w:rsidP="0000635B">
                  <w:pPr>
                    <w:spacing w:after="0" w:line="240" w:lineRule="auto"/>
                    <w:rPr>
                      <w:rFonts w:ascii="Arial" w:eastAsia="Times New Roman" w:hAnsi="Arial" w:cs="Arial"/>
                      <w:color w:val="000000"/>
                      <w:sz w:val="18"/>
                      <w:szCs w:val="18"/>
                      <w:lang w:eastAsia="en-GB"/>
                    </w:rPr>
                  </w:pPr>
                  <w:r w:rsidRPr="00481911">
                    <w:rPr>
                      <w:rFonts w:ascii="Arial" w:eastAsia="Times New Roman" w:hAnsi="Arial" w:cs="Arial"/>
                      <w:color w:val="000000"/>
                      <w:sz w:val="18"/>
                      <w:szCs w:val="18"/>
                      <w:lang w:eastAsia="en-GB"/>
                    </w:rPr>
                    <w:t>80mg/ml</w:t>
                  </w:r>
                </w:p>
              </w:tc>
            </w:tr>
            <w:tr w:rsidR="0000635B" w:rsidRPr="008E7AB8" w14:paraId="46AD693A" w14:textId="77777777" w:rsidTr="00816833">
              <w:trPr>
                <w:trHeight w:val="248"/>
              </w:trPr>
              <w:tc>
                <w:tcPr>
                  <w:tcW w:w="2880" w:type="dxa"/>
                </w:tcPr>
                <w:p w14:paraId="6CF2655D" w14:textId="77777777" w:rsidR="0000635B" w:rsidRPr="008E7AB8" w:rsidRDefault="0000635B" w:rsidP="0000635B">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Hydrocortisone</w:t>
                  </w:r>
                </w:p>
              </w:tc>
              <w:tc>
                <w:tcPr>
                  <w:tcW w:w="1276" w:type="dxa"/>
                </w:tcPr>
                <w:p w14:paraId="2A27A0C4" w14:textId="77777777" w:rsidR="0000635B" w:rsidRPr="00481911" w:rsidRDefault="0000635B" w:rsidP="0000635B">
                  <w:pPr>
                    <w:spacing w:after="0" w:line="240" w:lineRule="auto"/>
                    <w:jc w:val="right"/>
                    <w:rPr>
                      <w:rFonts w:ascii="Arial" w:eastAsia="Times New Roman" w:hAnsi="Arial" w:cs="Arial"/>
                      <w:color w:val="000000"/>
                      <w:sz w:val="18"/>
                      <w:szCs w:val="18"/>
                      <w:lang w:eastAsia="en-GB"/>
                    </w:rPr>
                  </w:pPr>
                  <w:r w:rsidRPr="00481911">
                    <w:rPr>
                      <w:rFonts w:ascii="Arial" w:eastAsia="Times New Roman" w:hAnsi="Arial" w:cs="Arial"/>
                      <w:color w:val="000000"/>
                      <w:sz w:val="18"/>
                      <w:szCs w:val="18"/>
                      <w:lang w:eastAsia="en-GB"/>
                    </w:rPr>
                    <w:t>0603020J0</w:t>
                  </w:r>
                </w:p>
              </w:tc>
              <w:tc>
                <w:tcPr>
                  <w:tcW w:w="1843" w:type="dxa"/>
                </w:tcPr>
                <w:p w14:paraId="37EE2926" w14:textId="6E845610" w:rsidR="0000635B" w:rsidRPr="00481911" w:rsidRDefault="002D3B6C" w:rsidP="0000635B">
                  <w:pPr>
                    <w:spacing w:after="0" w:line="240" w:lineRule="auto"/>
                    <w:rPr>
                      <w:rFonts w:ascii="Arial" w:eastAsia="Times New Roman" w:hAnsi="Arial" w:cs="Arial"/>
                      <w:color w:val="000000"/>
                      <w:sz w:val="18"/>
                      <w:szCs w:val="18"/>
                      <w:lang w:eastAsia="en-GB"/>
                    </w:rPr>
                  </w:pPr>
                  <w:r w:rsidRPr="00481911">
                    <w:rPr>
                      <w:rFonts w:ascii="Arial" w:eastAsia="Times New Roman" w:hAnsi="Arial" w:cs="Arial"/>
                      <w:color w:val="000000"/>
                      <w:sz w:val="18"/>
                      <w:szCs w:val="18"/>
                      <w:lang w:eastAsia="en-GB"/>
                    </w:rPr>
                    <w:t>1mg/ml</w:t>
                  </w:r>
                </w:p>
              </w:tc>
            </w:tr>
            <w:tr w:rsidR="0000635B" w:rsidRPr="008E7AB8" w14:paraId="67A9C6C1" w14:textId="77777777" w:rsidTr="00816833">
              <w:trPr>
                <w:trHeight w:val="248"/>
              </w:trPr>
              <w:tc>
                <w:tcPr>
                  <w:tcW w:w="2880" w:type="dxa"/>
                </w:tcPr>
                <w:p w14:paraId="05AAA86C" w14:textId="77777777" w:rsidR="0000635B" w:rsidRPr="008E7AB8" w:rsidRDefault="0000635B" w:rsidP="0000635B">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Isoniazid</w:t>
                  </w:r>
                </w:p>
              </w:tc>
              <w:tc>
                <w:tcPr>
                  <w:tcW w:w="1276" w:type="dxa"/>
                </w:tcPr>
                <w:p w14:paraId="7F0BDC3F" w14:textId="77777777" w:rsidR="0000635B" w:rsidRPr="00481911" w:rsidRDefault="0000635B" w:rsidP="0000635B">
                  <w:pPr>
                    <w:spacing w:after="0" w:line="240" w:lineRule="auto"/>
                    <w:jc w:val="right"/>
                    <w:rPr>
                      <w:rFonts w:ascii="Arial" w:eastAsia="Times New Roman" w:hAnsi="Arial" w:cs="Arial"/>
                      <w:color w:val="000000"/>
                      <w:sz w:val="18"/>
                      <w:szCs w:val="18"/>
                      <w:lang w:eastAsia="en-GB"/>
                    </w:rPr>
                  </w:pPr>
                  <w:r w:rsidRPr="00481911">
                    <w:rPr>
                      <w:rFonts w:ascii="Arial" w:eastAsia="Times New Roman" w:hAnsi="Arial" w:cs="Arial"/>
                      <w:color w:val="000000"/>
                      <w:sz w:val="18"/>
                      <w:szCs w:val="18"/>
                      <w:lang w:eastAsia="en-GB"/>
                    </w:rPr>
                    <w:t>0501090K0</w:t>
                  </w:r>
                </w:p>
              </w:tc>
              <w:tc>
                <w:tcPr>
                  <w:tcW w:w="1843" w:type="dxa"/>
                </w:tcPr>
                <w:p w14:paraId="554232F5" w14:textId="7D1C5AA6" w:rsidR="0000635B" w:rsidRPr="00481911" w:rsidRDefault="002D3B6C" w:rsidP="0000635B">
                  <w:pPr>
                    <w:spacing w:after="0" w:line="240" w:lineRule="auto"/>
                    <w:rPr>
                      <w:rFonts w:ascii="Arial" w:eastAsia="Times New Roman" w:hAnsi="Arial" w:cs="Arial"/>
                      <w:color w:val="000000"/>
                      <w:sz w:val="18"/>
                      <w:szCs w:val="18"/>
                      <w:lang w:eastAsia="en-GB"/>
                    </w:rPr>
                  </w:pPr>
                  <w:r w:rsidRPr="00481911">
                    <w:rPr>
                      <w:rFonts w:ascii="Arial" w:eastAsia="Times New Roman" w:hAnsi="Arial" w:cs="Arial"/>
                      <w:color w:val="000000"/>
                      <w:sz w:val="18"/>
                      <w:szCs w:val="18"/>
                      <w:lang w:eastAsia="en-GB"/>
                    </w:rPr>
                    <w:t>10mg/ml</w:t>
                  </w:r>
                </w:p>
              </w:tc>
            </w:tr>
            <w:tr w:rsidR="0000635B" w:rsidRPr="008E7AB8" w14:paraId="5E418FE6" w14:textId="77777777" w:rsidTr="00816833">
              <w:trPr>
                <w:trHeight w:val="248"/>
              </w:trPr>
              <w:tc>
                <w:tcPr>
                  <w:tcW w:w="2880" w:type="dxa"/>
                </w:tcPr>
                <w:p w14:paraId="773ACD93" w14:textId="77777777" w:rsidR="0000635B" w:rsidRPr="008E7AB8" w:rsidRDefault="0000635B" w:rsidP="0000635B">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Phenobarbital</w:t>
                  </w:r>
                </w:p>
              </w:tc>
              <w:tc>
                <w:tcPr>
                  <w:tcW w:w="1276" w:type="dxa"/>
                </w:tcPr>
                <w:p w14:paraId="25ED7D16" w14:textId="77777777" w:rsidR="0000635B" w:rsidRPr="00481911" w:rsidRDefault="0000635B" w:rsidP="0000635B">
                  <w:pPr>
                    <w:spacing w:after="0" w:line="240" w:lineRule="auto"/>
                    <w:jc w:val="right"/>
                    <w:rPr>
                      <w:rFonts w:ascii="Arial" w:eastAsia="Times New Roman" w:hAnsi="Arial" w:cs="Arial"/>
                      <w:color w:val="000000"/>
                      <w:sz w:val="18"/>
                      <w:szCs w:val="18"/>
                      <w:lang w:eastAsia="en-GB"/>
                    </w:rPr>
                  </w:pPr>
                  <w:r w:rsidRPr="00481911">
                    <w:rPr>
                      <w:rFonts w:ascii="Arial" w:eastAsia="Times New Roman" w:hAnsi="Arial" w:cs="Arial"/>
                      <w:color w:val="000000"/>
                      <w:sz w:val="18"/>
                      <w:szCs w:val="18"/>
                      <w:lang w:eastAsia="en-GB"/>
                    </w:rPr>
                    <w:t>0408010N0</w:t>
                  </w:r>
                </w:p>
              </w:tc>
              <w:tc>
                <w:tcPr>
                  <w:tcW w:w="1843" w:type="dxa"/>
                </w:tcPr>
                <w:p w14:paraId="57511FE6" w14:textId="5303EC1D" w:rsidR="0000635B" w:rsidRPr="00481911" w:rsidRDefault="00831AD9" w:rsidP="0000635B">
                  <w:pPr>
                    <w:spacing w:after="0" w:line="240" w:lineRule="auto"/>
                    <w:rPr>
                      <w:rFonts w:ascii="Arial" w:eastAsia="Times New Roman" w:hAnsi="Arial" w:cs="Arial"/>
                      <w:color w:val="000000"/>
                      <w:sz w:val="18"/>
                      <w:szCs w:val="18"/>
                      <w:lang w:eastAsia="en-GB"/>
                    </w:rPr>
                  </w:pPr>
                  <w:r w:rsidRPr="00481911">
                    <w:rPr>
                      <w:rFonts w:ascii="Arial" w:eastAsia="Times New Roman" w:hAnsi="Arial" w:cs="Arial"/>
                      <w:color w:val="000000"/>
                      <w:sz w:val="18"/>
                      <w:szCs w:val="18"/>
                      <w:lang w:eastAsia="en-GB"/>
                    </w:rPr>
                    <w:t>10mg/ml</w:t>
                  </w:r>
                </w:p>
              </w:tc>
            </w:tr>
            <w:tr w:rsidR="0000635B" w:rsidRPr="008E7AB8" w14:paraId="19EFFD4F" w14:textId="77777777" w:rsidTr="00816833">
              <w:trPr>
                <w:trHeight w:val="248"/>
              </w:trPr>
              <w:tc>
                <w:tcPr>
                  <w:tcW w:w="2880" w:type="dxa"/>
                </w:tcPr>
                <w:p w14:paraId="143A4020" w14:textId="77777777" w:rsidR="0000635B" w:rsidRPr="008E7AB8" w:rsidRDefault="0000635B" w:rsidP="0000635B">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Phenobarbital sodium</w:t>
                  </w:r>
                </w:p>
              </w:tc>
              <w:tc>
                <w:tcPr>
                  <w:tcW w:w="1276" w:type="dxa"/>
                </w:tcPr>
                <w:p w14:paraId="19BACFBD" w14:textId="77777777" w:rsidR="0000635B" w:rsidRPr="00481911" w:rsidRDefault="0000635B" w:rsidP="0000635B">
                  <w:pPr>
                    <w:spacing w:after="0" w:line="240" w:lineRule="auto"/>
                    <w:jc w:val="right"/>
                    <w:rPr>
                      <w:rFonts w:ascii="Arial" w:eastAsia="Times New Roman" w:hAnsi="Arial" w:cs="Arial"/>
                      <w:color w:val="000000"/>
                      <w:sz w:val="18"/>
                      <w:szCs w:val="18"/>
                      <w:lang w:eastAsia="en-GB"/>
                    </w:rPr>
                  </w:pPr>
                  <w:r w:rsidRPr="00481911">
                    <w:rPr>
                      <w:rFonts w:ascii="Arial" w:eastAsia="Times New Roman" w:hAnsi="Arial" w:cs="Arial"/>
                      <w:color w:val="000000"/>
                      <w:sz w:val="18"/>
                      <w:szCs w:val="18"/>
                      <w:lang w:eastAsia="en-GB"/>
                    </w:rPr>
                    <w:t>0408010P0</w:t>
                  </w:r>
                </w:p>
              </w:tc>
              <w:tc>
                <w:tcPr>
                  <w:tcW w:w="1843" w:type="dxa"/>
                </w:tcPr>
                <w:p w14:paraId="64688CD7" w14:textId="5BD0151A" w:rsidR="0000635B" w:rsidRPr="00481911" w:rsidRDefault="00831AD9" w:rsidP="0000635B">
                  <w:pPr>
                    <w:spacing w:after="0" w:line="240" w:lineRule="auto"/>
                    <w:rPr>
                      <w:rFonts w:ascii="Arial" w:eastAsia="Times New Roman" w:hAnsi="Arial" w:cs="Arial"/>
                      <w:color w:val="000000"/>
                      <w:sz w:val="18"/>
                      <w:szCs w:val="18"/>
                      <w:lang w:eastAsia="en-GB"/>
                    </w:rPr>
                  </w:pPr>
                  <w:r w:rsidRPr="00481911">
                    <w:rPr>
                      <w:rFonts w:ascii="Arial" w:eastAsia="Times New Roman" w:hAnsi="Arial" w:cs="Arial"/>
                      <w:color w:val="000000"/>
                      <w:sz w:val="18"/>
                      <w:szCs w:val="18"/>
                      <w:lang w:eastAsia="en-GB"/>
                    </w:rPr>
                    <w:t>10mg/ml</w:t>
                  </w:r>
                </w:p>
              </w:tc>
            </w:tr>
            <w:tr w:rsidR="0000635B" w:rsidRPr="008E7AB8" w14:paraId="5B99D97E" w14:textId="77777777" w:rsidTr="00816833">
              <w:trPr>
                <w:trHeight w:val="248"/>
              </w:trPr>
              <w:tc>
                <w:tcPr>
                  <w:tcW w:w="2880" w:type="dxa"/>
                </w:tcPr>
                <w:p w14:paraId="26D57413" w14:textId="77777777" w:rsidR="0000635B" w:rsidRPr="008E7AB8" w:rsidRDefault="0000635B" w:rsidP="0000635B">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Pyrazinamide</w:t>
                  </w:r>
                </w:p>
              </w:tc>
              <w:tc>
                <w:tcPr>
                  <w:tcW w:w="1276" w:type="dxa"/>
                </w:tcPr>
                <w:p w14:paraId="65D2D577" w14:textId="77777777" w:rsidR="0000635B" w:rsidRPr="00481911" w:rsidRDefault="0000635B" w:rsidP="0000635B">
                  <w:pPr>
                    <w:spacing w:after="0" w:line="240" w:lineRule="auto"/>
                    <w:jc w:val="right"/>
                    <w:rPr>
                      <w:rFonts w:ascii="Arial" w:eastAsia="Times New Roman" w:hAnsi="Arial" w:cs="Arial"/>
                      <w:color w:val="000000"/>
                      <w:sz w:val="18"/>
                      <w:szCs w:val="18"/>
                      <w:lang w:eastAsia="en-GB"/>
                    </w:rPr>
                  </w:pPr>
                  <w:r w:rsidRPr="00481911">
                    <w:rPr>
                      <w:rFonts w:ascii="Arial" w:eastAsia="Times New Roman" w:hAnsi="Arial" w:cs="Arial"/>
                      <w:color w:val="000000"/>
                      <w:sz w:val="18"/>
                      <w:szCs w:val="18"/>
                      <w:lang w:eastAsia="en-GB"/>
                    </w:rPr>
                    <w:t>0501090N0</w:t>
                  </w:r>
                </w:p>
              </w:tc>
              <w:tc>
                <w:tcPr>
                  <w:tcW w:w="1843" w:type="dxa"/>
                </w:tcPr>
                <w:p w14:paraId="2BEDC48B" w14:textId="24ABB6B4" w:rsidR="0000635B" w:rsidRPr="00481911" w:rsidRDefault="00831AD9" w:rsidP="0000635B">
                  <w:pPr>
                    <w:spacing w:after="0" w:line="240" w:lineRule="auto"/>
                    <w:rPr>
                      <w:rFonts w:ascii="Arial" w:eastAsia="Times New Roman" w:hAnsi="Arial" w:cs="Arial"/>
                      <w:color w:val="000000"/>
                      <w:sz w:val="18"/>
                      <w:szCs w:val="18"/>
                      <w:lang w:eastAsia="en-GB"/>
                    </w:rPr>
                  </w:pPr>
                  <w:r w:rsidRPr="00481911">
                    <w:rPr>
                      <w:rFonts w:ascii="Arial" w:eastAsia="Times New Roman" w:hAnsi="Arial" w:cs="Arial"/>
                      <w:color w:val="000000"/>
                      <w:sz w:val="18"/>
                      <w:szCs w:val="18"/>
                      <w:lang w:eastAsia="en-GB"/>
                    </w:rPr>
                    <w:t>100mg/ml</w:t>
                  </w:r>
                </w:p>
              </w:tc>
            </w:tr>
            <w:tr w:rsidR="0000635B" w:rsidRPr="008E7AB8" w14:paraId="322E939C" w14:textId="77777777" w:rsidTr="00816833">
              <w:trPr>
                <w:trHeight w:val="248"/>
              </w:trPr>
              <w:tc>
                <w:tcPr>
                  <w:tcW w:w="2880" w:type="dxa"/>
                </w:tcPr>
                <w:p w14:paraId="38399E2D" w14:textId="77777777" w:rsidR="0000635B" w:rsidRPr="008E7AB8" w:rsidRDefault="0000635B" w:rsidP="0000635B">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Sertraline hydrochloride</w:t>
                  </w:r>
                </w:p>
              </w:tc>
              <w:tc>
                <w:tcPr>
                  <w:tcW w:w="1276" w:type="dxa"/>
                </w:tcPr>
                <w:p w14:paraId="1575F14D" w14:textId="77777777" w:rsidR="0000635B" w:rsidRPr="00481911" w:rsidRDefault="0000635B" w:rsidP="0000635B">
                  <w:pPr>
                    <w:spacing w:after="0" w:line="240" w:lineRule="auto"/>
                    <w:jc w:val="right"/>
                    <w:rPr>
                      <w:rFonts w:ascii="Arial" w:eastAsia="Times New Roman" w:hAnsi="Arial" w:cs="Arial"/>
                      <w:color w:val="000000"/>
                      <w:sz w:val="18"/>
                      <w:szCs w:val="18"/>
                      <w:lang w:eastAsia="en-GB"/>
                    </w:rPr>
                  </w:pPr>
                  <w:r w:rsidRPr="00481911">
                    <w:rPr>
                      <w:rFonts w:ascii="Arial" w:eastAsia="Times New Roman" w:hAnsi="Arial" w:cs="Arial"/>
                      <w:color w:val="000000"/>
                      <w:sz w:val="18"/>
                      <w:szCs w:val="18"/>
                      <w:lang w:eastAsia="en-GB"/>
                    </w:rPr>
                    <w:t>0403030Q0</w:t>
                  </w:r>
                </w:p>
              </w:tc>
              <w:tc>
                <w:tcPr>
                  <w:tcW w:w="1843" w:type="dxa"/>
                </w:tcPr>
                <w:p w14:paraId="08DD706C" w14:textId="12612116" w:rsidR="0000635B" w:rsidRPr="00481911" w:rsidRDefault="00831AD9" w:rsidP="0000635B">
                  <w:pPr>
                    <w:spacing w:after="0" w:line="240" w:lineRule="auto"/>
                    <w:rPr>
                      <w:rFonts w:ascii="Arial" w:eastAsia="Times New Roman" w:hAnsi="Arial" w:cs="Arial"/>
                      <w:color w:val="000000"/>
                      <w:sz w:val="18"/>
                      <w:szCs w:val="18"/>
                      <w:lang w:eastAsia="en-GB"/>
                    </w:rPr>
                  </w:pPr>
                  <w:r w:rsidRPr="00481911">
                    <w:rPr>
                      <w:rFonts w:ascii="Arial" w:eastAsia="Times New Roman" w:hAnsi="Arial" w:cs="Arial"/>
                      <w:color w:val="000000"/>
                      <w:sz w:val="18"/>
                      <w:szCs w:val="18"/>
                      <w:lang w:eastAsia="en-GB"/>
                    </w:rPr>
                    <w:t>10mg/ml</w:t>
                  </w:r>
                </w:p>
              </w:tc>
            </w:tr>
            <w:tr w:rsidR="0000635B" w:rsidRPr="008E7AB8" w14:paraId="5CC47B69" w14:textId="77777777" w:rsidTr="00816833">
              <w:trPr>
                <w:trHeight w:val="248"/>
              </w:trPr>
              <w:tc>
                <w:tcPr>
                  <w:tcW w:w="2880" w:type="dxa"/>
                </w:tcPr>
                <w:p w14:paraId="3FE1A03D" w14:textId="77777777" w:rsidR="0000635B" w:rsidRPr="008E7AB8" w:rsidRDefault="0000635B" w:rsidP="0000635B">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Sodium chloride</w:t>
                  </w:r>
                </w:p>
              </w:tc>
              <w:tc>
                <w:tcPr>
                  <w:tcW w:w="1276" w:type="dxa"/>
                </w:tcPr>
                <w:p w14:paraId="4DCD1276" w14:textId="77777777" w:rsidR="0000635B" w:rsidRPr="00481911" w:rsidRDefault="0000635B" w:rsidP="0000635B">
                  <w:pPr>
                    <w:spacing w:after="0" w:line="240" w:lineRule="auto"/>
                    <w:jc w:val="right"/>
                    <w:rPr>
                      <w:rFonts w:ascii="Arial" w:eastAsia="Times New Roman" w:hAnsi="Arial" w:cs="Arial"/>
                      <w:color w:val="000000"/>
                      <w:sz w:val="18"/>
                      <w:szCs w:val="18"/>
                      <w:lang w:eastAsia="en-GB"/>
                    </w:rPr>
                  </w:pPr>
                  <w:r w:rsidRPr="00481911">
                    <w:rPr>
                      <w:rFonts w:ascii="Arial" w:eastAsia="Times New Roman" w:hAnsi="Arial" w:cs="Arial"/>
                      <w:color w:val="000000"/>
                      <w:sz w:val="18"/>
                      <w:szCs w:val="18"/>
                      <w:lang w:eastAsia="en-GB"/>
                    </w:rPr>
                    <w:t>0902012L0</w:t>
                  </w:r>
                </w:p>
              </w:tc>
              <w:tc>
                <w:tcPr>
                  <w:tcW w:w="1843" w:type="dxa"/>
                </w:tcPr>
                <w:p w14:paraId="6F1A3DDF" w14:textId="6D9577F6" w:rsidR="0000635B" w:rsidRPr="00481911" w:rsidRDefault="00831AD9" w:rsidP="0000635B">
                  <w:pPr>
                    <w:spacing w:after="0" w:line="240" w:lineRule="auto"/>
                    <w:rPr>
                      <w:rFonts w:ascii="Arial" w:eastAsia="Times New Roman" w:hAnsi="Arial" w:cs="Arial"/>
                      <w:color w:val="000000"/>
                      <w:sz w:val="18"/>
                      <w:szCs w:val="18"/>
                      <w:lang w:eastAsia="en-GB"/>
                    </w:rPr>
                  </w:pPr>
                  <w:r w:rsidRPr="00481911">
                    <w:rPr>
                      <w:rFonts w:ascii="Arial" w:eastAsia="Times New Roman" w:hAnsi="Arial" w:cs="Arial"/>
                      <w:color w:val="000000"/>
                      <w:sz w:val="18"/>
                      <w:szCs w:val="18"/>
                      <w:lang w:eastAsia="en-GB"/>
                    </w:rPr>
                    <w:t>292mg/ml</w:t>
                  </w:r>
                </w:p>
              </w:tc>
            </w:tr>
            <w:tr w:rsidR="0000635B" w:rsidRPr="008E7AB8" w14:paraId="0A4A681D" w14:textId="77777777" w:rsidTr="00816833">
              <w:trPr>
                <w:trHeight w:val="248"/>
              </w:trPr>
              <w:tc>
                <w:tcPr>
                  <w:tcW w:w="2880" w:type="dxa"/>
                </w:tcPr>
                <w:p w14:paraId="78BF5E75" w14:textId="77777777" w:rsidR="0000635B" w:rsidRPr="008E7AB8" w:rsidRDefault="0000635B" w:rsidP="0000635B">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Spironolactone</w:t>
                  </w:r>
                </w:p>
              </w:tc>
              <w:tc>
                <w:tcPr>
                  <w:tcW w:w="1276" w:type="dxa"/>
                </w:tcPr>
                <w:p w14:paraId="60979D3F" w14:textId="77777777" w:rsidR="0000635B" w:rsidRPr="00481911" w:rsidRDefault="0000635B" w:rsidP="0000635B">
                  <w:pPr>
                    <w:spacing w:after="0" w:line="240" w:lineRule="auto"/>
                    <w:jc w:val="right"/>
                    <w:rPr>
                      <w:rFonts w:ascii="Arial" w:eastAsia="Times New Roman" w:hAnsi="Arial" w:cs="Arial"/>
                      <w:color w:val="000000"/>
                      <w:sz w:val="18"/>
                      <w:szCs w:val="18"/>
                      <w:lang w:eastAsia="en-GB"/>
                    </w:rPr>
                  </w:pPr>
                  <w:r w:rsidRPr="00481911">
                    <w:rPr>
                      <w:rFonts w:ascii="Arial" w:eastAsia="Times New Roman" w:hAnsi="Arial" w:cs="Arial"/>
                      <w:color w:val="000000"/>
                      <w:sz w:val="18"/>
                      <w:szCs w:val="18"/>
                      <w:lang w:eastAsia="en-GB"/>
                    </w:rPr>
                    <w:t>0202030S0</w:t>
                  </w:r>
                </w:p>
              </w:tc>
              <w:tc>
                <w:tcPr>
                  <w:tcW w:w="1843" w:type="dxa"/>
                </w:tcPr>
                <w:p w14:paraId="2AC95EE6" w14:textId="7E58A652" w:rsidR="0000635B" w:rsidRPr="00481911" w:rsidRDefault="00831AD9" w:rsidP="0000635B">
                  <w:pPr>
                    <w:spacing w:after="0" w:line="240" w:lineRule="auto"/>
                    <w:rPr>
                      <w:rFonts w:ascii="Arial" w:eastAsia="Times New Roman" w:hAnsi="Arial" w:cs="Arial"/>
                      <w:color w:val="000000"/>
                      <w:sz w:val="18"/>
                      <w:szCs w:val="18"/>
                      <w:lang w:eastAsia="en-GB"/>
                    </w:rPr>
                  </w:pPr>
                  <w:r w:rsidRPr="00481911">
                    <w:rPr>
                      <w:rFonts w:ascii="Arial" w:eastAsia="Times New Roman" w:hAnsi="Arial" w:cs="Arial"/>
                      <w:color w:val="000000"/>
                      <w:sz w:val="18"/>
                      <w:szCs w:val="18"/>
                      <w:lang w:eastAsia="en-GB"/>
                    </w:rPr>
                    <w:t>10mg/ml</w:t>
                  </w:r>
                </w:p>
              </w:tc>
            </w:tr>
            <w:tr w:rsidR="0000635B" w:rsidRPr="008E7AB8" w14:paraId="3BE65761" w14:textId="77777777" w:rsidTr="00816833">
              <w:trPr>
                <w:trHeight w:val="248"/>
              </w:trPr>
              <w:tc>
                <w:tcPr>
                  <w:tcW w:w="2880" w:type="dxa"/>
                </w:tcPr>
                <w:p w14:paraId="6388C9BE" w14:textId="77777777" w:rsidR="0000635B" w:rsidRPr="008E7AB8" w:rsidRDefault="0000635B" w:rsidP="0000635B">
                  <w:pPr>
                    <w:spacing w:after="0" w:line="240" w:lineRule="auto"/>
                    <w:rPr>
                      <w:rFonts w:ascii="Arial" w:eastAsia="Times New Roman" w:hAnsi="Arial" w:cs="Arial"/>
                      <w:b/>
                      <w:bCs/>
                      <w:color w:val="000000"/>
                      <w:sz w:val="18"/>
                      <w:szCs w:val="18"/>
                      <w:lang w:eastAsia="en-GB"/>
                    </w:rPr>
                  </w:pPr>
                  <w:r w:rsidRPr="008E7AB8">
                    <w:rPr>
                      <w:rFonts w:ascii="Arial" w:eastAsia="Times New Roman" w:hAnsi="Arial" w:cs="Arial"/>
                      <w:b/>
                      <w:bCs/>
                      <w:color w:val="000000"/>
                      <w:sz w:val="18"/>
                      <w:szCs w:val="18"/>
                      <w:lang w:eastAsia="en-GB"/>
                    </w:rPr>
                    <w:t>Tacrolimus</w:t>
                  </w:r>
                </w:p>
              </w:tc>
              <w:tc>
                <w:tcPr>
                  <w:tcW w:w="1276" w:type="dxa"/>
                </w:tcPr>
                <w:p w14:paraId="11B07A7C" w14:textId="77777777" w:rsidR="0000635B" w:rsidRPr="00481911" w:rsidRDefault="0000635B" w:rsidP="0000635B">
                  <w:pPr>
                    <w:spacing w:after="0" w:line="240" w:lineRule="auto"/>
                    <w:jc w:val="right"/>
                    <w:rPr>
                      <w:rFonts w:ascii="Arial" w:eastAsia="Times New Roman" w:hAnsi="Arial" w:cs="Arial"/>
                      <w:color w:val="000000"/>
                      <w:sz w:val="18"/>
                      <w:szCs w:val="18"/>
                      <w:lang w:eastAsia="en-GB"/>
                    </w:rPr>
                  </w:pPr>
                  <w:r w:rsidRPr="00481911">
                    <w:rPr>
                      <w:rFonts w:ascii="Arial" w:eastAsia="Times New Roman" w:hAnsi="Arial" w:cs="Arial"/>
                      <w:color w:val="000000"/>
                      <w:sz w:val="18"/>
                      <w:szCs w:val="18"/>
                      <w:lang w:eastAsia="en-GB"/>
                    </w:rPr>
                    <w:t>0802020T0</w:t>
                  </w:r>
                </w:p>
              </w:tc>
              <w:tc>
                <w:tcPr>
                  <w:tcW w:w="1843" w:type="dxa"/>
                </w:tcPr>
                <w:p w14:paraId="1D0AA19A" w14:textId="52CE09FF" w:rsidR="0000635B" w:rsidRPr="00481911" w:rsidRDefault="00831AD9" w:rsidP="0000635B">
                  <w:pPr>
                    <w:spacing w:after="0" w:line="240" w:lineRule="auto"/>
                    <w:rPr>
                      <w:rFonts w:ascii="Arial" w:eastAsia="Times New Roman" w:hAnsi="Arial" w:cs="Arial"/>
                      <w:color w:val="000000"/>
                      <w:sz w:val="18"/>
                      <w:szCs w:val="18"/>
                      <w:lang w:eastAsia="en-GB"/>
                    </w:rPr>
                  </w:pPr>
                  <w:r w:rsidRPr="00481911">
                    <w:rPr>
                      <w:rFonts w:ascii="Arial" w:eastAsia="Times New Roman" w:hAnsi="Arial" w:cs="Arial"/>
                      <w:color w:val="000000"/>
                      <w:sz w:val="18"/>
                      <w:szCs w:val="18"/>
                      <w:lang w:eastAsia="en-GB"/>
                    </w:rPr>
                    <w:t>1mg/ml</w:t>
                  </w:r>
                </w:p>
              </w:tc>
            </w:tr>
          </w:tbl>
          <w:p w14:paraId="711F78C9" w14:textId="0AC7D354" w:rsidR="00EE08DC" w:rsidRDefault="00EE08DC" w:rsidP="005A3E3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6269425D" w14:textId="22A6A669" w:rsidR="00467A14" w:rsidRDefault="00467A14" w:rsidP="00467A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All other strengths are non-standard. </w:t>
            </w:r>
          </w:p>
          <w:p w14:paraId="5F69A10B" w14:textId="7758AFBF" w:rsidR="00467A14" w:rsidRPr="008E7AB8" w:rsidRDefault="00467A14" w:rsidP="00467A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E08DC" w:rsidRPr="008E7AB8" w14:paraId="3F74755E" w14:textId="77777777" w:rsidTr="007F7A2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534" w:type="dxa"/>
          </w:tcPr>
          <w:p w14:paraId="1B39EDDD" w14:textId="77777777" w:rsidR="00EE08DC" w:rsidRPr="008E7AB8" w:rsidRDefault="00EE08DC" w:rsidP="005A3E31">
            <w:pPr>
              <w:spacing w:after="0" w:line="240" w:lineRule="auto"/>
              <w:rPr>
                <w:rFonts w:ascii="Arial" w:hAnsi="Arial" w:cs="Arial"/>
                <w:sz w:val="18"/>
                <w:szCs w:val="18"/>
              </w:rPr>
            </w:pPr>
            <w:r w:rsidRPr="008E7AB8">
              <w:rPr>
                <w:rFonts w:ascii="Arial" w:hAnsi="Arial" w:cs="Arial"/>
                <w:sz w:val="18"/>
                <w:szCs w:val="18"/>
              </w:rPr>
              <w:t>1.5</w:t>
            </w:r>
          </w:p>
        </w:tc>
        <w:tc>
          <w:tcPr>
            <w:tcW w:w="1701" w:type="dxa"/>
          </w:tcPr>
          <w:p w14:paraId="186705BD" w14:textId="77777777" w:rsidR="00EE08DC" w:rsidRPr="008E7AB8" w:rsidRDefault="00EE08DC" w:rsidP="005A3E3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E7AB8">
              <w:rPr>
                <w:rFonts w:ascii="Arial" w:hAnsi="Arial" w:cs="Arial"/>
                <w:b/>
                <w:sz w:val="18"/>
                <w:szCs w:val="18"/>
              </w:rPr>
              <w:t>Denominator</w:t>
            </w:r>
          </w:p>
        </w:tc>
        <w:tc>
          <w:tcPr>
            <w:tcW w:w="7654" w:type="dxa"/>
          </w:tcPr>
          <w:p w14:paraId="0376BF9F" w14:textId="4CB40A7B" w:rsidR="00EE08DC" w:rsidRPr="00EF2C58" w:rsidRDefault="00F2117D" w:rsidP="005A3E3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2C58">
              <w:rPr>
                <w:rFonts w:ascii="Arial" w:hAnsi="Arial" w:cs="Arial"/>
                <w:sz w:val="18"/>
                <w:szCs w:val="18"/>
              </w:rPr>
              <w:t>Number of patients in age band on registered list size</w:t>
            </w:r>
          </w:p>
          <w:p w14:paraId="12C25F94" w14:textId="77777777" w:rsidR="00EE08DC" w:rsidRPr="008E7AB8" w:rsidRDefault="00EE08DC" w:rsidP="005A3E3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45D9613F" w14:textId="77777777" w:rsidR="00EE08DC" w:rsidRPr="008E7AB8" w:rsidRDefault="00EE08DC" w:rsidP="005A3E3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EE08DC" w:rsidRPr="008E7AB8" w14:paraId="3D64D625" w14:textId="77777777" w:rsidTr="007F7A28">
        <w:tc>
          <w:tcPr>
            <w:cnfStyle w:val="001000000000" w:firstRow="0" w:lastRow="0" w:firstColumn="1" w:lastColumn="0" w:oddVBand="0" w:evenVBand="0" w:oddHBand="0" w:evenHBand="0" w:firstRowFirstColumn="0" w:firstRowLastColumn="0" w:lastRowFirstColumn="0" w:lastRowLastColumn="0"/>
            <w:tcW w:w="534" w:type="dxa"/>
          </w:tcPr>
          <w:p w14:paraId="71C77BED" w14:textId="77777777" w:rsidR="00EE08DC" w:rsidRPr="008E7AB8" w:rsidRDefault="00EE08DC" w:rsidP="005A3E31">
            <w:pPr>
              <w:spacing w:after="0" w:line="240" w:lineRule="auto"/>
              <w:rPr>
                <w:rFonts w:ascii="Arial" w:hAnsi="Arial" w:cs="Arial"/>
                <w:sz w:val="18"/>
                <w:szCs w:val="18"/>
              </w:rPr>
            </w:pPr>
            <w:r w:rsidRPr="008E7AB8">
              <w:rPr>
                <w:rFonts w:ascii="Arial" w:hAnsi="Arial" w:cs="Arial"/>
                <w:sz w:val="18"/>
                <w:szCs w:val="18"/>
              </w:rPr>
              <w:t>1.6</w:t>
            </w:r>
          </w:p>
        </w:tc>
        <w:tc>
          <w:tcPr>
            <w:tcW w:w="1701" w:type="dxa"/>
          </w:tcPr>
          <w:p w14:paraId="0CEA18B4" w14:textId="77777777" w:rsidR="00EE08DC" w:rsidRPr="008E7AB8" w:rsidRDefault="00EE08DC" w:rsidP="005A3E3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E7AB8">
              <w:rPr>
                <w:rFonts w:ascii="Arial" w:hAnsi="Arial" w:cs="Arial"/>
                <w:b/>
                <w:sz w:val="18"/>
                <w:szCs w:val="18"/>
              </w:rPr>
              <w:t>Methodology</w:t>
            </w:r>
          </w:p>
        </w:tc>
        <w:tc>
          <w:tcPr>
            <w:tcW w:w="7654" w:type="dxa"/>
          </w:tcPr>
          <w:p w14:paraId="0BC2708F" w14:textId="564C4DFB" w:rsidR="00EE08DC" w:rsidRPr="008E7AB8" w:rsidRDefault="00EE08DC" w:rsidP="005A3E3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E7AB8">
              <w:rPr>
                <w:rFonts w:ascii="Arial" w:hAnsi="Arial" w:cs="Arial"/>
                <w:sz w:val="18"/>
                <w:szCs w:val="18"/>
              </w:rPr>
              <w:t xml:space="preserve">Numerator divided by denominator </w:t>
            </w:r>
            <w:r w:rsidR="00BF1011" w:rsidRPr="008E7AB8">
              <w:rPr>
                <w:rFonts w:ascii="Arial" w:hAnsi="Arial" w:cs="Arial"/>
                <w:sz w:val="18"/>
                <w:szCs w:val="18"/>
              </w:rPr>
              <w:t>multiplied by 1,000</w:t>
            </w:r>
            <w:r w:rsidRPr="008E7AB8">
              <w:rPr>
                <w:rFonts w:ascii="Arial" w:hAnsi="Arial" w:cs="Arial"/>
                <w:sz w:val="18"/>
                <w:szCs w:val="18"/>
              </w:rPr>
              <w:t>.</w:t>
            </w:r>
          </w:p>
        </w:tc>
      </w:tr>
      <w:tr w:rsidR="00EE08DC" w:rsidRPr="008E7AB8" w14:paraId="7D418390" w14:textId="77777777" w:rsidTr="007F7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3"/>
          </w:tcPr>
          <w:p w14:paraId="60782C1F" w14:textId="77777777" w:rsidR="00EE08DC" w:rsidRPr="008E7AB8" w:rsidRDefault="00EE08DC" w:rsidP="005A3E31">
            <w:pPr>
              <w:spacing w:after="0" w:line="240" w:lineRule="auto"/>
              <w:rPr>
                <w:rFonts w:ascii="Arial" w:hAnsi="Arial" w:cs="Arial"/>
                <w:sz w:val="18"/>
                <w:szCs w:val="18"/>
              </w:rPr>
            </w:pPr>
            <w:r w:rsidRPr="008E7AB8">
              <w:rPr>
                <w:rFonts w:ascii="Arial" w:hAnsi="Arial" w:cs="Arial"/>
                <w:sz w:val="18"/>
                <w:szCs w:val="18"/>
              </w:rPr>
              <w:t>Section 2: Rationale</w:t>
            </w:r>
          </w:p>
        </w:tc>
      </w:tr>
      <w:tr w:rsidR="00EE08DC" w:rsidRPr="008E7AB8" w14:paraId="277DDCB5" w14:textId="77777777" w:rsidTr="007F7A28">
        <w:trPr>
          <w:trHeight w:val="558"/>
        </w:trPr>
        <w:tc>
          <w:tcPr>
            <w:cnfStyle w:val="001000000000" w:firstRow="0" w:lastRow="0" w:firstColumn="1" w:lastColumn="0" w:oddVBand="0" w:evenVBand="0" w:oddHBand="0" w:evenHBand="0" w:firstRowFirstColumn="0" w:firstRowLastColumn="0" w:lastRowFirstColumn="0" w:lastRowLastColumn="0"/>
            <w:tcW w:w="534" w:type="dxa"/>
          </w:tcPr>
          <w:p w14:paraId="55613781" w14:textId="77777777" w:rsidR="00EE08DC" w:rsidRPr="008E7AB8" w:rsidRDefault="00EE08DC" w:rsidP="005A3E31">
            <w:pPr>
              <w:spacing w:after="0" w:line="240" w:lineRule="auto"/>
              <w:rPr>
                <w:rFonts w:ascii="Arial" w:hAnsi="Arial" w:cs="Arial"/>
                <w:sz w:val="18"/>
                <w:szCs w:val="18"/>
              </w:rPr>
            </w:pPr>
            <w:r w:rsidRPr="008E7AB8">
              <w:rPr>
                <w:rFonts w:ascii="Arial" w:hAnsi="Arial" w:cs="Arial"/>
                <w:sz w:val="18"/>
                <w:szCs w:val="18"/>
              </w:rPr>
              <w:t>2.1</w:t>
            </w:r>
          </w:p>
          <w:p w14:paraId="0D9B2403" w14:textId="77777777" w:rsidR="00EE08DC" w:rsidRPr="008E7AB8" w:rsidRDefault="00EE08DC" w:rsidP="005A3E31">
            <w:pPr>
              <w:spacing w:after="0" w:line="240" w:lineRule="auto"/>
              <w:rPr>
                <w:rFonts w:ascii="Arial" w:hAnsi="Arial" w:cs="Arial"/>
                <w:sz w:val="18"/>
                <w:szCs w:val="18"/>
              </w:rPr>
            </w:pPr>
          </w:p>
        </w:tc>
        <w:tc>
          <w:tcPr>
            <w:tcW w:w="1701" w:type="dxa"/>
          </w:tcPr>
          <w:p w14:paraId="13C139E5" w14:textId="77777777" w:rsidR="00EE08DC" w:rsidRPr="008E7AB8" w:rsidRDefault="00EE08DC" w:rsidP="005A3E3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E7AB8">
              <w:rPr>
                <w:rFonts w:ascii="Arial" w:hAnsi="Arial" w:cs="Arial"/>
                <w:b/>
                <w:sz w:val="18"/>
                <w:szCs w:val="18"/>
              </w:rPr>
              <w:t>Purpose</w:t>
            </w:r>
          </w:p>
        </w:tc>
        <w:tc>
          <w:tcPr>
            <w:tcW w:w="7654" w:type="dxa"/>
          </w:tcPr>
          <w:p w14:paraId="76D6BF82" w14:textId="04C0D4E1" w:rsidR="00EE08DC" w:rsidRPr="008E7AB8" w:rsidRDefault="00EE08DC" w:rsidP="005A3E3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8E7AB8">
              <w:rPr>
                <w:rFonts w:ascii="Arial" w:hAnsi="Arial" w:cs="Arial"/>
                <w:sz w:val="18"/>
                <w:szCs w:val="18"/>
              </w:rPr>
              <w:t xml:space="preserve">To determine the extent to which liquid medicines prescribed for patients under the age of 18 follow the nationally recommended concentration for each drug.  This will help prescribers, prescribing advisors and other members of the team identify patients on non-standard concentrations and review them with a view to switching to the national standard where appropriate.  It will also help describe variations in prescribing at a practice, PCN and </w:t>
            </w:r>
            <w:r w:rsidR="0008014E" w:rsidRPr="008E7AB8">
              <w:rPr>
                <w:rFonts w:ascii="Arial" w:hAnsi="Arial" w:cs="Arial"/>
                <w:sz w:val="18"/>
                <w:szCs w:val="18"/>
              </w:rPr>
              <w:t>SICBL</w:t>
            </w:r>
            <w:r w:rsidRPr="008E7AB8">
              <w:rPr>
                <w:rFonts w:ascii="Arial" w:hAnsi="Arial" w:cs="Arial"/>
                <w:sz w:val="18"/>
                <w:szCs w:val="18"/>
              </w:rPr>
              <w:t xml:space="preserve"> level and identify areas of focus.</w:t>
            </w:r>
          </w:p>
        </w:tc>
      </w:tr>
      <w:tr w:rsidR="00EE08DC" w:rsidRPr="008E7AB8" w14:paraId="0FCC8E41" w14:textId="77777777" w:rsidTr="007F7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2288D69C" w14:textId="77777777" w:rsidR="00EE08DC" w:rsidRPr="008E7AB8" w:rsidRDefault="00EE08DC" w:rsidP="005A3E31">
            <w:pPr>
              <w:spacing w:after="0" w:line="240" w:lineRule="auto"/>
              <w:rPr>
                <w:rFonts w:ascii="Arial" w:hAnsi="Arial" w:cs="Arial"/>
                <w:sz w:val="18"/>
                <w:szCs w:val="18"/>
              </w:rPr>
            </w:pPr>
            <w:r w:rsidRPr="008E7AB8">
              <w:rPr>
                <w:rFonts w:ascii="Arial" w:hAnsi="Arial" w:cs="Arial"/>
                <w:sz w:val="18"/>
                <w:szCs w:val="18"/>
              </w:rPr>
              <w:t>2.2</w:t>
            </w:r>
          </w:p>
          <w:p w14:paraId="769DE3C1" w14:textId="77777777" w:rsidR="00EE08DC" w:rsidRPr="008E7AB8" w:rsidRDefault="00EE08DC" w:rsidP="005A3E31">
            <w:pPr>
              <w:spacing w:after="0" w:line="240" w:lineRule="auto"/>
              <w:rPr>
                <w:rFonts w:ascii="Arial" w:hAnsi="Arial" w:cs="Arial"/>
                <w:sz w:val="18"/>
                <w:szCs w:val="18"/>
              </w:rPr>
            </w:pPr>
          </w:p>
        </w:tc>
        <w:tc>
          <w:tcPr>
            <w:tcW w:w="1701" w:type="dxa"/>
          </w:tcPr>
          <w:p w14:paraId="22374F16" w14:textId="77777777" w:rsidR="00EE08DC" w:rsidRPr="008E7AB8" w:rsidRDefault="00EE08DC" w:rsidP="005A3E31">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E7AB8">
              <w:rPr>
                <w:rFonts w:ascii="Arial" w:hAnsi="Arial" w:cs="Arial"/>
                <w:b/>
                <w:sz w:val="18"/>
                <w:szCs w:val="18"/>
              </w:rPr>
              <w:t>Evidence and Policy Base</w:t>
            </w:r>
          </w:p>
        </w:tc>
        <w:tc>
          <w:tcPr>
            <w:tcW w:w="7654" w:type="dxa"/>
          </w:tcPr>
          <w:p w14:paraId="3EE1CF17" w14:textId="77777777" w:rsidR="00EE08DC" w:rsidRPr="008E7AB8" w:rsidRDefault="00EE08DC" w:rsidP="005A3E31">
            <w:pPr>
              <w:autoSpaceDE w:val="0"/>
              <w:autoSpaceDN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7AB8">
              <w:rPr>
                <w:rFonts w:ascii="Arial" w:hAnsi="Arial" w:cs="Arial"/>
                <w:sz w:val="18"/>
                <w:szCs w:val="18"/>
              </w:rPr>
              <w:t>Liquid medicines are commonly prescribed for children.  For many drugs, there is a range of different concentrations of liquid available, leading to the potential for dosing errors if the concentration is changed and parents and carers do not adjust the volume to be given accordingly.  Although unlicensed liquid “specials” are the most variable in terms of the range of concentrations available, there are also a significant number of drugs for which there are a range of licensed liquid concentrations in use.</w:t>
            </w:r>
          </w:p>
          <w:p w14:paraId="77D285DC" w14:textId="77777777" w:rsidR="00EE08DC" w:rsidRPr="008E7AB8" w:rsidRDefault="00EE08DC" w:rsidP="005A3E31">
            <w:pPr>
              <w:autoSpaceDE w:val="0"/>
              <w:autoSpaceDN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62664753" w14:textId="77777777" w:rsidR="00EE08DC" w:rsidRPr="008E7AB8" w:rsidRDefault="00EE08DC" w:rsidP="005A3E31">
            <w:pPr>
              <w:autoSpaceDE w:val="0"/>
              <w:autoSpaceDN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E7AB8">
              <w:rPr>
                <w:rFonts w:ascii="Arial" w:hAnsi="Arial" w:cs="Arial"/>
                <w:sz w:val="18"/>
                <w:szCs w:val="18"/>
              </w:rPr>
              <w:t>Dosing errors arising from inadvertent switching between liquid concentrations or planned switches being incorrectly understood by parents and carers are reported in the literature and in the NHS National Learning and Reporting System (NRLS).</w:t>
            </w:r>
          </w:p>
          <w:p w14:paraId="08CB257B" w14:textId="77777777" w:rsidR="00EE08DC" w:rsidRPr="008E7AB8" w:rsidRDefault="00EE08DC" w:rsidP="005A3E31">
            <w:pPr>
              <w:autoSpaceDE w:val="0"/>
              <w:autoSpaceDN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7469897E" w14:textId="77777777" w:rsidR="00EE08DC" w:rsidRPr="008E7AB8" w:rsidRDefault="00EE08DC" w:rsidP="005A3E31">
            <w:pPr>
              <w:autoSpaceDE w:val="0"/>
              <w:autoSpaceDN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8E7AB8">
              <w:rPr>
                <w:rFonts w:ascii="Arial" w:hAnsi="Arial" w:cs="Arial"/>
                <w:sz w:val="18"/>
                <w:szCs w:val="18"/>
              </w:rPr>
              <w:t>With the aim of improving patient safety, the UK Neonatal and Paediatric Pharmacists Group (NPPG) and the Royal College of Paediatrics and Child Health (RCPCH) have published a national list of recommended concentrations for a range of oral drugs commonly prescribed as liquid formulations.  This document, first published in 2018, focuses on drugs for which there isn’t a licensed liquid product available.  However, it is planned that the list will expand during 2022 and 2023 to include recommended concentrations for licensed products as well as an extended range of unlicensed products.</w:t>
            </w:r>
          </w:p>
        </w:tc>
      </w:tr>
    </w:tbl>
    <w:p w14:paraId="289D5AE1" w14:textId="7F26BEAC" w:rsidR="00EE08DC" w:rsidRPr="008E7AB8" w:rsidRDefault="00EE08DC" w:rsidP="00EE08DC">
      <w:pPr>
        <w:rPr>
          <w:rFonts w:ascii="Arial" w:hAnsi="Arial" w:cs="Arial"/>
        </w:rPr>
      </w:pPr>
    </w:p>
    <w:p w14:paraId="0C6DC62C" w14:textId="325C7966" w:rsidR="00052F05" w:rsidRPr="008E7AB8" w:rsidRDefault="00052F05" w:rsidP="00EE08DC">
      <w:pPr>
        <w:rPr>
          <w:rFonts w:ascii="Arial" w:hAnsi="Arial" w:cs="Arial"/>
        </w:rPr>
      </w:pPr>
    </w:p>
    <w:p w14:paraId="20AA0949" w14:textId="46C88389" w:rsidR="00052F05" w:rsidRPr="008E7AB8" w:rsidRDefault="00052F05" w:rsidP="00EE08DC">
      <w:pPr>
        <w:rPr>
          <w:rFonts w:ascii="Arial" w:hAnsi="Arial" w:cs="Arial"/>
        </w:rPr>
      </w:pPr>
    </w:p>
    <w:p w14:paraId="156AE6B4" w14:textId="388D969F" w:rsidR="00052F05" w:rsidRDefault="00510F98" w:rsidP="008E7AB8">
      <w:pPr>
        <w:pStyle w:val="Heading1"/>
      </w:pPr>
      <w:bookmarkStart w:id="74" w:name="_Toc117243505"/>
      <w:r w:rsidRPr="008E7AB8">
        <w:t>Working Group</w:t>
      </w:r>
      <w:bookmarkEnd w:id="74"/>
    </w:p>
    <w:p w14:paraId="2AD818F2" w14:textId="77777777" w:rsidR="008E7AB8" w:rsidRPr="008E7AB8" w:rsidRDefault="008E7AB8" w:rsidP="008E7AB8"/>
    <w:tbl>
      <w:tblPr>
        <w:tblStyle w:val="GridTable4-Accent1"/>
        <w:tblW w:w="0" w:type="auto"/>
        <w:tblLook w:val="04A0" w:firstRow="1" w:lastRow="0" w:firstColumn="1" w:lastColumn="0" w:noHBand="0" w:noVBand="1"/>
      </w:tblPr>
      <w:tblGrid>
        <w:gridCol w:w="2689"/>
        <w:gridCol w:w="6939"/>
      </w:tblGrid>
      <w:tr w:rsidR="002D09D5" w:rsidRPr="008E7AB8" w14:paraId="434CFF76" w14:textId="77777777" w:rsidTr="00F22B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0136F21" w14:textId="57AEC83D" w:rsidR="002D09D5" w:rsidRPr="008E7AB8" w:rsidRDefault="002D09D5" w:rsidP="008C3D35">
            <w:pPr>
              <w:rPr>
                <w:rFonts w:ascii="Arial" w:hAnsi="Arial" w:cs="Arial"/>
                <w:sz w:val="20"/>
                <w:szCs w:val="20"/>
              </w:rPr>
            </w:pPr>
            <w:r w:rsidRPr="008E7AB8">
              <w:rPr>
                <w:rFonts w:ascii="Arial" w:hAnsi="Arial" w:cs="Arial"/>
                <w:sz w:val="20"/>
                <w:szCs w:val="20"/>
              </w:rPr>
              <w:t>Name</w:t>
            </w:r>
          </w:p>
        </w:tc>
        <w:tc>
          <w:tcPr>
            <w:tcW w:w="6939" w:type="dxa"/>
          </w:tcPr>
          <w:p w14:paraId="349B4258" w14:textId="15279EF2" w:rsidR="002D09D5" w:rsidRPr="008E7AB8" w:rsidRDefault="002D09D5" w:rsidP="008C3D35">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E7AB8">
              <w:rPr>
                <w:rFonts w:ascii="Arial" w:hAnsi="Arial" w:cs="Arial"/>
                <w:sz w:val="20"/>
                <w:szCs w:val="20"/>
              </w:rPr>
              <w:t>Role/Organisation</w:t>
            </w:r>
          </w:p>
        </w:tc>
      </w:tr>
      <w:tr w:rsidR="008C3D35" w:rsidRPr="008E7AB8" w14:paraId="43D9AB7E" w14:textId="77777777" w:rsidTr="00F22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36661CB" w14:textId="5147DEB3" w:rsidR="008C3D35" w:rsidRPr="00EF2C58" w:rsidRDefault="008C3D35" w:rsidP="008C3D35">
            <w:pPr>
              <w:rPr>
                <w:rFonts w:ascii="Arial" w:hAnsi="Arial" w:cs="Arial"/>
                <w:b w:val="0"/>
                <w:bCs w:val="0"/>
                <w:sz w:val="18"/>
                <w:szCs w:val="18"/>
              </w:rPr>
            </w:pPr>
            <w:r w:rsidRPr="00EF2C58">
              <w:rPr>
                <w:rFonts w:ascii="Arial" w:hAnsi="Arial" w:cs="Arial"/>
                <w:b w:val="0"/>
                <w:bCs w:val="0"/>
                <w:sz w:val="18"/>
                <w:szCs w:val="18"/>
              </w:rPr>
              <w:t>Amanda Bevan</w:t>
            </w:r>
          </w:p>
        </w:tc>
        <w:tc>
          <w:tcPr>
            <w:tcW w:w="6939" w:type="dxa"/>
          </w:tcPr>
          <w:p w14:paraId="49C2739A" w14:textId="1D5E2019" w:rsidR="008C3D35" w:rsidRPr="00EF2C58" w:rsidRDefault="002D491E" w:rsidP="008C3D3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D491E">
              <w:rPr>
                <w:rFonts w:ascii="Arial" w:hAnsi="Arial" w:cs="Arial"/>
                <w:sz w:val="18"/>
                <w:szCs w:val="18"/>
              </w:rPr>
              <w:t>Pharmacy Lead, Family Health</w:t>
            </w:r>
            <w:r w:rsidR="006B3068" w:rsidRPr="00EF2C58">
              <w:rPr>
                <w:rFonts w:ascii="Arial" w:hAnsi="Arial" w:cs="Arial"/>
                <w:sz w:val="18"/>
                <w:szCs w:val="18"/>
              </w:rPr>
              <w:t xml:space="preserve">. </w:t>
            </w:r>
            <w:r w:rsidR="008C3D35" w:rsidRPr="00EF2C58">
              <w:rPr>
                <w:rFonts w:ascii="Arial" w:hAnsi="Arial" w:cs="Arial"/>
                <w:sz w:val="18"/>
                <w:szCs w:val="18"/>
              </w:rPr>
              <w:t>University Hospital Southampton NHS Foundation Trust</w:t>
            </w:r>
          </w:p>
        </w:tc>
      </w:tr>
      <w:tr w:rsidR="008C3D35" w:rsidRPr="008E7AB8" w14:paraId="135EF263" w14:textId="77777777" w:rsidTr="00F22B51">
        <w:tc>
          <w:tcPr>
            <w:cnfStyle w:val="001000000000" w:firstRow="0" w:lastRow="0" w:firstColumn="1" w:lastColumn="0" w:oddVBand="0" w:evenVBand="0" w:oddHBand="0" w:evenHBand="0" w:firstRowFirstColumn="0" w:firstRowLastColumn="0" w:lastRowFirstColumn="0" w:lastRowLastColumn="0"/>
            <w:tcW w:w="2689" w:type="dxa"/>
          </w:tcPr>
          <w:p w14:paraId="1094E4BB" w14:textId="5DF745E1" w:rsidR="008C3D35" w:rsidRPr="00EF2C58" w:rsidRDefault="008C3D35" w:rsidP="008C3D35">
            <w:pPr>
              <w:rPr>
                <w:rFonts w:ascii="Arial" w:hAnsi="Arial" w:cs="Arial"/>
                <w:b w:val="0"/>
                <w:bCs w:val="0"/>
                <w:sz w:val="18"/>
                <w:szCs w:val="18"/>
              </w:rPr>
            </w:pPr>
            <w:r w:rsidRPr="00EF2C58">
              <w:rPr>
                <w:rFonts w:ascii="Arial" w:hAnsi="Arial" w:cs="Arial"/>
                <w:b w:val="0"/>
                <w:bCs w:val="0"/>
                <w:sz w:val="18"/>
                <w:szCs w:val="18"/>
              </w:rPr>
              <w:t>Andrew Wignell</w:t>
            </w:r>
          </w:p>
        </w:tc>
        <w:tc>
          <w:tcPr>
            <w:tcW w:w="6939" w:type="dxa"/>
          </w:tcPr>
          <w:p w14:paraId="3B179940" w14:textId="3D131083" w:rsidR="008C3D35" w:rsidRPr="00EF2C58" w:rsidRDefault="00C92E28" w:rsidP="008C3D3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F2C58">
              <w:rPr>
                <w:rFonts w:ascii="Arial" w:hAnsi="Arial" w:cs="Arial"/>
                <w:sz w:val="18"/>
                <w:szCs w:val="18"/>
              </w:rPr>
              <w:t xml:space="preserve">Specialist Clinical Pharmacist. </w:t>
            </w:r>
            <w:r w:rsidR="008C3D35" w:rsidRPr="00EF2C58">
              <w:rPr>
                <w:rFonts w:ascii="Arial" w:hAnsi="Arial" w:cs="Arial"/>
                <w:sz w:val="18"/>
                <w:szCs w:val="18"/>
              </w:rPr>
              <w:t>Nottingham University Hospitals NHS Trust</w:t>
            </w:r>
          </w:p>
        </w:tc>
      </w:tr>
      <w:tr w:rsidR="008C3D35" w:rsidRPr="008E7AB8" w14:paraId="2958ECB9" w14:textId="77777777" w:rsidTr="00F22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C85740A" w14:textId="3827D138" w:rsidR="008C3D35" w:rsidRPr="00EF2C58" w:rsidRDefault="008C3D35" w:rsidP="008C3D35">
            <w:pPr>
              <w:rPr>
                <w:rFonts w:ascii="Arial" w:hAnsi="Arial" w:cs="Arial"/>
                <w:b w:val="0"/>
                <w:bCs w:val="0"/>
                <w:sz w:val="18"/>
                <w:szCs w:val="18"/>
              </w:rPr>
            </w:pPr>
            <w:r w:rsidRPr="00EF2C58">
              <w:rPr>
                <w:rFonts w:ascii="Arial" w:hAnsi="Arial" w:cs="Arial"/>
                <w:b w:val="0"/>
                <w:bCs w:val="0"/>
                <w:sz w:val="18"/>
                <w:szCs w:val="18"/>
              </w:rPr>
              <w:t>Jin On</w:t>
            </w:r>
          </w:p>
        </w:tc>
        <w:tc>
          <w:tcPr>
            <w:tcW w:w="6939" w:type="dxa"/>
          </w:tcPr>
          <w:p w14:paraId="4073A17E" w14:textId="77777777" w:rsidR="00B736FC" w:rsidRPr="00EF2C58" w:rsidRDefault="00B736FC" w:rsidP="00B736F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66C186B0" w14:textId="70EB6729" w:rsidR="008C3D35" w:rsidRPr="00EF2C58" w:rsidRDefault="00B736FC" w:rsidP="00B736F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2C58">
              <w:rPr>
                <w:rFonts w:ascii="Arial" w:hAnsi="Arial" w:cs="Arial"/>
                <w:sz w:val="18"/>
                <w:szCs w:val="18"/>
              </w:rPr>
              <w:t xml:space="preserve">PCN Clinical Pharmacist. </w:t>
            </w:r>
            <w:r w:rsidR="008C3D35" w:rsidRPr="00EF2C58">
              <w:rPr>
                <w:rFonts w:ascii="Arial" w:hAnsi="Arial" w:cs="Arial"/>
                <w:sz w:val="18"/>
                <w:szCs w:val="18"/>
              </w:rPr>
              <w:t>Blackheath Standard PMS</w:t>
            </w:r>
          </w:p>
        </w:tc>
      </w:tr>
      <w:tr w:rsidR="008C3D35" w:rsidRPr="008E7AB8" w14:paraId="50AEE7DE" w14:textId="77777777" w:rsidTr="00F22B51">
        <w:tc>
          <w:tcPr>
            <w:cnfStyle w:val="001000000000" w:firstRow="0" w:lastRow="0" w:firstColumn="1" w:lastColumn="0" w:oddVBand="0" w:evenVBand="0" w:oddHBand="0" w:evenHBand="0" w:firstRowFirstColumn="0" w:firstRowLastColumn="0" w:lastRowFirstColumn="0" w:lastRowLastColumn="0"/>
            <w:tcW w:w="2689" w:type="dxa"/>
          </w:tcPr>
          <w:p w14:paraId="537E466E" w14:textId="0228576D" w:rsidR="008C3D35" w:rsidRPr="00EF2C58" w:rsidRDefault="008C3D35" w:rsidP="008C3D35">
            <w:pPr>
              <w:rPr>
                <w:rFonts w:ascii="Arial" w:hAnsi="Arial" w:cs="Arial"/>
                <w:b w:val="0"/>
                <w:bCs w:val="0"/>
                <w:sz w:val="18"/>
                <w:szCs w:val="18"/>
              </w:rPr>
            </w:pPr>
            <w:r w:rsidRPr="00EF2C58">
              <w:rPr>
                <w:rFonts w:ascii="Arial" w:hAnsi="Arial" w:cs="Arial"/>
                <w:b w:val="0"/>
                <w:bCs w:val="0"/>
                <w:sz w:val="18"/>
                <w:szCs w:val="18"/>
              </w:rPr>
              <w:t>Margaret Dockey</w:t>
            </w:r>
          </w:p>
        </w:tc>
        <w:tc>
          <w:tcPr>
            <w:tcW w:w="6939" w:type="dxa"/>
          </w:tcPr>
          <w:p w14:paraId="2E60BFE8" w14:textId="5F536CEF" w:rsidR="008C3D35" w:rsidRPr="00EF2C58" w:rsidRDefault="007679DC" w:rsidP="008C3D3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F2C58">
              <w:rPr>
                <w:rFonts w:ascii="Arial" w:hAnsi="Arial" w:cs="Arial"/>
                <w:sz w:val="18"/>
                <w:szCs w:val="18"/>
              </w:rPr>
              <w:t xml:space="preserve">Prescriptions Information Services Manager. </w:t>
            </w:r>
            <w:r w:rsidR="00F22B51" w:rsidRPr="00EF2C58">
              <w:rPr>
                <w:rFonts w:ascii="Arial" w:hAnsi="Arial" w:cs="Arial"/>
                <w:sz w:val="18"/>
                <w:szCs w:val="18"/>
              </w:rPr>
              <w:t>NHS Business Service Authority</w:t>
            </w:r>
          </w:p>
        </w:tc>
      </w:tr>
      <w:tr w:rsidR="008C3D35" w:rsidRPr="008E7AB8" w14:paraId="27049250" w14:textId="77777777" w:rsidTr="00F22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D16D5FB" w14:textId="26B6C021" w:rsidR="008C3D35" w:rsidRPr="00EF2C58" w:rsidRDefault="008C3D35" w:rsidP="008C3D35">
            <w:pPr>
              <w:rPr>
                <w:rFonts w:ascii="Arial" w:hAnsi="Arial" w:cs="Arial"/>
                <w:b w:val="0"/>
                <w:bCs w:val="0"/>
                <w:sz w:val="18"/>
                <w:szCs w:val="18"/>
              </w:rPr>
            </w:pPr>
            <w:r w:rsidRPr="00EF2C58">
              <w:rPr>
                <w:rFonts w:ascii="Arial" w:hAnsi="Arial" w:cs="Arial"/>
                <w:b w:val="0"/>
                <w:bCs w:val="0"/>
                <w:sz w:val="18"/>
                <w:szCs w:val="18"/>
              </w:rPr>
              <w:t>Nigel Gooding</w:t>
            </w:r>
          </w:p>
        </w:tc>
        <w:tc>
          <w:tcPr>
            <w:tcW w:w="6939" w:type="dxa"/>
          </w:tcPr>
          <w:p w14:paraId="601BD699" w14:textId="0CC7185F" w:rsidR="008C3D35" w:rsidRPr="00EF2C58" w:rsidRDefault="002614E7" w:rsidP="008C3D3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2C58">
              <w:rPr>
                <w:rFonts w:ascii="Arial" w:hAnsi="Arial" w:cs="Arial"/>
                <w:sz w:val="18"/>
                <w:szCs w:val="18"/>
              </w:rPr>
              <w:t xml:space="preserve">Consultant Pharmacist – Neonates &amp; Paediatrics. </w:t>
            </w:r>
            <w:r w:rsidR="008C3D35" w:rsidRPr="00EF2C58">
              <w:rPr>
                <w:rFonts w:ascii="Arial" w:hAnsi="Arial" w:cs="Arial"/>
                <w:sz w:val="18"/>
                <w:szCs w:val="18"/>
              </w:rPr>
              <w:t xml:space="preserve">Cambridge University Hospitals NHS Foundation Trust </w:t>
            </w:r>
          </w:p>
        </w:tc>
      </w:tr>
      <w:tr w:rsidR="00746A51" w:rsidRPr="008E7AB8" w14:paraId="002F4AA7" w14:textId="77777777" w:rsidTr="00F22B51">
        <w:tc>
          <w:tcPr>
            <w:cnfStyle w:val="001000000000" w:firstRow="0" w:lastRow="0" w:firstColumn="1" w:lastColumn="0" w:oddVBand="0" w:evenVBand="0" w:oddHBand="0" w:evenHBand="0" w:firstRowFirstColumn="0" w:firstRowLastColumn="0" w:lastRowFirstColumn="0" w:lastRowLastColumn="0"/>
            <w:tcW w:w="2689" w:type="dxa"/>
          </w:tcPr>
          <w:p w14:paraId="2A80B4DE" w14:textId="191AAAE2" w:rsidR="00746A51" w:rsidRPr="00EF2C58" w:rsidRDefault="00746A51" w:rsidP="008C3D35">
            <w:pPr>
              <w:rPr>
                <w:rFonts w:ascii="Arial" w:hAnsi="Arial" w:cs="Arial"/>
                <w:b w:val="0"/>
                <w:bCs w:val="0"/>
                <w:sz w:val="18"/>
                <w:szCs w:val="18"/>
              </w:rPr>
            </w:pPr>
            <w:r w:rsidRPr="00EF2C58">
              <w:rPr>
                <w:rFonts w:ascii="Arial" w:hAnsi="Arial" w:cs="Arial"/>
                <w:b w:val="0"/>
                <w:bCs w:val="0"/>
                <w:sz w:val="18"/>
                <w:szCs w:val="18"/>
              </w:rPr>
              <w:t>Alison Metcalfe</w:t>
            </w:r>
          </w:p>
        </w:tc>
        <w:tc>
          <w:tcPr>
            <w:tcW w:w="6939" w:type="dxa"/>
          </w:tcPr>
          <w:p w14:paraId="26A76DE2" w14:textId="1C6EB68C" w:rsidR="00746A51" w:rsidRPr="00EF2C58" w:rsidRDefault="00E0383C" w:rsidP="008C3D3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F2C58">
              <w:rPr>
                <w:rFonts w:ascii="Arial" w:hAnsi="Arial" w:cs="Arial"/>
                <w:sz w:val="18"/>
                <w:szCs w:val="18"/>
              </w:rPr>
              <w:t xml:space="preserve">Head of Professional and Clinical Services. </w:t>
            </w:r>
            <w:r w:rsidR="00D574E5" w:rsidRPr="00EF2C58">
              <w:rPr>
                <w:rFonts w:ascii="Arial" w:hAnsi="Arial" w:cs="Arial"/>
                <w:sz w:val="18"/>
                <w:szCs w:val="18"/>
              </w:rPr>
              <w:t>NHS Business Services Authority</w:t>
            </w:r>
          </w:p>
        </w:tc>
      </w:tr>
    </w:tbl>
    <w:p w14:paraId="665638E5" w14:textId="03BF6FBE" w:rsidR="00510F98" w:rsidRPr="008E7AB8" w:rsidRDefault="00510F98" w:rsidP="00EE08DC">
      <w:pPr>
        <w:rPr>
          <w:rFonts w:ascii="Arial" w:hAnsi="Arial" w:cs="Arial"/>
        </w:rPr>
      </w:pPr>
    </w:p>
    <w:p w14:paraId="622E8604" w14:textId="4A20FABE" w:rsidR="00E22FB7" w:rsidRPr="008E7AB8" w:rsidRDefault="00E22FB7">
      <w:pPr>
        <w:spacing w:after="0" w:line="240" w:lineRule="auto"/>
        <w:rPr>
          <w:rFonts w:ascii="Arial" w:hAnsi="Arial" w:cs="Arial"/>
        </w:rPr>
      </w:pPr>
      <w:r w:rsidRPr="008E7AB8">
        <w:rPr>
          <w:rFonts w:ascii="Arial" w:hAnsi="Arial" w:cs="Arial"/>
        </w:rPr>
        <w:br w:type="page"/>
      </w:r>
    </w:p>
    <w:p w14:paraId="6E40174C" w14:textId="40C48D1E" w:rsidR="00E22FB7" w:rsidRPr="008E7AB8" w:rsidRDefault="00E22FB7" w:rsidP="008E7AB8">
      <w:pPr>
        <w:pStyle w:val="Heading1"/>
      </w:pPr>
      <w:bookmarkStart w:id="75" w:name="_Toc117243506"/>
      <w:r w:rsidRPr="008E7AB8">
        <w:lastRenderedPageBreak/>
        <w:t>References</w:t>
      </w:r>
      <w:bookmarkEnd w:id="75"/>
    </w:p>
    <w:p w14:paraId="4F669E40" w14:textId="58C0D39F" w:rsidR="00E22FB7" w:rsidRPr="008E7AB8" w:rsidRDefault="00E22FB7" w:rsidP="00EE08DC">
      <w:pPr>
        <w:rPr>
          <w:rFonts w:ascii="Arial" w:hAnsi="Arial" w:cs="Arial"/>
        </w:rPr>
      </w:pPr>
    </w:p>
    <w:p w14:paraId="7883525A" w14:textId="6B05F386" w:rsidR="00E22FB7" w:rsidRDefault="00AB662C" w:rsidP="00EE08DC">
      <w:pPr>
        <w:rPr>
          <w:rFonts w:ascii="Arial" w:hAnsi="Arial" w:cs="Arial"/>
        </w:rPr>
      </w:pPr>
      <w:hyperlink r:id="rId13" w:history="1">
        <w:r w:rsidR="0001148D" w:rsidRPr="00273000">
          <w:rPr>
            <w:rStyle w:val="Hyperlink"/>
            <w:rFonts w:ascii="Arial" w:hAnsi="Arial" w:cs="Arial"/>
          </w:rPr>
          <w:t>http://nppg.org.uk/standardised-strengths-of-liquid-medicines-for-children/</w:t>
        </w:r>
      </w:hyperlink>
      <w:bookmarkEnd w:id="72"/>
    </w:p>
    <w:p w14:paraId="2DF55C64" w14:textId="5E5C531D" w:rsidR="0001148D" w:rsidRDefault="0001148D" w:rsidP="00EE08DC">
      <w:pPr>
        <w:rPr>
          <w:rFonts w:ascii="Arial" w:hAnsi="Arial" w:cs="Arial"/>
        </w:rPr>
      </w:pPr>
    </w:p>
    <w:p w14:paraId="16ED6E0F" w14:textId="35C1E9DE" w:rsidR="0001148D" w:rsidRDefault="00AB662C" w:rsidP="00EE08DC">
      <w:pPr>
        <w:rPr>
          <w:rFonts w:ascii="Arial" w:hAnsi="Arial" w:cs="Arial"/>
        </w:rPr>
      </w:pPr>
      <w:hyperlink r:id="rId14" w:history="1">
        <w:r w:rsidR="0001148D" w:rsidRPr="00273000">
          <w:rPr>
            <w:rStyle w:val="Hyperlink"/>
            <w:rFonts w:ascii="Arial" w:hAnsi="Arial" w:cs="Arial"/>
          </w:rPr>
          <w:t>https://www.nhsbsa.nhs.uk/pharmacies-gp-practices-and-appliance-contractors/payments-and-pricing/how-we-process-prescriptions</w:t>
        </w:r>
      </w:hyperlink>
    </w:p>
    <w:p w14:paraId="486F04A9" w14:textId="0826D318" w:rsidR="0001148D" w:rsidRDefault="0001148D" w:rsidP="00EE08DC">
      <w:pPr>
        <w:rPr>
          <w:rFonts w:ascii="Arial" w:hAnsi="Arial" w:cs="Arial"/>
        </w:rPr>
      </w:pPr>
    </w:p>
    <w:p w14:paraId="547CEB40" w14:textId="77777777" w:rsidR="0001148D" w:rsidRPr="008E7AB8" w:rsidDel="00E94D5C" w:rsidRDefault="0001148D" w:rsidP="00EE08DC">
      <w:pPr>
        <w:rPr>
          <w:rFonts w:ascii="Arial" w:hAnsi="Arial" w:cs="Arial"/>
        </w:rPr>
      </w:pPr>
    </w:p>
    <w:sectPr w:rsidR="0001148D" w:rsidRPr="008E7AB8" w:rsidDel="00E94D5C" w:rsidSect="00236664">
      <w:footerReference w:type="default" r:id="rId15"/>
      <w:headerReference w:type="first" r:id="rId16"/>
      <w:footerReference w:type="first" r:id="rId17"/>
      <w:pgSz w:w="11906" w:h="16838"/>
      <w:pgMar w:top="1077" w:right="1134" w:bottom="107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1C4B2" w14:textId="77777777" w:rsidR="00465E80" w:rsidRDefault="00465E80" w:rsidP="00672984">
      <w:pPr>
        <w:spacing w:after="0" w:line="240" w:lineRule="auto"/>
      </w:pPr>
      <w:r>
        <w:separator/>
      </w:r>
    </w:p>
  </w:endnote>
  <w:endnote w:type="continuationSeparator" w:id="0">
    <w:p w14:paraId="644AFCFD" w14:textId="77777777" w:rsidR="00465E80" w:rsidRDefault="00465E80" w:rsidP="0067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6B94" w14:textId="7F27C680" w:rsidR="00EB75DD" w:rsidRPr="00EB75DD" w:rsidRDefault="00AB662C" w:rsidP="00EB75DD">
    <w:pPr>
      <w:rPr>
        <w:rFonts w:ascii="Arial" w:hAnsi="Arial" w:cs="Arial"/>
        <w:sz w:val="20"/>
        <w:szCs w:val="20"/>
      </w:rPr>
    </w:pPr>
    <w:r>
      <w:t>V1.0 03/11/2022</w:t>
    </w:r>
    <w:r w:rsidR="00EB75DD">
      <w:tab/>
    </w:r>
    <w:r w:rsidR="00EB75DD">
      <w:tab/>
    </w:r>
    <w:r w:rsidR="00EB75DD">
      <w:tab/>
    </w:r>
    <w:r w:rsidR="00EB75DD">
      <w:tab/>
      <w:t xml:space="preserve">Page </w:t>
    </w:r>
    <w:r w:rsidR="00EB75DD">
      <w:rPr>
        <w:b/>
        <w:bCs/>
        <w:sz w:val="24"/>
        <w:szCs w:val="24"/>
      </w:rPr>
      <w:fldChar w:fldCharType="begin"/>
    </w:r>
    <w:r w:rsidR="00EB75DD">
      <w:rPr>
        <w:b/>
        <w:bCs/>
      </w:rPr>
      <w:instrText xml:space="preserve"> PAGE </w:instrText>
    </w:r>
    <w:r w:rsidR="00EB75DD">
      <w:rPr>
        <w:b/>
        <w:bCs/>
        <w:sz w:val="24"/>
        <w:szCs w:val="24"/>
      </w:rPr>
      <w:fldChar w:fldCharType="separate"/>
    </w:r>
    <w:r w:rsidR="00E46139">
      <w:rPr>
        <w:b/>
        <w:bCs/>
        <w:noProof/>
      </w:rPr>
      <w:t>17</w:t>
    </w:r>
    <w:r w:rsidR="00EB75DD">
      <w:rPr>
        <w:b/>
        <w:bCs/>
        <w:sz w:val="24"/>
        <w:szCs w:val="24"/>
      </w:rPr>
      <w:fldChar w:fldCharType="end"/>
    </w:r>
    <w:r w:rsidR="00EB75DD">
      <w:t xml:space="preserve"> of </w:t>
    </w:r>
    <w:r w:rsidR="00EB75DD">
      <w:rPr>
        <w:b/>
        <w:bCs/>
        <w:sz w:val="24"/>
        <w:szCs w:val="24"/>
      </w:rPr>
      <w:fldChar w:fldCharType="begin"/>
    </w:r>
    <w:r w:rsidR="00EB75DD">
      <w:rPr>
        <w:b/>
        <w:bCs/>
      </w:rPr>
      <w:instrText xml:space="preserve"> NUMPAGES  </w:instrText>
    </w:r>
    <w:r w:rsidR="00EB75DD">
      <w:rPr>
        <w:b/>
        <w:bCs/>
        <w:sz w:val="24"/>
        <w:szCs w:val="24"/>
      </w:rPr>
      <w:fldChar w:fldCharType="separate"/>
    </w:r>
    <w:r w:rsidR="00E46139">
      <w:rPr>
        <w:b/>
        <w:bCs/>
        <w:noProof/>
      </w:rPr>
      <w:t>20</w:t>
    </w:r>
    <w:r w:rsidR="00EB75DD">
      <w:rPr>
        <w:b/>
        <w:bCs/>
        <w:sz w:val="24"/>
        <w:szCs w:val="24"/>
      </w:rPr>
      <w:fldChar w:fldCharType="end"/>
    </w:r>
    <w:r w:rsidR="00EB75DD" w:rsidRPr="00382508">
      <w:rPr>
        <w:rFonts w:ascii="Arial" w:hAnsi="Arial" w:cs="Arial"/>
        <w:sz w:val="20"/>
        <w:szCs w:val="20"/>
      </w:rPr>
      <w:t xml:space="preserve"> </w:t>
    </w:r>
    <w:r w:rsidR="00EB75DD">
      <w:rPr>
        <w:rFonts w:ascii="Arial" w:hAnsi="Arial" w:cs="Arial"/>
        <w:sz w:val="20"/>
        <w:szCs w:val="20"/>
      </w:rPr>
      <w:tab/>
    </w:r>
    <w:r w:rsidR="00EB75DD">
      <w:rPr>
        <w:rFonts w:ascii="Arial" w:hAnsi="Arial" w:cs="Arial"/>
        <w:sz w:val="20"/>
        <w:szCs w:val="20"/>
      </w:rPr>
      <w:tab/>
    </w:r>
    <w:r w:rsidR="00EB75DD">
      <w:rPr>
        <w:rFonts w:ascii="Arial" w:hAnsi="Arial" w:cs="Arial"/>
        <w:sz w:val="20"/>
        <w:szCs w:val="20"/>
      </w:rPr>
      <w:tab/>
    </w:r>
    <w:r w:rsidR="00EB75DD">
      <w:rPr>
        <w:rFonts w:ascii="Arial" w:hAnsi="Arial" w:cs="Arial"/>
        <w:sz w:val="20"/>
        <w:szCs w:val="20"/>
      </w:rPr>
      <w:tab/>
      <w:t>NHSBSA Copyright 20</w:t>
    </w:r>
    <w:r w:rsidR="00EB75DD" w:rsidRPr="00E46139">
      <w:rPr>
        <w:rFonts w:ascii="Arial" w:hAnsi="Arial" w:cs="Arial"/>
        <w:sz w:val="20"/>
        <w:szCs w:val="20"/>
      </w:rPr>
      <w:t>2</w:t>
    </w:r>
    <w:r w:rsidR="00235E24">
      <w:rPr>
        <w:rFonts w:ascii="Arial" w:hAnsi="Arial" w:cs="Arial"/>
        <w:sz w:val="20"/>
        <w:szCs w:val="20"/>
      </w:rPr>
      <w:t>2</w:t>
    </w:r>
    <w:r w:rsidR="00EB75DD">
      <w:rPr>
        <w:b/>
        <w:bCs/>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F2B6" w14:textId="1765BA20" w:rsidR="00EB75DD" w:rsidRPr="00EB75DD" w:rsidRDefault="00E46139" w:rsidP="00EB75DD">
    <w:pPr>
      <w:rPr>
        <w:rFonts w:ascii="Arial" w:hAnsi="Arial" w:cs="Arial"/>
        <w:sz w:val="20"/>
        <w:szCs w:val="20"/>
      </w:rPr>
    </w:pPr>
    <w:r>
      <w:t>V</w:t>
    </w:r>
    <w:r w:rsidR="00AB662C">
      <w:t>1</w:t>
    </w:r>
    <w:r>
      <w:t>.</w:t>
    </w:r>
    <w:r w:rsidR="00AB662C">
      <w:t>0</w:t>
    </w:r>
    <w:r>
      <w:t xml:space="preserve"> </w:t>
    </w:r>
    <w:r w:rsidR="00AB662C">
      <w:t>03</w:t>
    </w:r>
    <w:r w:rsidR="00304514">
      <w:t>/</w:t>
    </w:r>
    <w:r w:rsidR="00236664">
      <w:t>1</w:t>
    </w:r>
    <w:r w:rsidR="00AB662C">
      <w:t>1</w:t>
    </w:r>
    <w:r w:rsidR="00304514">
      <w:t>/2022</w:t>
    </w:r>
    <w:r w:rsidR="00EB75DD">
      <w:tab/>
    </w:r>
    <w:r w:rsidR="00EB75DD">
      <w:tab/>
    </w:r>
    <w:r w:rsidR="00EB75DD">
      <w:tab/>
    </w:r>
    <w:r w:rsidR="00EB75DD">
      <w:tab/>
      <w:t xml:space="preserve">Page </w:t>
    </w:r>
    <w:r w:rsidR="00EB75DD">
      <w:rPr>
        <w:b/>
        <w:bCs/>
        <w:sz w:val="24"/>
        <w:szCs w:val="24"/>
      </w:rPr>
      <w:fldChar w:fldCharType="begin"/>
    </w:r>
    <w:r w:rsidR="00EB75DD">
      <w:rPr>
        <w:b/>
        <w:bCs/>
      </w:rPr>
      <w:instrText xml:space="preserve"> PAGE </w:instrText>
    </w:r>
    <w:r w:rsidR="00EB75DD">
      <w:rPr>
        <w:b/>
        <w:bCs/>
        <w:sz w:val="24"/>
        <w:szCs w:val="24"/>
      </w:rPr>
      <w:fldChar w:fldCharType="separate"/>
    </w:r>
    <w:r>
      <w:rPr>
        <w:b/>
        <w:bCs/>
        <w:noProof/>
      </w:rPr>
      <w:t>1</w:t>
    </w:r>
    <w:r w:rsidR="00EB75DD">
      <w:rPr>
        <w:b/>
        <w:bCs/>
        <w:sz w:val="24"/>
        <w:szCs w:val="24"/>
      </w:rPr>
      <w:fldChar w:fldCharType="end"/>
    </w:r>
    <w:r w:rsidR="00EB75DD">
      <w:t xml:space="preserve"> of </w:t>
    </w:r>
    <w:r w:rsidR="00EB75DD">
      <w:rPr>
        <w:b/>
        <w:bCs/>
        <w:sz w:val="24"/>
        <w:szCs w:val="24"/>
      </w:rPr>
      <w:fldChar w:fldCharType="begin"/>
    </w:r>
    <w:r w:rsidR="00EB75DD">
      <w:rPr>
        <w:b/>
        <w:bCs/>
      </w:rPr>
      <w:instrText xml:space="preserve"> NUMPAGES  </w:instrText>
    </w:r>
    <w:r w:rsidR="00EB75DD">
      <w:rPr>
        <w:b/>
        <w:bCs/>
        <w:sz w:val="24"/>
        <w:szCs w:val="24"/>
      </w:rPr>
      <w:fldChar w:fldCharType="separate"/>
    </w:r>
    <w:r>
      <w:rPr>
        <w:b/>
        <w:bCs/>
        <w:noProof/>
      </w:rPr>
      <w:t>20</w:t>
    </w:r>
    <w:r w:rsidR="00EB75DD">
      <w:rPr>
        <w:b/>
        <w:bCs/>
        <w:sz w:val="24"/>
        <w:szCs w:val="24"/>
      </w:rPr>
      <w:fldChar w:fldCharType="end"/>
    </w:r>
    <w:r w:rsidR="00EB75DD">
      <w:rPr>
        <w:b/>
        <w:bCs/>
        <w:sz w:val="24"/>
        <w:szCs w:val="24"/>
      </w:rPr>
      <w:t xml:space="preserve"> </w:t>
    </w:r>
    <w:r w:rsidR="00EB75DD">
      <w:rPr>
        <w:b/>
        <w:bCs/>
        <w:sz w:val="24"/>
        <w:szCs w:val="24"/>
      </w:rPr>
      <w:tab/>
    </w:r>
    <w:r w:rsidR="00EB75DD">
      <w:rPr>
        <w:b/>
        <w:bCs/>
        <w:sz w:val="24"/>
        <w:szCs w:val="24"/>
      </w:rPr>
      <w:tab/>
    </w:r>
    <w:r w:rsidR="00EB75DD">
      <w:rPr>
        <w:b/>
        <w:bCs/>
        <w:sz w:val="24"/>
        <w:szCs w:val="24"/>
      </w:rPr>
      <w:tab/>
    </w:r>
    <w:r w:rsidR="00EB75DD">
      <w:rPr>
        <w:b/>
        <w:bCs/>
        <w:sz w:val="24"/>
        <w:szCs w:val="24"/>
      </w:rPr>
      <w:tab/>
    </w:r>
    <w:r w:rsidR="00EB75DD">
      <w:rPr>
        <w:rFonts w:ascii="Arial" w:hAnsi="Arial" w:cs="Arial"/>
        <w:sz w:val="20"/>
        <w:szCs w:val="20"/>
      </w:rPr>
      <w:t>NHSBSA Copyright 202</w:t>
    </w:r>
    <w:r w:rsidR="00304514">
      <w:rPr>
        <w:rFonts w:ascii="Arial" w:hAnsi="Arial" w:cs="Arial"/>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1B80A" w14:textId="77777777" w:rsidR="00465E80" w:rsidRDefault="00465E80" w:rsidP="00672984">
      <w:pPr>
        <w:spacing w:after="0" w:line="240" w:lineRule="auto"/>
      </w:pPr>
      <w:r>
        <w:separator/>
      </w:r>
    </w:p>
  </w:footnote>
  <w:footnote w:type="continuationSeparator" w:id="0">
    <w:p w14:paraId="798A6349" w14:textId="77777777" w:rsidR="00465E80" w:rsidRDefault="00465E80" w:rsidP="00672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CB96" w14:textId="04AD3A90" w:rsidR="00EB75DD" w:rsidRDefault="00A66266">
    <w:pPr>
      <w:pStyle w:val="Header"/>
    </w:pPr>
    <w:r>
      <w:rPr>
        <w:noProof/>
      </w:rPr>
      <w:drawing>
        <wp:anchor distT="0" distB="0" distL="114300" distR="114300" simplePos="0" relativeHeight="251657728" behindDoc="1" locked="0" layoutInCell="1" allowOverlap="1" wp14:anchorId="40A4C64A" wp14:editId="282092D2">
          <wp:simplePos x="0" y="0"/>
          <wp:positionH relativeFrom="column">
            <wp:posOffset>-720090</wp:posOffset>
          </wp:positionH>
          <wp:positionV relativeFrom="paragraph">
            <wp:posOffset>0</wp:posOffset>
          </wp:positionV>
          <wp:extent cx="7559675" cy="1543050"/>
          <wp:effectExtent l="0" t="0" r="0" b="0"/>
          <wp:wrapTight wrapText="bothSides">
            <wp:wrapPolygon edited="0">
              <wp:start x="0" y="0"/>
              <wp:lineTo x="0" y="21333"/>
              <wp:lineTo x="21555" y="21333"/>
              <wp:lineTo x="21555"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982191" w14:textId="77777777" w:rsidR="00EB75DD" w:rsidRDefault="00EB75DD" w:rsidP="00E908E2">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12EF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581EEB"/>
    <w:multiLevelType w:val="hybridMultilevel"/>
    <w:tmpl w:val="35685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02297D"/>
    <w:multiLevelType w:val="hybridMultilevel"/>
    <w:tmpl w:val="203AD1A6"/>
    <w:lvl w:ilvl="0" w:tplc="7A1882FA">
      <w:start w:val="1"/>
      <w:numFmt w:val="bullet"/>
      <w:lvlText w:val="•"/>
      <w:lvlJc w:val="left"/>
      <w:pPr>
        <w:tabs>
          <w:tab w:val="num" w:pos="720"/>
        </w:tabs>
        <w:ind w:left="720" w:hanging="360"/>
      </w:pPr>
      <w:rPr>
        <w:rFonts w:ascii="Arial" w:hAnsi="Arial" w:hint="default"/>
      </w:rPr>
    </w:lvl>
    <w:lvl w:ilvl="1" w:tplc="307C658E">
      <w:numFmt w:val="none"/>
      <w:lvlText w:val=""/>
      <w:lvlJc w:val="left"/>
      <w:pPr>
        <w:tabs>
          <w:tab w:val="num" w:pos="360"/>
        </w:tabs>
      </w:pPr>
    </w:lvl>
    <w:lvl w:ilvl="2" w:tplc="93549EBA" w:tentative="1">
      <w:start w:val="1"/>
      <w:numFmt w:val="bullet"/>
      <w:lvlText w:val="•"/>
      <w:lvlJc w:val="left"/>
      <w:pPr>
        <w:tabs>
          <w:tab w:val="num" w:pos="2160"/>
        </w:tabs>
        <w:ind w:left="2160" w:hanging="360"/>
      </w:pPr>
      <w:rPr>
        <w:rFonts w:ascii="Arial" w:hAnsi="Arial" w:hint="default"/>
      </w:rPr>
    </w:lvl>
    <w:lvl w:ilvl="3" w:tplc="DFE86D8E" w:tentative="1">
      <w:start w:val="1"/>
      <w:numFmt w:val="bullet"/>
      <w:lvlText w:val="•"/>
      <w:lvlJc w:val="left"/>
      <w:pPr>
        <w:tabs>
          <w:tab w:val="num" w:pos="2880"/>
        </w:tabs>
        <w:ind w:left="2880" w:hanging="360"/>
      </w:pPr>
      <w:rPr>
        <w:rFonts w:ascii="Arial" w:hAnsi="Arial" w:hint="default"/>
      </w:rPr>
    </w:lvl>
    <w:lvl w:ilvl="4" w:tplc="4BF8DE62" w:tentative="1">
      <w:start w:val="1"/>
      <w:numFmt w:val="bullet"/>
      <w:lvlText w:val="•"/>
      <w:lvlJc w:val="left"/>
      <w:pPr>
        <w:tabs>
          <w:tab w:val="num" w:pos="3600"/>
        </w:tabs>
        <w:ind w:left="3600" w:hanging="360"/>
      </w:pPr>
      <w:rPr>
        <w:rFonts w:ascii="Arial" w:hAnsi="Arial" w:hint="default"/>
      </w:rPr>
    </w:lvl>
    <w:lvl w:ilvl="5" w:tplc="0A8A9C0E" w:tentative="1">
      <w:start w:val="1"/>
      <w:numFmt w:val="bullet"/>
      <w:lvlText w:val="•"/>
      <w:lvlJc w:val="left"/>
      <w:pPr>
        <w:tabs>
          <w:tab w:val="num" w:pos="4320"/>
        </w:tabs>
        <w:ind w:left="4320" w:hanging="360"/>
      </w:pPr>
      <w:rPr>
        <w:rFonts w:ascii="Arial" w:hAnsi="Arial" w:hint="default"/>
      </w:rPr>
    </w:lvl>
    <w:lvl w:ilvl="6" w:tplc="4EACA196" w:tentative="1">
      <w:start w:val="1"/>
      <w:numFmt w:val="bullet"/>
      <w:lvlText w:val="•"/>
      <w:lvlJc w:val="left"/>
      <w:pPr>
        <w:tabs>
          <w:tab w:val="num" w:pos="5040"/>
        </w:tabs>
        <w:ind w:left="5040" w:hanging="360"/>
      </w:pPr>
      <w:rPr>
        <w:rFonts w:ascii="Arial" w:hAnsi="Arial" w:hint="default"/>
      </w:rPr>
    </w:lvl>
    <w:lvl w:ilvl="7" w:tplc="9EB8A61C" w:tentative="1">
      <w:start w:val="1"/>
      <w:numFmt w:val="bullet"/>
      <w:lvlText w:val="•"/>
      <w:lvlJc w:val="left"/>
      <w:pPr>
        <w:tabs>
          <w:tab w:val="num" w:pos="5760"/>
        </w:tabs>
        <w:ind w:left="5760" w:hanging="360"/>
      </w:pPr>
      <w:rPr>
        <w:rFonts w:ascii="Arial" w:hAnsi="Arial" w:hint="default"/>
      </w:rPr>
    </w:lvl>
    <w:lvl w:ilvl="8" w:tplc="FAECFC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D520D9"/>
    <w:multiLevelType w:val="hybridMultilevel"/>
    <w:tmpl w:val="8AEC0DF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F2526"/>
    <w:multiLevelType w:val="hybridMultilevel"/>
    <w:tmpl w:val="ADF06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60AF1"/>
    <w:multiLevelType w:val="hybridMultilevel"/>
    <w:tmpl w:val="805E3CE0"/>
    <w:lvl w:ilvl="0" w:tplc="DF125620">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1681C"/>
    <w:multiLevelType w:val="hybridMultilevel"/>
    <w:tmpl w:val="861EA2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635717"/>
    <w:multiLevelType w:val="hybridMultilevel"/>
    <w:tmpl w:val="BB308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4F368A"/>
    <w:multiLevelType w:val="hybridMultilevel"/>
    <w:tmpl w:val="19788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20C2E"/>
    <w:multiLevelType w:val="hybridMultilevel"/>
    <w:tmpl w:val="DA36D03E"/>
    <w:lvl w:ilvl="0" w:tplc="DF125620">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8B2E5D"/>
    <w:multiLevelType w:val="hybridMultilevel"/>
    <w:tmpl w:val="586EE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8F5030"/>
    <w:multiLevelType w:val="hybridMultilevel"/>
    <w:tmpl w:val="EA4E6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94E7B"/>
    <w:multiLevelType w:val="hybridMultilevel"/>
    <w:tmpl w:val="25744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3B54BF"/>
    <w:multiLevelType w:val="hybridMultilevel"/>
    <w:tmpl w:val="51686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F6F78"/>
    <w:multiLevelType w:val="hybridMultilevel"/>
    <w:tmpl w:val="36329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BE0341"/>
    <w:multiLevelType w:val="hybridMultilevel"/>
    <w:tmpl w:val="163A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A4E98"/>
    <w:multiLevelType w:val="hybridMultilevel"/>
    <w:tmpl w:val="A7F290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A4F5433"/>
    <w:multiLevelType w:val="hybridMultilevel"/>
    <w:tmpl w:val="04742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5E1E3F"/>
    <w:multiLevelType w:val="hybridMultilevel"/>
    <w:tmpl w:val="32CC3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C34E4F"/>
    <w:multiLevelType w:val="hybridMultilevel"/>
    <w:tmpl w:val="D56E5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EC67C3"/>
    <w:multiLevelType w:val="hybridMultilevel"/>
    <w:tmpl w:val="C38082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78C74101"/>
    <w:multiLevelType w:val="hybridMultilevel"/>
    <w:tmpl w:val="CDD4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3901776">
    <w:abstractNumId w:val="14"/>
  </w:num>
  <w:num w:numId="2" w16cid:durableId="748892209">
    <w:abstractNumId w:val="0"/>
  </w:num>
  <w:num w:numId="3" w16cid:durableId="1230191155">
    <w:abstractNumId w:val="3"/>
  </w:num>
  <w:num w:numId="4" w16cid:durableId="1323504627">
    <w:abstractNumId w:val="12"/>
  </w:num>
  <w:num w:numId="5" w16cid:durableId="2122065318">
    <w:abstractNumId w:val="1"/>
  </w:num>
  <w:num w:numId="6" w16cid:durableId="852374882">
    <w:abstractNumId w:val="19"/>
  </w:num>
  <w:num w:numId="7" w16cid:durableId="1456830402">
    <w:abstractNumId w:val="20"/>
  </w:num>
  <w:num w:numId="8" w16cid:durableId="1555700240">
    <w:abstractNumId w:val="22"/>
  </w:num>
  <w:num w:numId="9" w16cid:durableId="557472408">
    <w:abstractNumId w:val="16"/>
  </w:num>
  <w:num w:numId="10" w16cid:durableId="1370183315">
    <w:abstractNumId w:val="9"/>
  </w:num>
  <w:num w:numId="11" w16cid:durableId="731346299">
    <w:abstractNumId w:val="21"/>
  </w:num>
  <w:num w:numId="12" w16cid:durableId="1271351620">
    <w:abstractNumId w:val="8"/>
  </w:num>
  <w:num w:numId="13" w16cid:durableId="946472685">
    <w:abstractNumId w:val="15"/>
  </w:num>
  <w:num w:numId="14" w16cid:durableId="2116947003">
    <w:abstractNumId w:val="18"/>
  </w:num>
  <w:num w:numId="15" w16cid:durableId="1408575309">
    <w:abstractNumId w:val="4"/>
  </w:num>
  <w:num w:numId="16" w16cid:durableId="592396454">
    <w:abstractNumId w:val="7"/>
  </w:num>
  <w:num w:numId="17" w16cid:durableId="1340963299">
    <w:abstractNumId w:val="13"/>
  </w:num>
  <w:num w:numId="18" w16cid:durableId="976029249">
    <w:abstractNumId w:val="6"/>
  </w:num>
  <w:num w:numId="19" w16cid:durableId="1264609246">
    <w:abstractNumId w:val="10"/>
  </w:num>
  <w:num w:numId="20" w16cid:durableId="351614369">
    <w:abstractNumId w:val="22"/>
  </w:num>
  <w:num w:numId="21" w16cid:durableId="1333416768">
    <w:abstractNumId w:val="2"/>
  </w:num>
  <w:num w:numId="22" w16cid:durableId="1192954338">
    <w:abstractNumId w:val="11"/>
  </w:num>
  <w:num w:numId="23" w16cid:durableId="1908228682">
    <w:abstractNumId w:val="17"/>
  </w:num>
  <w:num w:numId="24" w16cid:durableId="1522433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84"/>
    <w:rsid w:val="00000491"/>
    <w:rsid w:val="00001051"/>
    <w:rsid w:val="00003630"/>
    <w:rsid w:val="000054F5"/>
    <w:rsid w:val="0000635B"/>
    <w:rsid w:val="0001148D"/>
    <w:rsid w:val="00015B6D"/>
    <w:rsid w:val="0001604D"/>
    <w:rsid w:val="00017956"/>
    <w:rsid w:val="00017C08"/>
    <w:rsid w:val="00020033"/>
    <w:rsid w:val="000225AA"/>
    <w:rsid w:val="000351A4"/>
    <w:rsid w:val="00036AB8"/>
    <w:rsid w:val="00040A19"/>
    <w:rsid w:val="000414BE"/>
    <w:rsid w:val="000431C9"/>
    <w:rsid w:val="00046E1C"/>
    <w:rsid w:val="00050B3E"/>
    <w:rsid w:val="00052F05"/>
    <w:rsid w:val="0005350C"/>
    <w:rsid w:val="00057649"/>
    <w:rsid w:val="00057C6E"/>
    <w:rsid w:val="000630F0"/>
    <w:rsid w:val="00065E06"/>
    <w:rsid w:val="00071D61"/>
    <w:rsid w:val="00072A76"/>
    <w:rsid w:val="0007597E"/>
    <w:rsid w:val="0008014E"/>
    <w:rsid w:val="000826DF"/>
    <w:rsid w:val="0008321A"/>
    <w:rsid w:val="000873A1"/>
    <w:rsid w:val="0009073D"/>
    <w:rsid w:val="00095790"/>
    <w:rsid w:val="00095EDB"/>
    <w:rsid w:val="000A2590"/>
    <w:rsid w:val="000A4229"/>
    <w:rsid w:val="000B0919"/>
    <w:rsid w:val="000B1E27"/>
    <w:rsid w:val="000B5F62"/>
    <w:rsid w:val="000B7C62"/>
    <w:rsid w:val="000B7C66"/>
    <w:rsid w:val="000C0AFC"/>
    <w:rsid w:val="000C33B0"/>
    <w:rsid w:val="000C78A8"/>
    <w:rsid w:val="000D1053"/>
    <w:rsid w:val="000D1630"/>
    <w:rsid w:val="000D422A"/>
    <w:rsid w:val="000D4DB5"/>
    <w:rsid w:val="000E03F7"/>
    <w:rsid w:val="000E0FEF"/>
    <w:rsid w:val="000E1505"/>
    <w:rsid w:val="000F00BF"/>
    <w:rsid w:val="000F14F4"/>
    <w:rsid w:val="000F2410"/>
    <w:rsid w:val="000F28A8"/>
    <w:rsid w:val="000F45D0"/>
    <w:rsid w:val="000F6BF8"/>
    <w:rsid w:val="00100DAF"/>
    <w:rsid w:val="00101AD7"/>
    <w:rsid w:val="0010322A"/>
    <w:rsid w:val="00104A00"/>
    <w:rsid w:val="00104DC9"/>
    <w:rsid w:val="001067C4"/>
    <w:rsid w:val="001067D3"/>
    <w:rsid w:val="00106C61"/>
    <w:rsid w:val="00107415"/>
    <w:rsid w:val="0011061F"/>
    <w:rsid w:val="001138D7"/>
    <w:rsid w:val="00113CFB"/>
    <w:rsid w:val="00114984"/>
    <w:rsid w:val="001167B2"/>
    <w:rsid w:val="00116E0A"/>
    <w:rsid w:val="00120B9B"/>
    <w:rsid w:val="0012208A"/>
    <w:rsid w:val="00124700"/>
    <w:rsid w:val="001250D4"/>
    <w:rsid w:val="001319AF"/>
    <w:rsid w:val="00137421"/>
    <w:rsid w:val="00140367"/>
    <w:rsid w:val="0014336E"/>
    <w:rsid w:val="0014638F"/>
    <w:rsid w:val="00151A6F"/>
    <w:rsid w:val="00157749"/>
    <w:rsid w:val="001604DE"/>
    <w:rsid w:val="0016157E"/>
    <w:rsid w:val="0016469C"/>
    <w:rsid w:val="00164703"/>
    <w:rsid w:val="00165382"/>
    <w:rsid w:val="00166180"/>
    <w:rsid w:val="00171452"/>
    <w:rsid w:val="00172BA1"/>
    <w:rsid w:val="00173E27"/>
    <w:rsid w:val="001776D6"/>
    <w:rsid w:val="00180ED9"/>
    <w:rsid w:val="0018316F"/>
    <w:rsid w:val="00184AE3"/>
    <w:rsid w:val="00184EB6"/>
    <w:rsid w:val="001874D9"/>
    <w:rsid w:val="00191CC3"/>
    <w:rsid w:val="00193A73"/>
    <w:rsid w:val="001974D8"/>
    <w:rsid w:val="0019786B"/>
    <w:rsid w:val="001A187D"/>
    <w:rsid w:val="001A2A10"/>
    <w:rsid w:val="001A3BB3"/>
    <w:rsid w:val="001B176A"/>
    <w:rsid w:val="001B4A8E"/>
    <w:rsid w:val="001B5276"/>
    <w:rsid w:val="001B6EC3"/>
    <w:rsid w:val="001B74BA"/>
    <w:rsid w:val="001B7EF6"/>
    <w:rsid w:val="001C2393"/>
    <w:rsid w:val="001C377F"/>
    <w:rsid w:val="001C451D"/>
    <w:rsid w:val="001C494E"/>
    <w:rsid w:val="001C53C3"/>
    <w:rsid w:val="001C6E17"/>
    <w:rsid w:val="001D0E6E"/>
    <w:rsid w:val="001D666F"/>
    <w:rsid w:val="001E2696"/>
    <w:rsid w:val="001E58DE"/>
    <w:rsid w:val="001E58FE"/>
    <w:rsid w:val="001E5E2E"/>
    <w:rsid w:val="001E6E31"/>
    <w:rsid w:val="001F0AC2"/>
    <w:rsid w:val="001F1095"/>
    <w:rsid w:val="001F2A14"/>
    <w:rsid w:val="001F4367"/>
    <w:rsid w:val="001F43A3"/>
    <w:rsid w:val="001F5FBF"/>
    <w:rsid w:val="001F66DD"/>
    <w:rsid w:val="001F795A"/>
    <w:rsid w:val="001F7F3C"/>
    <w:rsid w:val="002022A8"/>
    <w:rsid w:val="0020242C"/>
    <w:rsid w:val="00202E13"/>
    <w:rsid w:val="00206095"/>
    <w:rsid w:val="0020700E"/>
    <w:rsid w:val="00211D9F"/>
    <w:rsid w:val="0021266B"/>
    <w:rsid w:val="00215AAB"/>
    <w:rsid w:val="00216368"/>
    <w:rsid w:val="002177BD"/>
    <w:rsid w:val="002208AC"/>
    <w:rsid w:val="0023101E"/>
    <w:rsid w:val="002322FE"/>
    <w:rsid w:val="00235E24"/>
    <w:rsid w:val="00236261"/>
    <w:rsid w:val="00236664"/>
    <w:rsid w:val="002401C8"/>
    <w:rsid w:val="00241D45"/>
    <w:rsid w:val="002435CD"/>
    <w:rsid w:val="0024488B"/>
    <w:rsid w:val="0024611F"/>
    <w:rsid w:val="00246D97"/>
    <w:rsid w:val="00252C14"/>
    <w:rsid w:val="00252DA2"/>
    <w:rsid w:val="002547CC"/>
    <w:rsid w:val="002549F0"/>
    <w:rsid w:val="00256839"/>
    <w:rsid w:val="0026147E"/>
    <w:rsid w:val="002614E7"/>
    <w:rsid w:val="00264345"/>
    <w:rsid w:val="00265570"/>
    <w:rsid w:val="002665A3"/>
    <w:rsid w:val="002673B3"/>
    <w:rsid w:val="00270E76"/>
    <w:rsid w:val="00272242"/>
    <w:rsid w:val="00272817"/>
    <w:rsid w:val="00272C68"/>
    <w:rsid w:val="00273288"/>
    <w:rsid w:val="002739E1"/>
    <w:rsid w:val="00276F1E"/>
    <w:rsid w:val="00280EB4"/>
    <w:rsid w:val="00290A64"/>
    <w:rsid w:val="002959BF"/>
    <w:rsid w:val="00297A2B"/>
    <w:rsid w:val="002B22BA"/>
    <w:rsid w:val="002B500E"/>
    <w:rsid w:val="002B5D2E"/>
    <w:rsid w:val="002B71FA"/>
    <w:rsid w:val="002B7232"/>
    <w:rsid w:val="002C0BB2"/>
    <w:rsid w:val="002C1694"/>
    <w:rsid w:val="002C1C45"/>
    <w:rsid w:val="002C26F6"/>
    <w:rsid w:val="002D09D5"/>
    <w:rsid w:val="002D2B88"/>
    <w:rsid w:val="002D2D31"/>
    <w:rsid w:val="002D35EB"/>
    <w:rsid w:val="002D3B6C"/>
    <w:rsid w:val="002D3C9A"/>
    <w:rsid w:val="002D491E"/>
    <w:rsid w:val="002E177B"/>
    <w:rsid w:val="002E5B97"/>
    <w:rsid w:val="002F195E"/>
    <w:rsid w:val="002F28C0"/>
    <w:rsid w:val="002F2C08"/>
    <w:rsid w:val="002F5B2C"/>
    <w:rsid w:val="002F63D1"/>
    <w:rsid w:val="00302FC6"/>
    <w:rsid w:val="00304441"/>
    <w:rsid w:val="00304514"/>
    <w:rsid w:val="00304D7F"/>
    <w:rsid w:val="003070FA"/>
    <w:rsid w:val="00310887"/>
    <w:rsid w:val="00313D6A"/>
    <w:rsid w:val="00313DB8"/>
    <w:rsid w:val="0031776D"/>
    <w:rsid w:val="00321633"/>
    <w:rsid w:val="00322749"/>
    <w:rsid w:val="0032749E"/>
    <w:rsid w:val="0033210F"/>
    <w:rsid w:val="00332EA7"/>
    <w:rsid w:val="00333C50"/>
    <w:rsid w:val="003340C0"/>
    <w:rsid w:val="00334A3E"/>
    <w:rsid w:val="003371F3"/>
    <w:rsid w:val="00343C8D"/>
    <w:rsid w:val="0035066E"/>
    <w:rsid w:val="003540EC"/>
    <w:rsid w:val="0035455F"/>
    <w:rsid w:val="00357C53"/>
    <w:rsid w:val="0036118A"/>
    <w:rsid w:val="00363B6A"/>
    <w:rsid w:val="00366D23"/>
    <w:rsid w:val="00370B1A"/>
    <w:rsid w:val="003743CB"/>
    <w:rsid w:val="003772C7"/>
    <w:rsid w:val="00377D17"/>
    <w:rsid w:val="00382508"/>
    <w:rsid w:val="00382625"/>
    <w:rsid w:val="00382DA4"/>
    <w:rsid w:val="003836A8"/>
    <w:rsid w:val="00383F7A"/>
    <w:rsid w:val="003841D2"/>
    <w:rsid w:val="00384691"/>
    <w:rsid w:val="00386858"/>
    <w:rsid w:val="0038699B"/>
    <w:rsid w:val="003869D2"/>
    <w:rsid w:val="00386D7B"/>
    <w:rsid w:val="003942DF"/>
    <w:rsid w:val="00395A0B"/>
    <w:rsid w:val="00397AA3"/>
    <w:rsid w:val="003A2097"/>
    <w:rsid w:val="003A5E47"/>
    <w:rsid w:val="003A7D77"/>
    <w:rsid w:val="003B0A8C"/>
    <w:rsid w:val="003B175D"/>
    <w:rsid w:val="003B36E1"/>
    <w:rsid w:val="003B3A82"/>
    <w:rsid w:val="003B6884"/>
    <w:rsid w:val="003C10F0"/>
    <w:rsid w:val="003C2323"/>
    <w:rsid w:val="003C51C8"/>
    <w:rsid w:val="003C596B"/>
    <w:rsid w:val="003C73FC"/>
    <w:rsid w:val="003C76B2"/>
    <w:rsid w:val="003D0B58"/>
    <w:rsid w:val="003D221F"/>
    <w:rsid w:val="003D4D90"/>
    <w:rsid w:val="003D798D"/>
    <w:rsid w:val="003E1459"/>
    <w:rsid w:val="003E3995"/>
    <w:rsid w:val="003E6EFA"/>
    <w:rsid w:val="003F1245"/>
    <w:rsid w:val="003F47E5"/>
    <w:rsid w:val="003F4E97"/>
    <w:rsid w:val="003F712B"/>
    <w:rsid w:val="00406CDF"/>
    <w:rsid w:val="00407E4D"/>
    <w:rsid w:val="004117CD"/>
    <w:rsid w:val="00411D33"/>
    <w:rsid w:val="00412859"/>
    <w:rsid w:val="00412D15"/>
    <w:rsid w:val="00416955"/>
    <w:rsid w:val="00424EE7"/>
    <w:rsid w:val="00426840"/>
    <w:rsid w:val="00426E2B"/>
    <w:rsid w:val="0043144F"/>
    <w:rsid w:val="00432211"/>
    <w:rsid w:val="00432683"/>
    <w:rsid w:val="0043280E"/>
    <w:rsid w:val="00433507"/>
    <w:rsid w:val="00433FC0"/>
    <w:rsid w:val="00434AB6"/>
    <w:rsid w:val="00440C87"/>
    <w:rsid w:val="00444A1D"/>
    <w:rsid w:val="00450245"/>
    <w:rsid w:val="00453B92"/>
    <w:rsid w:val="00455DAC"/>
    <w:rsid w:val="004570EC"/>
    <w:rsid w:val="004608B9"/>
    <w:rsid w:val="00465E80"/>
    <w:rsid w:val="00467A14"/>
    <w:rsid w:val="004704AA"/>
    <w:rsid w:val="00471133"/>
    <w:rsid w:val="004721DF"/>
    <w:rsid w:val="004729E8"/>
    <w:rsid w:val="00473A76"/>
    <w:rsid w:val="0048046F"/>
    <w:rsid w:val="00481911"/>
    <w:rsid w:val="00481FE3"/>
    <w:rsid w:val="00483E2A"/>
    <w:rsid w:val="00484A2F"/>
    <w:rsid w:val="00487424"/>
    <w:rsid w:val="00491522"/>
    <w:rsid w:val="00493E34"/>
    <w:rsid w:val="004A3506"/>
    <w:rsid w:val="004A360E"/>
    <w:rsid w:val="004B4B78"/>
    <w:rsid w:val="004B636E"/>
    <w:rsid w:val="004B7B18"/>
    <w:rsid w:val="004C002F"/>
    <w:rsid w:val="004C11F0"/>
    <w:rsid w:val="004C1DD7"/>
    <w:rsid w:val="004C39D8"/>
    <w:rsid w:val="004C4DC0"/>
    <w:rsid w:val="004C6820"/>
    <w:rsid w:val="004C6A53"/>
    <w:rsid w:val="004D2040"/>
    <w:rsid w:val="004D3BED"/>
    <w:rsid w:val="004D3BF1"/>
    <w:rsid w:val="004E3900"/>
    <w:rsid w:val="004F047A"/>
    <w:rsid w:val="004F1CF6"/>
    <w:rsid w:val="004F2BCD"/>
    <w:rsid w:val="004F3DF4"/>
    <w:rsid w:val="004F5ABB"/>
    <w:rsid w:val="004F63C9"/>
    <w:rsid w:val="00501248"/>
    <w:rsid w:val="00502BD2"/>
    <w:rsid w:val="005036E7"/>
    <w:rsid w:val="005057CC"/>
    <w:rsid w:val="005062AE"/>
    <w:rsid w:val="00506AF8"/>
    <w:rsid w:val="00506EBE"/>
    <w:rsid w:val="00507008"/>
    <w:rsid w:val="005108BD"/>
    <w:rsid w:val="00510F2E"/>
    <w:rsid w:val="00510F98"/>
    <w:rsid w:val="00514C5E"/>
    <w:rsid w:val="00516850"/>
    <w:rsid w:val="00516A7B"/>
    <w:rsid w:val="00524CE3"/>
    <w:rsid w:val="0052604E"/>
    <w:rsid w:val="005265C9"/>
    <w:rsid w:val="005304D2"/>
    <w:rsid w:val="00532BBC"/>
    <w:rsid w:val="00535DC1"/>
    <w:rsid w:val="00536092"/>
    <w:rsid w:val="00536B53"/>
    <w:rsid w:val="005370E6"/>
    <w:rsid w:val="0054126E"/>
    <w:rsid w:val="005436DC"/>
    <w:rsid w:val="0054534F"/>
    <w:rsid w:val="005515BF"/>
    <w:rsid w:val="00552BE7"/>
    <w:rsid w:val="005530CE"/>
    <w:rsid w:val="0055333F"/>
    <w:rsid w:val="00556877"/>
    <w:rsid w:val="005569D9"/>
    <w:rsid w:val="00556B94"/>
    <w:rsid w:val="0055794A"/>
    <w:rsid w:val="00560761"/>
    <w:rsid w:val="0056586D"/>
    <w:rsid w:val="00573E8B"/>
    <w:rsid w:val="00575437"/>
    <w:rsid w:val="005762FF"/>
    <w:rsid w:val="005800FA"/>
    <w:rsid w:val="0058437A"/>
    <w:rsid w:val="00587A7B"/>
    <w:rsid w:val="005916E3"/>
    <w:rsid w:val="00594646"/>
    <w:rsid w:val="00597875"/>
    <w:rsid w:val="005A3159"/>
    <w:rsid w:val="005A76FA"/>
    <w:rsid w:val="005A7980"/>
    <w:rsid w:val="005B26FF"/>
    <w:rsid w:val="005B2882"/>
    <w:rsid w:val="005C0A38"/>
    <w:rsid w:val="005C1DCA"/>
    <w:rsid w:val="005C7751"/>
    <w:rsid w:val="005D0650"/>
    <w:rsid w:val="005D1F18"/>
    <w:rsid w:val="005D3F11"/>
    <w:rsid w:val="005D65FB"/>
    <w:rsid w:val="005D7BBB"/>
    <w:rsid w:val="005E03BF"/>
    <w:rsid w:val="005E3862"/>
    <w:rsid w:val="005E736D"/>
    <w:rsid w:val="005F0C47"/>
    <w:rsid w:val="005F2908"/>
    <w:rsid w:val="005F2A21"/>
    <w:rsid w:val="005F379B"/>
    <w:rsid w:val="005F3FD0"/>
    <w:rsid w:val="005F4017"/>
    <w:rsid w:val="005F67EF"/>
    <w:rsid w:val="00600909"/>
    <w:rsid w:val="00607646"/>
    <w:rsid w:val="006108B2"/>
    <w:rsid w:val="00612AA9"/>
    <w:rsid w:val="006172C8"/>
    <w:rsid w:val="00622B42"/>
    <w:rsid w:val="00630A37"/>
    <w:rsid w:val="00630F92"/>
    <w:rsid w:val="006351D5"/>
    <w:rsid w:val="00635DA0"/>
    <w:rsid w:val="00636854"/>
    <w:rsid w:val="0063706D"/>
    <w:rsid w:val="0064147D"/>
    <w:rsid w:val="006445ED"/>
    <w:rsid w:val="00646393"/>
    <w:rsid w:val="00646B88"/>
    <w:rsid w:val="00647257"/>
    <w:rsid w:val="00653332"/>
    <w:rsid w:val="00654789"/>
    <w:rsid w:val="00663E9F"/>
    <w:rsid w:val="006659BE"/>
    <w:rsid w:val="00667E5F"/>
    <w:rsid w:val="0067285F"/>
    <w:rsid w:val="00672984"/>
    <w:rsid w:val="00673D81"/>
    <w:rsid w:val="00676914"/>
    <w:rsid w:val="006829FC"/>
    <w:rsid w:val="00683D87"/>
    <w:rsid w:val="00685270"/>
    <w:rsid w:val="00685B68"/>
    <w:rsid w:val="0069106B"/>
    <w:rsid w:val="0069555D"/>
    <w:rsid w:val="00696298"/>
    <w:rsid w:val="006A1474"/>
    <w:rsid w:val="006B3068"/>
    <w:rsid w:val="006B326F"/>
    <w:rsid w:val="006B37DD"/>
    <w:rsid w:val="006B46FD"/>
    <w:rsid w:val="006B557D"/>
    <w:rsid w:val="006B5A87"/>
    <w:rsid w:val="006C000F"/>
    <w:rsid w:val="006C7939"/>
    <w:rsid w:val="006D1D08"/>
    <w:rsid w:val="006D1FD0"/>
    <w:rsid w:val="006D43C0"/>
    <w:rsid w:val="006D4B84"/>
    <w:rsid w:val="006E0F18"/>
    <w:rsid w:val="006E18C3"/>
    <w:rsid w:val="006E37A8"/>
    <w:rsid w:val="006E6A24"/>
    <w:rsid w:val="006E733F"/>
    <w:rsid w:val="006E79BA"/>
    <w:rsid w:val="006F07CB"/>
    <w:rsid w:val="006F2460"/>
    <w:rsid w:val="006F756D"/>
    <w:rsid w:val="007008B7"/>
    <w:rsid w:val="007063D1"/>
    <w:rsid w:val="0070674E"/>
    <w:rsid w:val="00706FE9"/>
    <w:rsid w:val="00707E65"/>
    <w:rsid w:val="007125DA"/>
    <w:rsid w:val="007163E1"/>
    <w:rsid w:val="0071650B"/>
    <w:rsid w:val="00722D51"/>
    <w:rsid w:val="00723515"/>
    <w:rsid w:val="00723CCB"/>
    <w:rsid w:val="00723DAB"/>
    <w:rsid w:val="007246AB"/>
    <w:rsid w:val="0072579F"/>
    <w:rsid w:val="00727E57"/>
    <w:rsid w:val="0073205B"/>
    <w:rsid w:val="007345A0"/>
    <w:rsid w:val="00736505"/>
    <w:rsid w:val="00740047"/>
    <w:rsid w:val="00743027"/>
    <w:rsid w:val="0074444F"/>
    <w:rsid w:val="00746089"/>
    <w:rsid w:val="00746A51"/>
    <w:rsid w:val="00746EEE"/>
    <w:rsid w:val="007527EF"/>
    <w:rsid w:val="0076332B"/>
    <w:rsid w:val="007679DC"/>
    <w:rsid w:val="0077164D"/>
    <w:rsid w:val="00771E3A"/>
    <w:rsid w:val="007762C6"/>
    <w:rsid w:val="00780E69"/>
    <w:rsid w:val="0078296C"/>
    <w:rsid w:val="007847D7"/>
    <w:rsid w:val="00786434"/>
    <w:rsid w:val="00786690"/>
    <w:rsid w:val="00795D84"/>
    <w:rsid w:val="00796DA5"/>
    <w:rsid w:val="007A1EBA"/>
    <w:rsid w:val="007A2716"/>
    <w:rsid w:val="007A6B58"/>
    <w:rsid w:val="007B2D60"/>
    <w:rsid w:val="007B30C7"/>
    <w:rsid w:val="007B410D"/>
    <w:rsid w:val="007C0CAD"/>
    <w:rsid w:val="007C24E0"/>
    <w:rsid w:val="007C2F4D"/>
    <w:rsid w:val="007C49C3"/>
    <w:rsid w:val="007D0AF5"/>
    <w:rsid w:val="007D14A8"/>
    <w:rsid w:val="007D1FCA"/>
    <w:rsid w:val="007D6AE9"/>
    <w:rsid w:val="007E084B"/>
    <w:rsid w:val="007E4A7A"/>
    <w:rsid w:val="007F24F1"/>
    <w:rsid w:val="007F270E"/>
    <w:rsid w:val="007F55EC"/>
    <w:rsid w:val="007F7A28"/>
    <w:rsid w:val="0080346F"/>
    <w:rsid w:val="00803EFD"/>
    <w:rsid w:val="00806F86"/>
    <w:rsid w:val="00814310"/>
    <w:rsid w:val="00815B0F"/>
    <w:rsid w:val="00816833"/>
    <w:rsid w:val="008172BF"/>
    <w:rsid w:val="00817ADB"/>
    <w:rsid w:val="008244F9"/>
    <w:rsid w:val="00827E0B"/>
    <w:rsid w:val="00831AD9"/>
    <w:rsid w:val="00836EFB"/>
    <w:rsid w:val="00837B1F"/>
    <w:rsid w:val="00837C8A"/>
    <w:rsid w:val="008401A9"/>
    <w:rsid w:val="00841115"/>
    <w:rsid w:val="00844506"/>
    <w:rsid w:val="008564D6"/>
    <w:rsid w:val="00861196"/>
    <w:rsid w:val="00865C9F"/>
    <w:rsid w:val="00866B74"/>
    <w:rsid w:val="00866D65"/>
    <w:rsid w:val="00867707"/>
    <w:rsid w:val="00870A32"/>
    <w:rsid w:val="0087352E"/>
    <w:rsid w:val="00874B4E"/>
    <w:rsid w:val="008774E4"/>
    <w:rsid w:val="00881330"/>
    <w:rsid w:val="008834B1"/>
    <w:rsid w:val="008844D5"/>
    <w:rsid w:val="0089183F"/>
    <w:rsid w:val="00894028"/>
    <w:rsid w:val="008967E3"/>
    <w:rsid w:val="008A139B"/>
    <w:rsid w:val="008A6C13"/>
    <w:rsid w:val="008A76EC"/>
    <w:rsid w:val="008B02FE"/>
    <w:rsid w:val="008B4FC5"/>
    <w:rsid w:val="008B5103"/>
    <w:rsid w:val="008B6DCF"/>
    <w:rsid w:val="008B79E3"/>
    <w:rsid w:val="008C0AA6"/>
    <w:rsid w:val="008C0D1F"/>
    <w:rsid w:val="008C3D35"/>
    <w:rsid w:val="008C4489"/>
    <w:rsid w:val="008C5071"/>
    <w:rsid w:val="008C6947"/>
    <w:rsid w:val="008D0B63"/>
    <w:rsid w:val="008D1CAE"/>
    <w:rsid w:val="008D2E7D"/>
    <w:rsid w:val="008D2E94"/>
    <w:rsid w:val="008D5BC2"/>
    <w:rsid w:val="008D5FA1"/>
    <w:rsid w:val="008E0282"/>
    <w:rsid w:val="008E1037"/>
    <w:rsid w:val="008E14C3"/>
    <w:rsid w:val="008E2926"/>
    <w:rsid w:val="008E62AB"/>
    <w:rsid w:val="008E71E7"/>
    <w:rsid w:val="008E7841"/>
    <w:rsid w:val="008E7AB8"/>
    <w:rsid w:val="008F26BB"/>
    <w:rsid w:val="008F5F7F"/>
    <w:rsid w:val="00901981"/>
    <w:rsid w:val="00904AAF"/>
    <w:rsid w:val="00911497"/>
    <w:rsid w:val="00913724"/>
    <w:rsid w:val="00914393"/>
    <w:rsid w:val="009155DC"/>
    <w:rsid w:val="009200E6"/>
    <w:rsid w:val="009222C4"/>
    <w:rsid w:val="00933C0D"/>
    <w:rsid w:val="00937BC3"/>
    <w:rsid w:val="00942BBD"/>
    <w:rsid w:val="0094371D"/>
    <w:rsid w:val="00952A80"/>
    <w:rsid w:val="00952A82"/>
    <w:rsid w:val="00953688"/>
    <w:rsid w:val="00953732"/>
    <w:rsid w:val="00953DB4"/>
    <w:rsid w:val="00954921"/>
    <w:rsid w:val="00955BDB"/>
    <w:rsid w:val="00955CC1"/>
    <w:rsid w:val="00960075"/>
    <w:rsid w:val="00961005"/>
    <w:rsid w:val="0096132F"/>
    <w:rsid w:val="009614C1"/>
    <w:rsid w:val="009633C7"/>
    <w:rsid w:val="00965498"/>
    <w:rsid w:val="00972088"/>
    <w:rsid w:val="00973414"/>
    <w:rsid w:val="00973D8C"/>
    <w:rsid w:val="009779F7"/>
    <w:rsid w:val="00983B0C"/>
    <w:rsid w:val="00983C72"/>
    <w:rsid w:val="00984AE0"/>
    <w:rsid w:val="009854D2"/>
    <w:rsid w:val="00990A7C"/>
    <w:rsid w:val="00990F03"/>
    <w:rsid w:val="00991206"/>
    <w:rsid w:val="00993535"/>
    <w:rsid w:val="00995439"/>
    <w:rsid w:val="009960A0"/>
    <w:rsid w:val="009A0116"/>
    <w:rsid w:val="009A01E8"/>
    <w:rsid w:val="009A0E80"/>
    <w:rsid w:val="009A0EA7"/>
    <w:rsid w:val="009A154B"/>
    <w:rsid w:val="009A2E49"/>
    <w:rsid w:val="009A4301"/>
    <w:rsid w:val="009B56C7"/>
    <w:rsid w:val="009C16E1"/>
    <w:rsid w:val="009C1812"/>
    <w:rsid w:val="009D025F"/>
    <w:rsid w:val="009D0736"/>
    <w:rsid w:val="009D10B2"/>
    <w:rsid w:val="009D2440"/>
    <w:rsid w:val="009D322E"/>
    <w:rsid w:val="009D3B3B"/>
    <w:rsid w:val="009D40DA"/>
    <w:rsid w:val="009D5A95"/>
    <w:rsid w:val="009D665B"/>
    <w:rsid w:val="009E03DA"/>
    <w:rsid w:val="009E3C83"/>
    <w:rsid w:val="009E6156"/>
    <w:rsid w:val="009E7037"/>
    <w:rsid w:val="009F2923"/>
    <w:rsid w:val="00A03102"/>
    <w:rsid w:val="00A0354D"/>
    <w:rsid w:val="00A04BE8"/>
    <w:rsid w:val="00A10E12"/>
    <w:rsid w:val="00A143A4"/>
    <w:rsid w:val="00A209A4"/>
    <w:rsid w:val="00A20EE4"/>
    <w:rsid w:val="00A22143"/>
    <w:rsid w:val="00A24D93"/>
    <w:rsid w:val="00A25267"/>
    <w:rsid w:val="00A26E7E"/>
    <w:rsid w:val="00A3057B"/>
    <w:rsid w:val="00A30ACD"/>
    <w:rsid w:val="00A40A5A"/>
    <w:rsid w:val="00A427BB"/>
    <w:rsid w:val="00A447AB"/>
    <w:rsid w:val="00A50121"/>
    <w:rsid w:val="00A54DA2"/>
    <w:rsid w:val="00A5627A"/>
    <w:rsid w:val="00A608EC"/>
    <w:rsid w:val="00A60CB8"/>
    <w:rsid w:val="00A61837"/>
    <w:rsid w:val="00A61BC4"/>
    <w:rsid w:val="00A63581"/>
    <w:rsid w:val="00A66266"/>
    <w:rsid w:val="00A66D1B"/>
    <w:rsid w:val="00A67D30"/>
    <w:rsid w:val="00A71CA6"/>
    <w:rsid w:val="00A732DA"/>
    <w:rsid w:val="00A75302"/>
    <w:rsid w:val="00A755A7"/>
    <w:rsid w:val="00A80DD0"/>
    <w:rsid w:val="00A82011"/>
    <w:rsid w:val="00A82587"/>
    <w:rsid w:val="00A83834"/>
    <w:rsid w:val="00A855E4"/>
    <w:rsid w:val="00A85C22"/>
    <w:rsid w:val="00A90B6D"/>
    <w:rsid w:val="00A90E9C"/>
    <w:rsid w:val="00A92E34"/>
    <w:rsid w:val="00A94A61"/>
    <w:rsid w:val="00A94E65"/>
    <w:rsid w:val="00A96BA6"/>
    <w:rsid w:val="00A974F8"/>
    <w:rsid w:val="00AA08BE"/>
    <w:rsid w:val="00AA12BF"/>
    <w:rsid w:val="00AA1C37"/>
    <w:rsid w:val="00AA278D"/>
    <w:rsid w:val="00AA714C"/>
    <w:rsid w:val="00AA754C"/>
    <w:rsid w:val="00AA7D07"/>
    <w:rsid w:val="00AB16BB"/>
    <w:rsid w:val="00AB211D"/>
    <w:rsid w:val="00AB21C5"/>
    <w:rsid w:val="00AB3EC3"/>
    <w:rsid w:val="00AB6042"/>
    <w:rsid w:val="00AB662C"/>
    <w:rsid w:val="00AB7849"/>
    <w:rsid w:val="00AC0F16"/>
    <w:rsid w:val="00AC2275"/>
    <w:rsid w:val="00AC2755"/>
    <w:rsid w:val="00AC48CC"/>
    <w:rsid w:val="00AC562E"/>
    <w:rsid w:val="00AC6ACB"/>
    <w:rsid w:val="00AE2E15"/>
    <w:rsid w:val="00AE392C"/>
    <w:rsid w:val="00AE647C"/>
    <w:rsid w:val="00AF10A4"/>
    <w:rsid w:val="00AF4973"/>
    <w:rsid w:val="00AF5810"/>
    <w:rsid w:val="00B004ED"/>
    <w:rsid w:val="00B059DF"/>
    <w:rsid w:val="00B15F7A"/>
    <w:rsid w:val="00B20B29"/>
    <w:rsid w:val="00B2165E"/>
    <w:rsid w:val="00B218CE"/>
    <w:rsid w:val="00B227A9"/>
    <w:rsid w:val="00B359CD"/>
    <w:rsid w:val="00B37980"/>
    <w:rsid w:val="00B47755"/>
    <w:rsid w:val="00B533BF"/>
    <w:rsid w:val="00B56A35"/>
    <w:rsid w:val="00B61D58"/>
    <w:rsid w:val="00B62E12"/>
    <w:rsid w:val="00B6452B"/>
    <w:rsid w:val="00B6566C"/>
    <w:rsid w:val="00B736FC"/>
    <w:rsid w:val="00B746D1"/>
    <w:rsid w:val="00B74879"/>
    <w:rsid w:val="00B7655B"/>
    <w:rsid w:val="00B76A55"/>
    <w:rsid w:val="00B80197"/>
    <w:rsid w:val="00B80606"/>
    <w:rsid w:val="00B82121"/>
    <w:rsid w:val="00B9255F"/>
    <w:rsid w:val="00B95594"/>
    <w:rsid w:val="00BA0B63"/>
    <w:rsid w:val="00BA148C"/>
    <w:rsid w:val="00BA3D5A"/>
    <w:rsid w:val="00BA5155"/>
    <w:rsid w:val="00BA5ABB"/>
    <w:rsid w:val="00BA6877"/>
    <w:rsid w:val="00BA7E2A"/>
    <w:rsid w:val="00BB3744"/>
    <w:rsid w:val="00BB5880"/>
    <w:rsid w:val="00BC25F0"/>
    <w:rsid w:val="00BC760F"/>
    <w:rsid w:val="00BD222D"/>
    <w:rsid w:val="00BD4D33"/>
    <w:rsid w:val="00BD532A"/>
    <w:rsid w:val="00BD7404"/>
    <w:rsid w:val="00BE2E6E"/>
    <w:rsid w:val="00BE3ACD"/>
    <w:rsid w:val="00BE648E"/>
    <w:rsid w:val="00BE6A75"/>
    <w:rsid w:val="00BF1011"/>
    <w:rsid w:val="00BF62A8"/>
    <w:rsid w:val="00C00F0A"/>
    <w:rsid w:val="00C028CA"/>
    <w:rsid w:val="00C02A13"/>
    <w:rsid w:val="00C0722F"/>
    <w:rsid w:val="00C10DEA"/>
    <w:rsid w:val="00C126D9"/>
    <w:rsid w:val="00C13411"/>
    <w:rsid w:val="00C16CC3"/>
    <w:rsid w:val="00C225E9"/>
    <w:rsid w:val="00C265D5"/>
    <w:rsid w:val="00C32472"/>
    <w:rsid w:val="00C32CDF"/>
    <w:rsid w:val="00C33864"/>
    <w:rsid w:val="00C379C0"/>
    <w:rsid w:val="00C41F65"/>
    <w:rsid w:val="00C50C24"/>
    <w:rsid w:val="00C54451"/>
    <w:rsid w:val="00C5471C"/>
    <w:rsid w:val="00C552E7"/>
    <w:rsid w:val="00C61192"/>
    <w:rsid w:val="00C64504"/>
    <w:rsid w:val="00C64F15"/>
    <w:rsid w:val="00C656CC"/>
    <w:rsid w:val="00C660AB"/>
    <w:rsid w:val="00C726A3"/>
    <w:rsid w:val="00C726DB"/>
    <w:rsid w:val="00C750FC"/>
    <w:rsid w:val="00C76A95"/>
    <w:rsid w:val="00C77787"/>
    <w:rsid w:val="00C7778C"/>
    <w:rsid w:val="00C823E6"/>
    <w:rsid w:val="00C837DB"/>
    <w:rsid w:val="00C84BA3"/>
    <w:rsid w:val="00C8636D"/>
    <w:rsid w:val="00C87894"/>
    <w:rsid w:val="00C91672"/>
    <w:rsid w:val="00C9175E"/>
    <w:rsid w:val="00C92E28"/>
    <w:rsid w:val="00C93395"/>
    <w:rsid w:val="00C93D3D"/>
    <w:rsid w:val="00C9759E"/>
    <w:rsid w:val="00CA2B6E"/>
    <w:rsid w:val="00CA56AD"/>
    <w:rsid w:val="00CB5DC4"/>
    <w:rsid w:val="00CB609B"/>
    <w:rsid w:val="00CC00C9"/>
    <w:rsid w:val="00CC0C87"/>
    <w:rsid w:val="00CC1677"/>
    <w:rsid w:val="00CC1EA9"/>
    <w:rsid w:val="00CC3B7A"/>
    <w:rsid w:val="00CC478E"/>
    <w:rsid w:val="00CC5F20"/>
    <w:rsid w:val="00CD0113"/>
    <w:rsid w:val="00CD29BA"/>
    <w:rsid w:val="00CD399C"/>
    <w:rsid w:val="00CD4274"/>
    <w:rsid w:val="00CD53EF"/>
    <w:rsid w:val="00CD58DC"/>
    <w:rsid w:val="00CE1436"/>
    <w:rsid w:val="00CE472A"/>
    <w:rsid w:val="00CF1768"/>
    <w:rsid w:val="00CF2715"/>
    <w:rsid w:val="00CF3977"/>
    <w:rsid w:val="00CF4DB1"/>
    <w:rsid w:val="00CF65EB"/>
    <w:rsid w:val="00CF7E8E"/>
    <w:rsid w:val="00D03A86"/>
    <w:rsid w:val="00D0434E"/>
    <w:rsid w:val="00D047A7"/>
    <w:rsid w:val="00D05C50"/>
    <w:rsid w:val="00D07E75"/>
    <w:rsid w:val="00D1496D"/>
    <w:rsid w:val="00D15B97"/>
    <w:rsid w:val="00D2252D"/>
    <w:rsid w:val="00D2457D"/>
    <w:rsid w:val="00D24672"/>
    <w:rsid w:val="00D262E4"/>
    <w:rsid w:val="00D26B6D"/>
    <w:rsid w:val="00D271A1"/>
    <w:rsid w:val="00D273D4"/>
    <w:rsid w:val="00D31A2E"/>
    <w:rsid w:val="00D31EC0"/>
    <w:rsid w:val="00D34CC0"/>
    <w:rsid w:val="00D3522D"/>
    <w:rsid w:val="00D35B88"/>
    <w:rsid w:val="00D400A3"/>
    <w:rsid w:val="00D404FE"/>
    <w:rsid w:val="00D40DB0"/>
    <w:rsid w:val="00D41E1D"/>
    <w:rsid w:val="00D45138"/>
    <w:rsid w:val="00D46876"/>
    <w:rsid w:val="00D471AA"/>
    <w:rsid w:val="00D514ED"/>
    <w:rsid w:val="00D54087"/>
    <w:rsid w:val="00D574E5"/>
    <w:rsid w:val="00D57B2F"/>
    <w:rsid w:val="00D600D6"/>
    <w:rsid w:val="00D62895"/>
    <w:rsid w:val="00D6553E"/>
    <w:rsid w:val="00D668B7"/>
    <w:rsid w:val="00D678F4"/>
    <w:rsid w:val="00D721D9"/>
    <w:rsid w:val="00D72371"/>
    <w:rsid w:val="00D74BCD"/>
    <w:rsid w:val="00D75AA3"/>
    <w:rsid w:val="00D80D62"/>
    <w:rsid w:val="00D83178"/>
    <w:rsid w:val="00D83CE4"/>
    <w:rsid w:val="00D841BD"/>
    <w:rsid w:val="00D8505B"/>
    <w:rsid w:val="00D87113"/>
    <w:rsid w:val="00D87C56"/>
    <w:rsid w:val="00D9462D"/>
    <w:rsid w:val="00D963F6"/>
    <w:rsid w:val="00D97941"/>
    <w:rsid w:val="00DA090D"/>
    <w:rsid w:val="00DA1F5A"/>
    <w:rsid w:val="00DA2588"/>
    <w:rsid w:val="00DA3A50"/>
    <w:rsid w:val="00DA5BFD"/>
    <w:rsid w:val="00DA679C"/>
    <w:rsid w:val="00DB0B7F"/>
    <w:rsid w:val="00DB114F"/>
    <w:rsid w:val="00DB5481"/>
    <w:rsid w:val="00DB64BC"/>
    <w:rsid w:val="00DC0CA2"/>
    <w:rsid w:val="00DC173C"/>
    <w:rsid w:val="00DC3047"/>
    <w:rsid w:val="00DC5954"/>
    <w:rsid w:val="00DD2893"/>
    <w:rsid w:val="00DD2B34"/>
    <w:rsid w:val="00DE6E8D"/>
    <w:rsid w:val="00DF2A38"/>
    <w:rsid w:val="00E037CC"/>
    <w:rsid w:val="00E0383C"/>
    <w:rsid w:val="00E051ED"/>
    <w:rsid w:val="00E077A7"/>
    <w:rsid w:val="00E10ABE"/>
    <w:rsid w:val="00E16303"/>
    <w:rsid w:val="00E1718A"/>
    <w:rsid w:val="00E201A2"/>
    <w:rsid w:val="00E20769"/>
    <w:rsid w:val="00E21305"/>
    <w:rsid w:val="00E22FB7"/>
    <w:rsid w:val="00E25E66"/>
    <w:rsid w:val="00E300D0"/>
    <w:rsid w:val="00E4070B"/>
    <w:rsid w:val="00E4097A"/>
    <w:rsid w:val="00E443F5"/>
    <w:rsid w:val="00E46139"/>
    <w:rsid w:val="00E47130"/>
    <w:rsid w:val="00E47352"/>
    <w:rsid w:val="00E47797"/>
    <w:rsid w:val="00E477E2"/>
    <w:rsid w:val="00E51992"/>
    <w:rsid w:val="00E53975"/>
    <w:rsid w:val="00E55CA4"/>
    <w:rsid w:val="00E6079C"/>
    <w:rsid w:val="00E60D72"/>
    <w:rsid w:val="00E647BD"/>
    <w:rsid w:val="00E66E06"/>
    <w:rsid w:val="00E67DD3"/>
    <w:rsid w:val="00E72593"/>
    <w:rsid w:val="00E7286A"/>
    <w:rsid w:val="00E7353C"/>
    <w:rsid w:val="00E7361D"/>
    <w:rsid w:val="00E74A66"/>
    <w:rsid w:val="00E76F9B"/>
    <w:rsid w:val="00E908E2"/>
    <w:rsid w:val="00E91A20"/>
    <w:rsid w:val="00E937BA"/>
    <w:rsid w:val="00E94D5C"/>
    <w:rsid w:val="00E959BF"/>
    <w:rsid w:val="00E95FA5"/>
    <w:rsid w:val="00EA3BBC"/>
    <w:rsid w:val="00EA3E9B"/>
    <w:rsid w:val="00EA6F21"/>
    <w:rsid w:val="00EB185D"/>
    <w:rsid w:val="00EB4BD7"/>
    <w:rsid w:val="00EB75DD"/>
    <w:rsid w:val="00EC02F0"/>
    <w:rsid w:val="00EC0FCE"/>
    <w:rsid w:val="00EC2CB8"/>
    <w:rsid w:val="00EC580D"/>
    <w:rsid w:val="00ED197B"/>
    <w:rsid w:val="00ED47E7"/>
    <w:rsid w:val="00ED6DCF"/>
    <w:rsid w:val="00ED6EF6"/>
    <w:rsid w:val="00EE08DC"/>
    <w:rsid w:val="00EE6059"/>
    <w:rsid w:val="00EE6524"/>
    <w:rsid w:val="00EE6A07"/>
    <w:rsid w:val="00EE75CC"/>
    <w:rsid w:val="00EF02F1"/>
    <w:rsid w:val="00EF0F82"/>
    <w:rsid w:val="00EF2C58"/>
    <w:rsid w:val="00EF3D55"/>
    <w:rsid w:val="00EF56E4"/>
    <w:rsid w:val="00EF7453"/>
    <w:rsid w:val="00F01A99"/>
    <w:rsid w:val="00F0333B"/>
    <w:rsid w:val="00F041DF"/>
    <w:rsid w:val="00F07696"/>
    <w:rsid w:val="00F07B0E"/>
    <w:rsid w:val="00F10C87"/>
    <w:rsid w:val="00F11067"/>
    <w:rsid w:val="00F137FC"/>
    <w:rsid w:val="00F140C8"/>
    <w:rsid w:val="00F14685"/>
    <w:rsid w:val="00F15FC0"/>
    <w:rsid w:val="00F2117D"/>
    <w:rsid w:val="00F22B51"/>
    <w:rsid w:val="00F26409"/>
    <w:rsid w:val="00F26571"/>
    <w:rsid w:val="00F27734"/>
    <w:rsid w:val="00F3055C"/>
    <w:rsid w:val="00F35AB5"/>
    <w:rsid w:val="00F37DE3"/>
    <w:rsid w:val="00F42EE2"/>
    <w:rsid w:val="00F435C8"/>
    <w:rsid w:val="00F438E5"/>
    <w:rsid w:val="00F442F7"/>
    <w:rsid w:val="00F447C9"/>
    <w:rsid w:val="00F45B7B"/>
    <w:rsid w:val="00F479E1"/>
    <w:rsid w:val="00F515D4"/>
    <w:rsid w:val="00F53CBE"/>
    <w:rsid w:val="00F54B4D"/>
    <w:rsid w:val="00F54B84"/>
    <w:rsid w:val="00F55BE7"/>
    <w:rsid w:val="00F569A7"/>
    <w:rsid w:val="00F62420"/>
    <w:rsid w:val="00F62BD4"/>
    <w:rsid w:val="00F63787"/>
    <w:rsid w:val="00F64611"/>
    <w:rsid w:val="00F658AF"/>
    <w:rsid w:val="00F72C5B"/>
    <w:rsid w:val="00F7695B"/>
    <w:rsid w:val="00F76BB9"/>
    <w:rsid w:val="00F81409"/>
    <w:rsid w:val="00F81476"/>
    <w:rsid w:val="00F82D73"/>
    <w:rsid w:val="00F838DB"/>
    <w:rsid w:val="00F83E9C"/>
    <w:rsid w:val="00F84C9C"/>
    <w:rsid w:val="00FA03F7"/>
    <w:rsid w:val="00FA0BBD"/>
    <w:rsid w:val="00FA0C0C"/>
    <w:rsid w:val="00FA4E37"/>
    <w:rsid w:val="00FA50AA"/>
    <w:rsid w:val="00FA5D25"/>
    <w:rsid w:val="00FA670F"/>
    <w:rsid w:val="00FA6F12"/>
    <w:rsid w:val="00FA7133"/>
    <w:rsid w:val="00FA72BD"/>
    <w:rsid w:val="00FB0839"/>
    <w:rsid w:val="00FB2802"/>
    <w:rsid w:val="00FB4161"/>
    <w:rsid w:val="00FC47A4"/>
    <w:rsid w:val="00FC4B54"/>
    <w:rsid w:val="00FC4F03"/>
    <w:rsid w:val="00FC7947"/>
    <w:rsid w:val="00FD1B15"/>
    <w:rsid w:val="00FD2009"/>
    <w:rsid w:val="00FD71B9"/>
    <w:rsid w:val="00FE1541"/>
    <w:rsid w:val="00FE49C2"/>
    <w:rsid w:val="00FE4FB8"/>
    <w:rsid w:val="00FE5BEF"/>
    <w:rsid w:val="00FF014C"/>
    <w:rsid w:val="00FF14C1"/>
    <w:rsid w:val="00FF3B59"/>
    <w:rsid w:val="00FF3B8D"/>
    <w:rsid w:val="00FF66E7"/>
    <w:rsid w:val="00FF6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815ED"/>
  <w15:chartTrackingRefBased/>
  <w15:docId w15:val="{E58C22B9-E75B-47FF-AF1F-FAB1DF08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489"/>
    <w:pPr>
      <w:spacing w:after="200" w:line="276" w:lineRule="auto"/>
    </w:pPr>
    <w:rPr>
      <w:sz w:val="22"/>
      <w:szCs w:val="22"/>
      <w:lang w:eastAsia="en-US"/>
    </w:rPr>
  </w:style>
  <w:style w:type="paragraph" w:styleId="Heading1">
    <w:name w:val="heading 1"/>
    <w:basedOn w:val="Normal"/>
    <w:next w:val="Normal"/>
    <w:link w:val="Heading1Char"/>
    <w:uiPriority w:val="9"/>
    <w:qFormat/>
    <w:rsid w:val="00723515"/>
    <w:pPr>
      <w:keepNext/>
      <w:keepLines/>
      <w:spacing w:before="480" w:after="0"/>
      <w:outlineLvl w:val="0"/>
    </w:pPr>
    <w:rPr>
      <w:rFonts w:ascii="Arial" w:eastAsia="Times New Roman" w:hAnsi="Arial"/>
      <w:b/>
      <w:bCs/>
      <w:sz w:val="24"/>
      <w:szCs w:val="28"/>
    </w:rPr>
  </w:style>
  <w:style w:type="paragraph" w:styleId="Heading2">
    <w:name w:val="heading 2"/>
    <w:basedOn w:val="Normal"/>
    <w:next w:val="Normal"/>
    <w:link w:val="Heading2Char"/>
    <w:uiPriority w:val="9"/>
    <w:qFormat/>
    <w:rsid w:val="00DC3047"/>
    <w:pPr>
      <w:keepNext/>
      <w:keepLines/>
      <w:spacing w:before="200" w:after="0"/>
      <w:outlineLvl w:val="1"/>
    </w:pPr>
    <w:rPr>
      <w:rFonts w:ascii="Arial" w:eastAsia="Times New Roman" w:hAnsi="Arial"/>
      <w:b/>
      <w:bCs/>
      <w:sz w:val="20"/>
      <w:szCs w:val="26"/>
    </w:rPr>
  </w:style>
  <w:style w:type="paragraph" w:styleId="Heading3">
    <w:name w:val="heading 3"/>
    <w:basedOn w:val="Normal"/>
    <w:next w:val="Normal"/>
    <w:link w:val="Heading3Char"/>
    <w:uiPriority w:val="9"/>
    <w:qFormat/>
    <w:rsid w:val="00120B9B"/>
    <w:pPr>
      <w:keepNext/>
      <w:spacing w:before="240" w:after="60"/>
      <w:outlineLvl w:val="2"/>
    </w:pPr>
    <w:rPr>
      <w:rFonts w:ascii="Arial" w:eastAsia="Times New Roman" w:hAnsi="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Formatting">
    <w:name w:val="NHS Formatting"/>
    <w:basedOn w:val="Normal"/>
    <w:autoRedefine/>
    <w:qFormat/>
    <w:rsid w:val="00C33864"/>
    <w:pPr>
      <w:autoSpaceDE w:val="0"/>
      <w:autoSpaceDN w:val="0"/>
      <w:spacing w:after="0" w:line="240" w:lineRule="auto"/>
    </w:pPr>
    <w:rPr>
      <w:rFonts w:ascii="Arial" w:eastAsia="Times New Roman" w:hAnsi="Arial" w:cs="Arial"/>
      <w:sz w:val="20"/>
      <w:szCs w:val="20"/>
      <w:lang w:eastAsia="en-GB"/>
    </w:rPr>
  </w:style>
  <w:style w:type="paragraph" w:customStyle="1" w:styleId="NHSPBodycopy">
    <w:name w:val="NHSP Body copy"/>
    <w:next w:val="BodyText"/>
    <w:qFormat/>
    <w:rsid w:val="00AB3EC3"/>
    <w:pPr>
      <w:spacing w:line="360" w:lineRule="auto"/>
    </w:pPr>
    <w:rPr>
      <w:rFonts w:ascii="Arial" w:eastAsia="Times New Roman" w:hAnsi="Arial"/>
      <w:sz w:val="22"/>
      <w:szCs w:val="24"/>
      <w:lang w:eastAsia="en-US"/>
    </w:rPr>
  </w:style>
  <w:style w:type="paragraph" w:styleId="BodyText">
    <w:name w:val="Body Text"/>
    <w:basedOn w:val="Normal"/>
    <w:link w:val="BodyTextChar"/>
    <w:uiPriority w:val="99"/>
    <w:semiHidden/>
    <w:unhideWhenUsed/>
    <w:rsid w:val="00AB3EC3"/>
    <w:pPr>
      <w:spacing w:after="120"/>
    </w:pPr>
  </w:style>
  <w:style w:type="character" w:customStyle="1" w:styleId="BodyTextChar">
    <w:name w:val="Body Text Char"/>
    <w:basedOn w:val="DefaultParagraphFont"/>
    <w:link w:val="BodyText"/>
    <w:uiPriority w:val="99"/>
    <w:semiHidden/>
    <w:rsid w:val="00AB3EC3"/>
  </w:style>
  <w:style w:type="paragraph" w:customStyle="1" w:styleId="Style1">
    <w:name w:val="Style1"/>
    <w:basedOn w:val="Heading1"/>
    <w:next w:val="Heading1"/>
    <w:qFormat/>
    <w:rsid w:val="008B4FC5"/>
    <w:pPr>
      <w:keepLines w:val="0"/>
      <w:spacing w:before="240"/>
    </w:pPr>
    <w:rPr>
      <w:rFonts w:cs="Arial"/>
      <w:kern w:val="32"/>
      <w:szCs w:val="32"/>
    </w:rPr>
  </w:style>
  <w:style w:type="character" w:customStyle="1" w:styleId="Heading1Char">
    <w:name w:val="Heading 1 Char"/>
    <w:link w:val="Heading1"/>
    <w:uiPriority w:val="9"/>
    <w:rsid w:val="00723515"/>
    <w:rPr>
      <w:rFonts w:ascii="Arial" w:eastAsia="Times New Roman" w:hAnsi="Arial"/>
      <w:b/>
      <w:bCs/>
      <w:sz w:val="24"/>
      <w:szCs w:val="28"/>
      <w:lang w:eastAsia="en-US"/>
    </w:rPr>
  </w:style>
  <w:style w:type="paragraph" w:customStyle="1" w:styleId="NHSBSAPTHeading">
    <w:name w:val="NHSBSA P&amp;T Heading"/>
    <w:basedOn w:val="Heading1"/>
    <w:qFormat/>
    <w:rsid w:val="001C451D"/>
    <w:pPr>
      <w:keepLines w:val="0"/>
      <w:pBdr>
        <w:bottom w:val="single" w:sz="4" w:space="1" w:color="003893"/>
      </w:pBdr>
      <w:spacing w:before="0"/>
    </w:pPr>
    <w:rPr>
      <w:rFonts w:cs="Arial"/>
      <w:color w:val="003893"/>
      <w:kern w:val="32"/>
      <w:sz w:val="32"/>
      <w:szCs w:val="32"/>
      <w:lang w:eastAsia="en-GB"/>
    </w:rPr>
  </w:style>
  <w:style w:type="paragraph" w:customStyle="1" w:styleId="NHSBSAPT">
    <w:name w:val="NHSBSA P&amp;T"/>
    <w:basedOn w:val="Heading2"/>
    <w:qFormat/>
    <w:rsid w:val="001C451D"/>
    <w:pPr>
      <w:keepLines w:val="0"/>
      <w:spacing w:before="0"/>
    </w:pPr>
    <w:rPr>
      <w:rFonts w:cs="Arial"/>
      <w:iCs/>
      <w:color w:val="003893"/>
      <w:sz w:val="28"/>
      <w:szCs w:val="28"/>
      <w:lang w:eastAsia="en-GB"/>
    </w:rPr>
  </w:style>
  <w:style w:type="character" w:customStyle="1" w:styleId="Heading2Char">
    <w:name w:val="Heading 2 Char"/>
    <w:link w:val="Heading2"/>
    <w:uiPriority w:val="9"/>
    <w:rsid w:val="00DC3047"/>
    <w:rPr>
      <w:rFonts w:ascii="Arial" w:eastAsia="Times New Roman" w:hAnsi="Arial"/>
      <w:b/>
      <w:bCs/>
      <w:szCs w:val="26"/>
      <w:lang w:eastAsia="en-US"/>
    </w:rPr>
  </w:style>
  <w:style w:type="paragraph" w:customStyle="1" w:styleId="Chapter">
    <w:name w:val="Chapter"/>
    <w:basedOn w:val="Normal"/>
    <w:qFormat/>
    <w:rsid w:val="00A855E4"/>
    <w:pPr>
      <w:spacing w:after="0" w:line="240" w:lineRule="auto"/>
    </w:pPr>
    <w:rPr>
      <w:rFonts w:ascii="Arial" w:eastAsia="Times New Roman" w:hAnsi="Arial" w:cs="Arial"/>
      <w:b/>
      <w:color w:val="003893"/>
      <w:sz w:val="36"/>
      <w:szCs w:val="36"/>
    </w:rPr>
  </w:style>
  <w:style w:type="paragraph" w:styleId="BalloonText">
    <w:name w:val="Balloon Text"/>
    <w:basedOn w:val="Normal"/>
    <w:link w:val="BalloonTextChar"/>
    <w:uiPriority w:val="99"/>
    <w:semiHidden/>
    <w:unhideWhenUsed/>
    <w:rsid w:val="006729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984"/>
    <w:rPr>
      <w:rFonts w:ascii="Tahoma" w:hAnsi="Tahoma" w:cs="Tahoma"/>
      <w:sz w:val="16"/>
      <w:szCs w:val="16"/>
    </w:rPr>
  </w:style>
  <w:style w:type="paragraph" w:styleId="Header">
    <w:name w:val="header"/>
    <w:basedOn w:val="Normal"/>
    <w:link w:val="HeaderChar"/>
    <w:uiPriority w:val="99"/>
    <w:unhideWhenUsed/>
    <w:rsid w:val="00672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984"/>
  </w:style>
  <w:style w:type="paragraph" w:styleId="Footer">
    <w:name w:val="footer"/>
    <w:basedOn w:val="Normal"/>
    <w:link w:val="FooterChar"/>
    <w:uiPriority w:val="99"/>
    <w:unhideWhenUsed/>
    <w:rsid w:val="00672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984"/>
  </w:style>
  <w:style w:type="table" w:styleId="TableGrid">
    <w:name w:val="Table Grid"/>
    <w:basedOn w:val="TableNormal"/>
    <w:uiPriority w:val="59"/>
    <w:rsid w:val="00891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823E6"/>
    <w:rPr>
      <w:color w:val="0000FF"/>
      <w:u w:val="single"/>
    </w:rPr>
  </w:style>
  <w:style w:type="character" w:styleId="FollowedHyperlink">
    <w:name w:val="FollowedHyperlink"/>
    <w:uiPriority w:val="99"/>
    <w:semiHidden/>
    <w:unhideWhenUsed/>
    <w:rsid w:val="00C823E6"/>
    <w:rPr>
      <w:color w:val="800080"/>
      <w:u w:val="single"/>
    </w:rPr>
  </w:style>
  <w:style w:type="paragraph" w:styleId="NormalWeb">
    <w:name w:val="Normal (Web)"/>
    <w:basedOn w:val="Normal"/>
    <w:uiPriority w:val="99"/>
    <w:unhideWhenUsed/>
    <w:rsid w:val="00A54DA2"/>
    <w:pPr>
      <w:spacing w:before="100" w:beforeAutospacing="1" w:after="100" w:afterAutospacing="1" w:line="240" w:lineRule="auto"/>
    </w:pPr>
    <w:rPr>
      <w:rFonts w:ascii="Times" w:hAnsi="Times"/>
      <w:sz w:val="20"/>
      <w:szCs w:val="20"/>
    </w:rPr>
  </w:style>
  <w:style w:type="paragraph" w:customStyle="1" w:styleId="ColorfulShading-Accent31">
    <w:name w:val="Colorful Shading - Accent 31"/>
    <w:basedOn w:val="Normal"/>
    <w:uiPriority w:val="34"/>
    <w:qFormat/>
    <w:rsid w:val="004C11F0"/>
    <w:pPr>
      <w:spacing w:after="0" w:line="240" w:lineRule="auto"/>
      <w:ind w:left="720"/>
      <w:contextualSpacing/>
    </w:pPr>
    <w:rPr>
      <w:rFonts w:ascii="Times" w:hAnsi="Times"/>
      <w:sz w:val="20"/>
      <w:szCs w:val="20"/>
    </w:rPr>
  </w:style>
  <w:style w:type="paragraph" w:customStyle="1" w:styleId="LightList-Accent31">
    <w:name w:val="Light List - Accent 31"/>
    <w:hidden/>
    <w:uiPriority w:val="71"/>
    <w:rsid w:val="00510F2E"/>
    <w:rPr>
      <w:sz w:val="22"/>
      <w:szCs w:val="22"/>
      <w:lang w:eastAsia="en-US"/>
    </w:rPr>
  </w:style>
  <w:style w:type="paragraph" w:customStyle="1" w:styleId="LightGrid-Accent31">
    <w:name w:val="Light Grid - Accent 31"/>
    <w:basedOn w:val="Normal"/>
    <w:uiPriority w:val="34"/>
    <w:qFormat/>
    <w:rsid w:val="00426E2B"/>
    <w:pPr>
      <w:ind w:left="720"/>
      <w:contextualSpacing/>
    </w:pPr>
  </w:style>
  <w:style w:type="paragraph" w:customStyle="1" w:styleId="MediumGrid1-Accent21">
    <w:name w:val="Medium Grid 1 - Accent 21"/>
    <w:basedOn w:val="Normal"/>
    <w:uiPriority w:val="34"/>
    <w:qFormat/>
    <w:rsid w:val="003B175D"/>
    <w:pPr>
      <w:ind w:left="720"/>
      <w:contextualSpacing/>
    </w:pPr>
  </w:style>
  <w:style w:type="table" w:customStyle="1" w:styleId="TableGrid1">
    <w:name w:val="Table Grid1"/>
    <w:basedOn w:val="TableNormal"/>
    <w:next w:val="TableGrid"/>
    <w:uiPriority w:val="59"/>
    <w:rsid w:val="00CD58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D58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D58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22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022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E75CC"/>
    <w:rPr>
      <w:sz w:val="16"/>
      <w:szCs w:val="16"/>
    </w:rPr>
  </w:style>
  <w:style w:type="paragraph" w:styleId="CommentText">
    <w:name w:val="annotation text"/>
    <w:basedOn w:val="Normal"/>
    <w:link w:val="CommentTextChar"/>
    <w:uiPriority w:val="99"/>
    <w:unhideWhenUsed/>
    <w:rsid w:val="00EE75CC"/>
    <w:rPr>
      <w:sz w:val="20"/>
      <w:szCs w:val="20"/>
    </w:rPr>
  </w:style>
  <w:style w:type="character" w:customStyle="1" w:styleId="CommentTextChar">
    <w:name w:val="Comment Text Char"/>
    <w:link w:val="CommentText"/>
    <w:uiPriority w:val="99"/>
    <w:rsid w:val="00EE75CC"/>
    <w:rPr>
      <w:lang w:eastAsia="en-US"/>
    </w:rPr>
  </w:style>
  <w:style w:type="paragraph" w:styleId="CommentSubject">
    <w:name w:val="annotation subject"/>
    <w:basedOn w:val="CommentText"/>
    <w:next w:val="CommentText"/>
    <w:link w:val="CommentSubjectChar"/>
    <w:uiPriority w:val="99"/>
    <w:semiHidden/>
    <w:unhideWhenUsed/>
    <w:rsid w:val="00EE75CC"/>
    <w:rPr>
      <w:b/>
      <w:bCs/>
    </w:rPr>
  </w:style>
  <w:style w:type="character" w:customStyle="1" w:styleId="CommentSubjectChar">
    <w:name w:val="Comment Subject Char"/>
    <w:link w:val="CommentSubject"/>
    <w:uiPriority w:val="99"/>
    <w:semiHidden/>
    <w:rsid w:val="00EE75CC"/>
    <w:rPr>
      <w:b/>
      <w:bCs/>
      <w:lang w:eastAsia="en-US"/>
    </w:rPr>
  </w:style>
  <w:style w:type="character" w:customStyle="1" w:styleId="apple-converted-space">
    <w:name w:val="apple-converted-space"/>
    <w:rsid w:val="00D273D4"/>
  </w:style>
  <w:style w:type="table" w:customStyle="1" w:styleId="TableGrid6">
    <w:name w:val="Table Grid6"/>
    <w:basedOn w:val="TableNormal"/>
    <w:next w:val="TableGrid"/>
    <w:uiPriority w:val="59"/>
    <w:rsid w:val="00727E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27E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27E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070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C173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173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120B9B"/>
    <w:rPr>
      <w:rFonts w:ascii="Arial" w:eastAsia="Times New Roman" w:hAnsi="Arial" w:cs="Times New Roman"/>
      <w:b/>
      <w:bCs/>
      <w:sz w:val="24"/>
      <w:szCs w:val="26"/>
      <w:lang w:eastAsia="en-US"/>
    </w:rPr>
  </w:style>
  <w:style w:type="paragraph" w:styleId="TOCHeading">
    <w:name w:val="TOC Heading"/>
    <w:basedOn w:val="Heading1"/>
    <w:next w:val="Normal"/>
    <w:uiPriority w:val="39"/>
    <w:unhideWhenUsed/>
    <w:qFormat/>
    <w:rsid w:val="00120B9B"/>
    <w:pPr>
      <w:outlineLvl w:val="9"/>
    </w:pPr>
    <w:rPr>
      <w:rFonts w:ascii="Cambria" w:eastAsia="MS Gothic" w:hAnsi="Cambria"/>
      <w:color w:val="365F91"/>
      <w:lang w:val="en-US" w:eastAsia="ja-JP"/>
    </w:rPr>
  </w:style>
  <w:style w:type="paragraph" w:styleId="TOC1">
    <w:name w:val="toc 1"/>
    <w:basedOn w:val="Normal"/>
    <w:next w:val="Normal"/>
    <w:autoRedefine/>
    <w:uiPriority w:val="39"/>
    <w:unhideWhenUsed/>
    <w:rsid w:val="00120B9B"/>
  </w:style>
  <w:style w:type="paragraph" w:styleId="TOC2">
    <w:name w:val="toc 2"/>
    <w:basedOn w:val="Normal"/>
    <w:next w:val="Normal"/>
    <w:autoRedefine/>
    <w:uiPriority w:val="39"/>
    <w:unhideWhenUsed/>
    <w:rsid w:val="00EB75DD"/>
    <w:pPr>
      <w:tabs>
        <w:tab w:val="right" w:leader="dot" w:pos="9628"/>
      </w:tabs>
    </w:pPr>
    <w:rPr>
      <w:rFonts w:ascii="Arial" w:hAnsi="Arial" w:cs="Arial"/>
      <w:b/>
      <w:sz w:val="24"/>
      <w:szCs w:val="24"/>
    </w:rPr>
  </w:style>
  <w:style w:type="character" w:styleId="Strong">
    <w:name w:val="Strong"/>
    <w:uiPriority w:val="22"/>
    <w:qFormat/>
    <w:rsid w:val="00BA0B63"/>
    <w:rPr>
      <w:b/>
      <w:bCs/>
    </w:rPr>
  </w:style>
  <w:style w:type="paragraph" w:customStyle="1" w:styleId="BasicParagraph">
    <w:name w:val="[Basic Paragraph]"/>
    <w:basedOn w:val="Normal"/>
    <w:uiPriority w:val="99"/>
    <w:rsid w:val="00D03A86"/>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n-US"/>
    </w:rPr>
  </w:style>
  <w:style w:type="paragraph" w:customStyle="1" w:styleId="MediumGrid21">
    <w:name w:val="Medium Grid 21"/>
    <w:uiPriority w:val="99"/>
    <w:qFormat/>
    <w:rsid w:val="00A90B6D"/>
    <w:rPr>
      <w:sz w:val="22"/>
      <w:szCs w:val="22"/>
      <w:lang w:eastAsia="en-US"/>
    </w:rPr>
  </w:style>
  <w:style w:type="character" w:styleId="UnresolvedMention">
    <w:name w:val="Unresolved Mention"/>
    <w:uiPriority w:val="99"/>
    <w:semiHidden/>
    <w:unhideWhenUsed/>
    <w:rsid w:val="00B6566C"/>
    <w:rPr>
      <w:color w:val="605E5C"/>
      <w:shd w:val="clear" w:color="auto" w:fill="E1DFDD"/>
    </w:rPr>
  </w:style>
  <w:style w:type="paragraph" w:styleId="ListParagraph">
    <w:name w:val="List Paragraph"/>
    <w:basedOn w:val="Normal"/>
    <w:uiPriority w:val="63"/>
    <w:qFormat/>
    <w:rsid w:val="00E95FA5"/>
    <w:pPr>
      <w:ind w:left="720"/>
      <w:contextualSpacing/>
    </w:pPr>
  </w:style>
  <w:style w:type="table" w:styleId="GridTable4-Accent1">
    <w:name w:val="Grid Table 4 Accent 1"/>
    <w:basedOn w:val="TableNormal"/>
    <w:uiPriority w:val="49"/>
    <w:rsid w:val="001F5FB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A8201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1D0E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7876">
      <w:bodyDiv w:val="1"/>
      <w:marLeft w:val="0"/>
      <w:marRight w:val="0"/>
      <w:marTop w:val="0"/>
      <w:marBottom w:val="0"/>
      <w:divBdr>
        <w:top w:val="none" w:sz="0" w:space="0" w:color="auto"/>
        <w:left w:val="none" w:sz="0" w:space="0" w:color="auto"/>
        <w:bottom w:val="none" w:sz="0" w:space="0" w:color="auto"/>
        <w:right w:val="none" w:sz="0" w:space="0" w:color="auto"/>
      </w:divBdr>
    </w:div>
    <w:div w:id="28922868">
      <w:bodyDiv w:val="1"/>
      <w:marLeft w:val="0"/>
      <w:marRight w:val="0"/>
      <w:marTop w:val="0"/>
      <w:marBottom w:val="0"/>
      <w:divBdr>
        <w:top w:val="none" w:sz="0" w:space="0" w:color="auto"/>
        <w:left w:val="none" w:sz="0" w:space="0" w:color="auto"/>
        <w:bottom w:val="none" w:sz="0" w:space="0" w:color="auto"/>
        <w:right w:val="none" w:sz="0" w:space="0" w:color="auto"/>
      </w:divBdr>
    </w:div>
    <w:div w:id="41826681">
      <w:bodyDiv w:val="1"/>
      <w:marLeft w:val="0"/>
      <w:marRight w:val="0"/>
      <w:marTop w:val="0"/>
      <w:marBottom w:val="0"/>
      <w:divBdr>
        <w:top w:val="none" w:sz="0" w:space="0" w:color="auto"/>
        <w:left w:val="none" w:sz="0" w:space="0" w:color="auto"/>
        <w:bottom w:val="none" w:sz="0" w:space="0" w:color="auto"/>
        <w:right w:val="none" w:sz="0" w:space="0" w:color="auto"/>
      </w:divBdr>
    </w:div>
    <w:div w:id="64573597">
      <w:bodyDiv w:val="1"/>
      <w:marLeft w:val="0"/>
      <w:marRight w:val="0"/>
      <w:marTop w:val="0"/>
      <w:marBottom w:val="0"/>
      <w:divBdr>
        <w:top w:val="none" w:sz="0" w:space="0" w:color="auto"/>
        <w:left w:val="none" w:sz="0" w:space="0" w:color="auto"/>
        <w:bottom w:val="none" w:sz="0" w:space="0" w:color="auto"/>
        <w:right w:val="none" w:sz="0" w:space="0" w:color="auto"/>
      </w:divBdr>
    </w:div>
    <w:div w:id="98062394">
      <w:bodyDiv w:val="1"/>
      <w:marLeft w:val="0"/>
      <w:marRight w:val="0"/>
      <w:marTop w:val="0"/>
      <w:marBottom w:val="0"/>
      <w:divBdr>
        <w:top w:val="none" w:sz="0" w:space="0" w:color="auto"/>
        <w:left w:val="none" w:sz="0" w:space="0" w:color="auto"/>
        <w:bottom w:val="none" w:sz="0" w:space="0" w:color="auto"/>
        <w:right w:val="none" w:sz="0" w:space="0" w:color="auto"/>
      </w:divBdr>
    </w:div>
    <w:div w:id="120072696">
      <w:bodyDiv w:val="1"/>
      <w:marLeft w:val="0"/>
      <w:marRight w:val="0"/>
      <w:marTop w:val="0"/>
      <w:marBottom w:val="0"/>
      <w:divBdr>
        <w:top w:val="none" w:sz="0" w:space="0" w:color="auto"/>
        <w:left w:val="none" w:sz="0" w:space="0" w:color="auto"/>
        <w:bottom w:val="none" w:sz="0" w:space="0" w:color="auto"/>
        <w:right w:val="none" w:sz="0" w:space="0" w:color="auto"/>
      </w:divBdr>
    </w:div>
    <w:div w:id="138041074">
      <w:bodyDiv w:val="1"/>
      <w:marLeft w:val="0"/>
      <w:marRight w:val="0"/>
      <w:marTop w:val="0"/>
      <w:marBottom w:val="0"/>
      <w:divBdr>
        <w:top w:val="none" w:sz="0" w:space="0" w:color="auto"/>
        <w:left w:val="none" w:sz="0" w:space="0" w:color="auto"/>
        <w:bottom w:val="none" w:sz="0" w:space="0" w:color="auto"/>
        <w:right w:val="none" w:sz="0" w:space="0" w:color="auto"/>
      </w:divBdr>
      <w:divsChild>
        <w:div w:id="1577930984">
          <w:marLeft w:val="0"/>
          <w:marRight w:val="0"/>
          <w:marTop w:val="0"/>
          <w:marBottom w:val="0"/>
          <w:divBdr>
            <w:top w:val="none" w:sz="0" w:space="0" w:color="auto"/>
            <w:left w:val="none" w:sz="0" w:space="0" w:color="auto"/>
            <w:bottom w:val="none" w:sz="0" w:space="0" w:color="auto"/>
            <w:right w:val="none" w:sz="0" w:space="0" w:color="auto"/>
          </w:divBdr>
          <w:divsChild>
            <w:div w:id="1523392790">
              <w:marLeft w:val="0"/>
              <w:marRight w:val="0"/>
              <w:marTop w:val="0"/>
              <w:marBottom w:val="0"/>
              <w:divBdr>
                <w:top w:val="none" w:sz="0" w:space="0" w:color="auto"/>
                <w:left w:val="none" w:sz="0" w:space="0" w:color="auto"/>
                <w:bottom w:val="none" w:sz="0" w:space="0" w:color="auto"/>
                <w:right w:val="none" w:sz="0" w:space="0" w:color="auto"/>
              </w:divBdr>
            </w:div>
          </w:divsChild>
        </w:div>
        <w:div w:id="1934701545">
          <w:marLeft w:val="0"/>
          <w:marRight w:val="0"/>
          <w:marTop w:val="0"/>
          <w:marBottom w:val="0"/>
          <w:divBdr>
            <w:top w:val="none" w:sz="0" w:space="0" w:color="auto"/>
            <w:left w:val="none" w:sz="0" w:space="0" w:color="auto"/>
            <w:bottom w:val="none" w:sz="0" w:space="0" w:color="auto"/>
            <w:right w:val="none" w:sz="0" w:space="0" w:color="auto"/>
          </w:divBdr>
        </w:div>
      </w:divsChild>
    </w:div>
    <w:div w:id="144319771">
      <w:bodyDiv w:val="1"/>
      <w:marLeft w:val="0"/>
      <w:marRight w:val="0"/>
      <w:marTop w:val="0"/>
      <w:marBottom w:val="0"/>
      <w:divBdr>
        <w:top w:val="none" w:sz="0" w:space="0" w:color="auto"/>
        <w:left w:val="none" w:sz="0" w:space="0" w:color="auto"/>
        <w:bottom w:val="none" w:sz="0" w:space="0" w:color="auto"/>
        <w:right w:val="none" w:sz="0" w:space="0" w:color="auto"/>
      </w:divBdr>
    </w:div>
    <w:div w:id="146091220">
      <w:bodyDiv w:val="1"/>
      <w:marLeft w:val="0"/>
      <w:marRight w:val="0"/>
      <w:marTop w:val="0"/>
      <w:marBottom w:val="0"/>
      <w:divBdr>
        <w:top w:val="none" w:sz="0" w:space="0" w:color="auto"/>
        <w:left w:val="none" w:sz="0" w:space="0" w:color="auto"/>
        <w:bottom w:val="none" w:sz="0" w:space="0" w:color="auto"/>
        <w:right w:val="none" w:sz="0" w:space="0" w:color="auto"/>
      </w:divBdr>
    </w:div>
    <w:div w:id="151335992">
      <w:bodyDiv w:val="1"/>
      <w:marLeft w:val="0"/>
      <w:marRight w:val="0"/>
      <w:marTop w:val="0"/>
      <w:marBottom w:val="0"/>
      <w:divBdr>
        <w:top w:val="none" w:sz="0" w:space="0" w:color="auto"/>
        <w:left w:val="none" w:sz="0" w:space="0" w:color="auto"/>
        <w:bottom w:val="none" w:sz="0" w:space="0" w:color="auto"/>
        <w:right w:val="none" w:sz="0" w:space="0" w:color="auto"/>
      </w:divBdr>
    </w:div>
    <w:div w:id="178356129">
      <w:bodyDiv w:val="1"/>
      <w:marLeft w:val="0"/>
      <w:marRight w:val="0"/>
      <w:marTop w:val="0"/>
      <w:marBottom w:val="0"/>
      <w:divBdr>
        <w:top w:val="none" w:sz="0" w:space="0" w:color="auto"/>
        <w:left w:val="none" w:sz="0" w:space="0" w:color="auto"/>
        <w:bottom w:val="none" w:sz="0" w:space="0" w:color="auto"/>
        <w:right w:val="none" w:sz="0" w:space="0" w:color="auto"/>
      </w:divBdr>
    </w:div>
    <w:div w:id="230821440">
      <w:bodyDiv w:val="1"/>
      <w:marLeft w:val="0"/>
      <w:marRight w:val="0"/>
      <w:marTop w:val="0"/>
      <w:marBottom w:val="0"/>
      <w:divBdr>
        <w:top w:val="none" w:sz="0" w:space="0" w:color="auto"/>
        <w:left w:val="none" w:sz="0" w:space="0" w:color="auto"/>
        <w:bottom w:val="none" w:sz="0" w:space="0" w:color="auto"/>
        <w:right w:val="none" w:sz="0" w:space="0" w:color="auto"/>
      </w:divBdr>
    </w:div>
    <w:div w:id="263345150">
      <w:bodyDiv w:val="1"/>
      <w:marLeft w:val="0"/>
      <w:marRight w:val="0"/>
      <w:marTop w:val="0"/>
      <w:marBottom w:val="0"/>
      <w:divBdr>
        <w:top w:val="none" w:sz="0" w:space="0" w:color="auto"/>
        <w:left w:val="none" w:sz="0" w:space="0" w:color="auto"/>
        <w:bottom w:val="none" w:sz="0" w:space="0" w:color="auto"/>
        <w:right w:val="none" w:sz="0" w:space="0" w:color="auto"/>
      </w:divBdr>
    </w:div>
    <w:div w:id="277225118">
      <w:bodyDiv w:val="1"/>
      <w:marLeft w:val="0"/>
      <w:marRight w:val="0"/>
      <w:marTop w:val="0"/>
      <w:marBottom w:val="0"/>
      <w:divBdr>
        <w:top w:val="none" w:sz="0" w:space="0" w:color="auto"/>
        <w:left w:val="none" w:sz="0" w:space="0" w:color="auto"/>
        <w:bottom w:val="none" w:sz="0" w:space="0" w:color="auto"/>
        <w:right w:val="none" w:sz="0" w:space="0" w:color="auto"/>
      </w:divBdr>
    </w:div>
    <w:div w:id="313072339">
      <w:bodyDiv w:val="1"/>
      <w:marLeft w:val="0"/>
      <w:marRight w:val="0"/>
      <w:marTop w:val="0"/>
      <w:marBottom w:val="0"/>
      <w:divBdr>
        <w:top w:val="none" w:sz="0" w:space="0" w:color="auto"/>
        <w:left w:val="none" w:sz="0" w:space="0" w:color="auto"/>
        <w:bottom w:val="none" w:sz="0" w:space="0" w:color="auto"/>
        <w:right w:val="none" w:sz="0" w:space="0" w:color="auto"/>
      </w:divBdr>
    </w:div>
    <w:div w:id="315765098">
      <w:bodyDiv w:val="1"/>
      <w:marLeft w:val="0"/>
      <w:marRight w:val="0"/>
      <w:marTop w:val="0"/>
      <w:marBottom w:val="0"/>
      <w:divBdr>
        <w:top w:val="none" w:sz="0" w:space="0" w:color="auto"/>
        <w:left w:val="none" w:sz="0" w:space="0" w:color="auto"/>
        <w:bottom w:val="none" w:sz="0" w:space="0" w:color="auto"/>
        <w:right w:val="none" w:sz="0" w:space="0" w:color="auto"/>
      </w:divBdr>
    </w:div>
    <w:div w:id="318850587">
      <w:bodyDiv w:val="1"/>
      <w:marLeft w:val="0"/>
      <w:marRight w:val="0"/>
      <w:marTop w:val="0"/>
      <w:marBottom w:val="0"/>
      <w:divBdr>
        <w:top w:val="none" w:sz="0" w:space="0" w:color="auto"/>
        <w:left w:val="none" w:sz="0" w:space="0" w:color="auto"/>
        <w:bottom w:val="none" w:sz="0" w:space="0" w:color="auto"/>
        <w:right w:val="none" w:sz="0" w:space="0" w:color="auto"/>
      </w:divBdr>
    </w:div>
    <w:div w:id="339551991">
      <w:bodyDiv w:val="1"/>
      <w:marLeft w:val="0"/>
      <w:marRight w:val="0"/>
      <w:marTop w:val="0"/>
      <w:marBottom w:val="0"/>
      <w:divBdr>
        <w:top w:val="none" w:sz="0" w:space="0" w:color="auto"/>
        <w:left w:val="none" w:sz="0" w:space="0" w:color="auto"/>
        <w:bottom w:val="none" w:sz="0" w:space="0" w:color="auto"/>
        <w:right w:val="none" w:sz="0" w:space="0" w:color="auto"/>
      </w:divBdr>
    </w:div>
    <w:div w:id="357463531">
      <w:bodyDiv w:val="1"/>
      <w:marLeft w:val="0"/>
      <w:marRight w:val="0"/>
      <w:marTop w:val="0"/>
      <w:marBottom w:val="0"/>
      <w:divBdr>
        <w:top w:val="none" w:sz="0" w:space="0" w:color="auto"/>
        <w:left w:val="none" w:sz="0" w:space="0" w:color="auto"/>
        <w:bottom w:val="none" w:sz="0" w:space="0" w:color="auto"/>
        <w:right w:val="none" w:sz="0" w:space="0" w:color="auto"/>
      </w:divBdr>
    </w:div>
    <w:div w:id="377777656">
      <w:bodyDiv w:val="1"/>
      <w:marLeft w:val="0"/>
      <w:marRight w:val="0"/>
      <w:marTop w:val="0"/>
      <w:marBottom w:val="0"/>
      <w:divBdr>
        <w:top w:val="none" w:sz="0" w:space="0" w:color="auto"/>
        <w:left w:val="none" w:sz="0" w:space="0" w:color="auto"/>
        <w:bottom w:val="none" w:sz="0" w:space="0" w:color="auto"/>
        <w:right w:val="none" w:sz="0" w:space="0" w:color="auto"/>
      </w:divBdr>
    </w:div>
    <w:div w:id="413860283">
      <w:bodyDiv w:val="1"/>
      <w:marLeft w:val="0"/>
      <w:marRight w:val="0"/>
      <w:marTop w:val="0"/>
      <w:marBottom w:val="0"/>
      <w:divBdr>
        <w:top w:val="none" w:sz="0" w:space="0" w:color="auto"/>
        <w:left w:val="none" w:sz="0" w:space="0" w:color="auto"/>
        <w:bottom w:val="none" w:sz="0" w:space="0" w:color="auto"/>
        <w:right w:val="none" w:sz="0" w:space="0" w:color="auto"/>
      </w:divBdr>
    </w:div>
    <w:div w:id="477115941">
      <w:bodyDiv w:val="1"/>
      <w:marLeft w:val="0"/>
      <w:marRight w:val="0"/>
      <w:marTop w:val="0"/>
      <w:marBottom w:val="0"/>
      <w:divBdr>
        <w:top w:val="none" w:sz="0" w:space="0" w:color="auto"/>
        <w:left w:val="none" w:sz="0" w:space="0" w:color="auto"/>
        <w:bottom w:val="none" w:sz="0" w:space="0" w:color="auto"/>
        <w:right w:val="none" w:sz="0" w:space="0" w:color="auto"/>
      </w:divBdr>
    </w:div>
    <w:div w:id="478111559">
      <w:bodyDiv w:val="1"/>
      <w:marLeft w:val="0"/>
      <w:marRight w:val="0"/>
      <w:marTop w:val="0"/>
      <w:marBottom w:val="0"/>
      <w:divBdr>
        <w:top w:val="none" w:sz="0" w:space="0" w:color="auto"/>
        <w:left w:val="none" w:sz="0" w:space="0" w:color="auto"/>
        <w:bottom w:val="none" w:sz="0" w:space="0" w:color="auto"/>
        <w:right w:val="none" w:sz="0" w:space="0" w:color="auto"/>
      </w:divBdr>
    </w:div>
    <w:div w:id="480074028">
      <w:bodyDiv w:val="1"/>
      <w:marLeft w:val="0"/>
      <w:marRight w:val="0"/>
      <w:marTop w:val="0"/>
      <w:marBottom w:val="0"/>
      <w:divBdr>
        <w:top w:val="none" w:sz="0" w:space="0" w:color="auto"/>
        <w:left w:val="none" w:sz="0" w:space="0" w:color="auto"/>
        <w:bottom w:val="none" w:sz="0" w:space="0" w:color="auto"/>
        <w:right w:val="none" w:sz="0" w:space="0" w:color="auto"/>
      </w:divBdr>
    </w:div>
    <w:div w:id="502163546">
      <w:bodyDiv w:val="1"/>
      <w:marLeft w:val="0"/>
      <w:marRight w:val="0"/>
      <w:marTop w:val="0"/>
      <w:marBottom w:val="0"/>
      <w:divBdr>
        <w:top w:val="none" w:sz="0" w:space="0" w:color="auto"/>
        <w:left w:val="none" w:sz="0" w:space="0" w:color="auto"/>
        <w:bottom w:val="none" w:sz="0" w:space="0" w:color="auto"/>
        <w:right w:val="none" w:sz="0" w:space="0" w:color="auto"/>
      </w:divBdr>
    </w:div>
    <w:div w:id="513110992">
      <w:bodyDiv w:val="1"/>
      <w:marLeft w:val="0"/>
      <w:marRight w:val="0"/>
      <w:marTop w:val="0"/>
      <w:marBottom w:val="0"/>
      <w:divBdr>
        <w:top w:val="none" w:sz="0" w:space="0" w:color="auto"/>
        <w:left w:val="none" w:sz="0" w:space="0" w:color="auto"/>
        <w:bottom w:val="none" w:sz="0" w:space="0" w:color="auto"/>
        <w:right w:val="none" w:sz="0" w:space="0" w:color="auto"/>
      </w:divBdr>
    </w:div>
    <w:div w:id="531190220">
      <w:bodyDiv w:val="1"/>
      <w:marLeft w:val="0"/>
      <w:marRight w:val="0"/>
      <w:marTop w:val="0"/>
      <w:marBottom w:val="0"/>
      <w:divBdr>
        <w:top w:val="none" w:sz="0" w:space="0" w:color="auto"/>
        <w:left w:val="none" w:sz="0" w:space="0" w:color="auto"/>
        <w:bottom w:val="none" w:sz="0" w:space="0" w:color="auto"/>
        <w:right w:val="none" w:sz="0" w:space="0" w:color="auto"/>
      </w:divBdr>
    </w:div>
    <w:div w:id="569072432">
      <w:bodyDiv w:val="1"/>
      <w:marLeft w:val="0"/>
      <w:marRight w:val="0"/>
      <w:marTop w:val="0"/>
      <w:marBottom w:val="0"/>
      <w:divBdr>
        <w:top w:val="none" w:sz="0" w:space="0" w:color="auto"/>
        <w:left w:val="none" w:sz="0" w:space="0" w:color="auto"/>
        <w:bottom w:val="none" w:sz="0" w:space="0" w:color="auto"/>
        <w:right w:val="none" w:sz="0" w:space="0" w:color="auto"/>
      </w:divBdr>
    </w:div>
    <w:div w:id="570965722">
      <w:bodyDiv w:val="1"/>
      <w:marLeft w:val="0"/>
      <w:marRight w:val="0"/>
      <w:marTop w:val="0"/>
      <w:marBottom w:val="0"/>
      <w:divBdr>
        <w:top w:val="none" w:sz="0" w:space="0" w:color="auto"/>
        <w:left w:val="none" w:sz="0" w:space="0" w:color="auto"/>
        <w:bottom w:val="none" w:sz="0" w:space="0" w:color="auto"/>
        <w:right w:val="none" w:sz="0" w:space="0" w:color="auto"/>
      </w:divBdr>
    </w:div>
    <w:div w:id="586156737">
      <w:bodyDiv w:val="1"/>
      <w:marLeft w:val="0"/>
      <w:marRight w:val="0"/>
      <w:marTop w:val="0"/>
      <w:marBottom w:val="0"/>
      <w:divBdr>
        <w:top w:val="none" w:sz="0" w:space="0" w:color="auto"/>
        <w:left w:val="none" w:sz="0" w:space="0" w:color="auto"/>
        <w:bottom w:val="none" w:sz="0" w:space="0" w:color="auto"/>
        <w:right w:val="none" w:sz="0" w:space="0" w:color="auto"/>
      </w:divBdr>
    </w:div>
    <w:div w:id="599487675">
      <w:bodyDiv w:val="1"/>
      <w:marLeft w:val="0"/>
      <w:marRight w:val="0"/>
      <w:marTop w:val="0"/>
      <w:marBottom w:val="0"/>
      <w:divBdr>
        <w:top w:val="none" w:sz="0" w:space="0" w:color="auto"/>
        <w:left w:val="none" w:sz="0" w:space="0" w:color="auto"/>
        <w:bottom w:val="none" w:sz="0" w:space="0" w:color="auto"/>
        <w:right w:val="none" w:sz="0" w:space="0" w:color="auto"/>
      </w:divBdr>
      <w:divsChild>
        <w:div w:id="250168836">
          <w:marLeft w:val="0"/>
          <w:marRight w:val="0"/>
          <w:marTop w:val="100"/>
          <w:marBottom w:val="100"/>
          <w:divBdr>
            <w:top w:val="none" w:sz="0" w:space="0" w:color="auto"/>
            <w:left w:val="none" w:sz="0" w:space="0" w:color="auto"/>
            <w:bottom w:val="none" w:sz="0" w:space="0" w:color="auto"/>
            <w:right w:val="none" w:sz="0" w:space="0" w:color="auto"/>
          </w:divBdr>
          <w:divsChild>
            <w:div w:id="21422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30787">
      <w:bodyDiv w:val="1"/>
      <w:marLeft w:val="0"/>
      <w:marRight w:val="0"/>
      <w:marTop w:val="0"/>
      <w:marBottom w:val="0"/>
      <w:divBdr>
        <w:top w:val="none" w:sz="0" w:space="0" w:color="auto"/>
        <w:left w:val="none" w:sz="0" w:space="0" w:color="auto"/>
        <w:bottom w:val="none" w:sz="0" w:space="0" w:color="auto"/>
        <w:right w:val="none" w:sz="0" w:space="0" w:color="auto"/>
      </w:divBdr>
    </w:div>
    <w:div w:id="722293294">
      <w:bodyDiv w:val="1"/>
      <w:marLeft w:val="0"/>
      <w:marRight w:val="0"/>
      <w:marTop w:val="0"/>
      <w:marBottom w:val="0"/>
      <w:divBdr>
        <w:top w:val="none" w:sz="0" w:space="0" w:color="auto"/>
        <w:left w:val="none" w:sz="0" w:space="0" w:color="auto"/>
        <w:bottom w:val="none" w:sz="0" w:space="0" w:color="auto"/>
        <w:right w:val="none" w:sz="0" w:space="0" w:color="auto"/>
      </w:divBdr>
    </w:div>
    <w:div w:id="731468137">
      <w:bodyDiv w:val="1"/>
      <w:marLeft w:val="0"/>
      <w:marRight w:val="0"/>
      <w:marTop w:val="0"/>
      <w:marBottom w:val="0"/>
      <w:divBdr>
        <w:top w:val="none" w:sz="0" w:space="0" w:color="auto"/>
        <w:left w:val="none" w:sz="0" w:space="0" w:color="auto"/>
        <w:bottom w:val="none" w:sz="0" w:space="0" w:color="auto"/>
        <w:right w:val="none" w:sz="0" w:space="0" w:color="auto"/>
      </w:divBdr>
    </w:div>
    <w:div w:id="746612969">
      <w:bodyDiv w:val="1"/>
      <w:marLeft w:val="0"/>
      <w:marRight w:val="0"/>
      <w:marTop w:val="0"/>
      <w:marBottom w:val="0"/>
      <w:divBdr>
        <w:top w:val="none" w:sz="0" w:space="0" w:color="auto"/>
        <w:left w:val="none" w:sz="0" w:space="0" w:color="auto"/>
        <w:bottom w:val="none" w:sz="0" w:space="0" w:color="auto"/>
        <w:right w:val="none" w:sz="0" w:space="0" w:color="auto"/>
      </w:divBdr>
    </w:div>
    <w:div w:id="748161508">
      <w:bodyDiv w:val="1"/>
      <w:marLeft w:val="0"/>
      <w:marRight w:val="0"/>
      <w:marTop w:val="0"/>
      <w:marBottom w:val="0"/>
      <w:divBdr>
        <w:top w:val="none" w:sz="0" w:space="0" w:color="auto"/>
        <w:left w:val="none" w:sz="0" w:space="0" w:color="auto"/>
        <w:bottom w:val="none" w:sz="0" w:space="0" w:color="auto"/>
        <w:right w:val="none" w:sz="0" w:space="0" w:color="auto"/>
      </w:divBdr>
    </w:div>
    <w:div w:id="754982206">
      <w:bodyDiv w:val="1"/>
      <w:marLeft w:val="0"/>
      <w:marRight w:val="0"/>
      <w:marTop w:val="0"/>
      <w:marBottom w:val="0"/>
      <w:divBdr>
        <w:top w:val="none" w:sz="0" w:space="0" w:color="auto"/>
        <w:left w:val="none" w:sz="0" w:space="0" w:color="auto"/>
        <w:bottom w:val="none" w:sz="0" w:space="0" w:color="auto"/>
        <w:right w:val="none" w:sz="0" w:space="0" w:color="auto"/>
      </w:divBdr>
    </w:div>
    <w:div w:id="759066964">
      <w:bodyDiv w:val="1"/>
      <w:marLeft w:val="0"/>
      <w:marRight w:val="0"/>
      <w:marTop w:val="0"/>
      <w:marBottom w:val="0"/>
      <w:divBdr>
        <w:top w:val="none" w:sz="0" w:space="0" w:color="auto"/>
        <w:left w:val="none" w:sz="0" w:space="0" w:color="auto"/>
        <w:bottom w:val="none" w:sz="0" w:space="0" w:color="auto"/>
        <w:right w:val="none" w:sz="0" w:space="0" w:color="auto"/>
      </w:divBdr>
    </w:div>
    <w:div w:id="778648037">
      <w:bodyDiv w:val="1"/>
      <w:marLeft w:val="0"/>
      <w:marRight w:val="0"/>
      <w:marTop w:val="0"/>
      <w:marBottom w:val="0"/>
      <w:divBdr>
        <w:top w:val="none" w:sz="0" w:space="0" w:color="auto"/>
        <w:left w:val="none" w:sz="0" w:space="0" w:color="auto"/>
        <w:bottom w:val="none" w:sz="0" w:space="0" w:color="auto"/>
        <w:right w:val="none" w:sz="0" w:space="0" w:color="auto"/>
      </w:divBdr>
    </w:div>
    <w:div w:id="780341677">
      <w:bodyDiv w:val="1"/>
      <w:marLeft w:val="0"/>
      <w:marRight w:val="0"/>
      <w:marTop w:val="0"/>
      <w:marBottom w:val="0"/>
      <w:divBdr>
        <w:top w:val="none" w:sz="0" w:space="0" w:color="auto"/>
        <w:left w:val="none" w:sz="0" w:space="0" w:color="auto"/>
        <w:bottom w:val="none" w:sz="0" w:space="0" w:color="auto"/>
        <w:right w:val="none" w:sz="0" w:space="0" w:color="auto"/>
      </w:divBdr>
      <w:divsChild>
        <w:div w:id="276183856">
          <w:marLeft w:val="1166"/>
          <w:marRight w:val="0"/>
          <w:marTop w:val="96"/>
          <w:marBottom w:val="0"/>
          <w:divBdr>
            <w:top w:val="none" w:sz="0" w:space="0" w:color="auto"/>
            <w:left w:val="none" w:sz="0" w:space="0" w:color="auto"/>
            <w:bottom w:val="none" w:sz="0" w:space="0" w:color="auto"/>
            <w:right w:val="none" w:sz="0" w:space="0" w:color="auto"/>
          </w:divBdr>
        </w:div>
        <w:div w:id="1005866910">
          <w:marLeft w:val="547"/>
          <w:marRight w:val="0"/>
          <w:marTop w:val="115"/>
          <w:marBottom w:val="0"/>
          <w:divBdr>
            <w:top w:val="none" w:sz="0" w:space="0" w:color="auto"/>
            <w:left w:val="none" w:sz="0" w:space="0" w:color="auto"/>
            <w:bottom w:val="none" w:sz="0" w:space="0" w:color="auto"/>
            <w:right w:val="none" w:sz="0" w:space="0" w:color="auto"/>
          </w:divBdr>
        </w:div>
        <w:div w:id="1591156479">
          <w:marLeft w:val="1166"/>
          <w:marRight w:val="0"/>
          <w:marTop w:val="96"/>
          <w:marBottom w:val="0"/>
          <w:divBdr>
            <w:top w:val="none" w:sz="0" w:space="0" w:color="auto"/>
            <w:left w:val="none" w:sz="0" w:space="0" w:color="auto"/>
            <w:bottom w:val="none" w:sz="0" w:space="0" w:color="auto"/>
            <w:right w:val="none" w:sz="0" w:space="0" w:color="auto"/>
          </w:divBdr>
        </w:div>
      </w:divsChild>
    </w:div>
    <w:div w:id="936787060">
      <w:bodyDiv w:val="1"/>
      <w:marLeft w:val="0"/>
      <w:marRight w:val="0"/>
      <w:marTop w:val="0"/>
      <w:marBottom w:val="0"/>
      <w:divBdr>
        <w:top w:val="none" w:sz="0" w:space="0" w:color="auto"/>
        <w:left w:val="none" w:sz="0" w:space="0" w:color="auto"/>
        <w:bottom w:val="none" w:sz="0" w:space="0" w:color="auto"/>
        <w:right w:val="none" w:sz="0" w:space="0" w:color="auto"/>
      </w:divBdr>
    </w:div>
    <w:div w:id="956908950">
      <w:bodyDiv w:val="1"/>
      <w:marLeft w:val="0"/>
      <w:marRight w:val="0"/>
      <w:marTop w:val="0"/>
      <w:marBottom w:val="0"/>
      <w:divBdr>
        <w:top w:val="none" w:sz="0" w:space="0" w:color="auto"/>
        <w:left w:val="none" w:sz="0" w:space="0" w:color="auto"/>
        <w:bottom w:val="none" w:sz="0" w:space="0" w:color="auto"/>
        <w:right w:val="none" w:sz="0" w:space="0" w:color="auto"/>
      </w:divBdr>
    </w:div>
    <w:div w:id="967470988">
      <w:bodyDiv w:val="1"/>
      <w:marLeft w:val="0"/>
      <w:marRight w:val="0"/>
      <w:marTop w:val="0"/>
      <w:marBottom w:val="0"/>
      <w:divBdr>
        <w:top w:val="none" w:sz="0" w:space="0" w:color="auto"/>
        <w:left w:val="none" w:sz="0" w:space="0" w:color="auto"/>
        <w:bottom w:val="none" w:sz="0" w:space="0" w:color="auto"/>
        <w:right w:val="none" w:sz="0" w:space="0" w:color="auto"/>
      </w:divBdr>
    </w:div>
    <w:div w:id="1020355031">
      <w:bodyDiv w:val="1"/>
      <w:marLeft w:val="0"/>
      <w:marRight w:val="0"/>
      <w:marTop w:val="0"/>
      <w:marBottom w:val="0"/>
      <w:divBdr>
        <w:top w:val="none" w:sz="0" w:space="0" w:color="auto"/>
        <w:left w:val="none" w:sz="0" w:space="0" w:color="auto"/>
        <w:bottom w:val="none" w:sz="0" w:space="0" w:color="auto"/>
        <w:right w:val="none" w:sz="0" w:space="0" w:color="auto"/>
      </w:divBdr>
    </w:div>
    <w:div w:id="1022559182">
      <w:bodyDiv w:val="1"/>
      <w:marLeft w:val="0"/>
      <w:marRight w:val="0"/>
      <w:marTop w:val="0"/>
      <w:marBottom w:val="0"/>
      <w:divBdr>
        <w:top w:val="none" w:sz="0" w:space="0" w:color="auto"/>
        <w:left w:val="none" w:sz="0" w:space="0" w:color="auto"/>
        <w:bottom w:val="none" w:sz="0" w:space="0" w:color="auto"/>
        <w:right w:val="none" w:sz="0" w:space="0" w:color="auto"/>
      </w:divBdr>
    </w:div>
    <w:div w:id="1057127728">
      <w:bodyDiv w:val="1"/>
      <w:marLeft w:val="0"/>
      <w:marRight w:val="0"/>
      <w:marTop w:val="0"/>
      <w:marBottom w:val="0"/>
      <w:divBdr>
        <w:top w:val="none" w:sz="0" w:space="0" w:color="auto"/>
        <w:left w:val="none" w:sz="0" w:space="0" w:color="auto"/>
        <w:bottom w:val="none" w:sz="0" w:space="0" w:color="auto"/>
        <w:right w:val="none" w:sz="0" w:space="0" w:color="auto"/>
      </w:divBdr>
      <w:divsChild>
        <w:div w:id="33083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381911">
              <w:marLeft w:val="0"/>
              <w:marRight w:val="0"/>
              <w:marTop w:val="0"/>
              <w:marBottom w:val="0"/>
              <w:divBdr>
                <w:top w:val="none" w:sz="0" w:space="0" w:color="auto"/>
                <w:left w:val="none" w:sz="0" w:space="0" w:color="auto"/>
                <w:bottom w:val="none" w:sz="0" w:space="0" w:color="auto"/>
                <w:right w:val="none" w:sz="0" w:space="0" w:color="auto"/>
              </w:divBdr>
              <w:divsChild>
                <w:div w:id="781219211">
                  <w:marLeft w:val="0"/>
                  <w:marRight w:val="0"/>
                  <w:marTop w:val="0"/>
                  <w:marBottom w:val="0"/>
                  <w:divBdr>
                    <w:top w:val="none" w:sz="0" w:space="0" w:color="auto"/>
                    <w:left w:val="none" w:sz="0" w:space="0" w:color="auto"/>
                    <w:bottom w:val="none" w:sz="0" w:space="0" w:color="auto"/>
                    <w:right w:val="none" w:sz="0" w:space="0" w:color="auto"/>
                  </w:divBdr>
                  <w:divsChild>
                    <w:div w:id="1936665511">
                      <w:marLeft w:val="0"/>
                      <w:marRight w:val="0"/>
                      <w:marTop w:val="0"/>
                      <w:marBottom w:val="0"/>
                      <w:divBdr>
                        <w:top w:val="none" w:sz="0" w:space="0" w:color="auto"/>
                        <w:left w:val="none" w:sz="0" w:space="0" w:color="auto"/>
                        <w:bottom w:val="none" w:sz="0" w:space="0" w:color="auto"/>
                        <w:right w:val="none" w:sz="0" w:space="0" w:color="auto"/>
                      </w:divBdr>
                      <w:divsChild>
                        <w:div w:id="1087309801">
                          <w:marLeft w:val="0"/>
                          <w:marRight w:val="0"/>
                          <w:marTop w:val="0"/>
                          <w:marBottom w:val="0"/>
                          <w:divBdr>
                            <w:top w:val="none" w:sz="0" w:space="0" w:color="auto"/>
                            <w:left w:val="none" w:sz="0" w:space="0" w:color="auto"/>
                            <w:bottom w:val="none" w:sz="0" w:space="0" w:color="auto"/>
                            <w:right w:val="none" w:sz="0" w:space="0" w:color="auto"/>
                          </w:divBdr>
                          <w:divsChild>
                            <w:div w:id="30497033">
                              <w:marLeft w:val="0"/>
                              <w:marRight w:val="0"/>
                              <w:marTop w:val="0"/>
                              <w:marBottom w:val="0"/>
                              <w:divBdr>
                                <w:top w:val="none" w:sz="0" w:space="0" w:color="auto"/>
                                <w:left w:val="none" w:sz="0" w:space="0" w:color="auto"/>
                                <w:bottom w:val="none" w:sz="0" w:space="0" w:color="auto"/>
                                <w:right w:val="none" w:sz="0" w:space="0" w:color="auto"/>
                              </w:divBdr>
                              <w:divsChild>
                                <w:div w:id="1441878058">
                                  <w:marLeft w:val="0"/>
                                  <w:marRight w:val="0"/>
                                  <w:marTop w:val="0"/>
                                  <w:marBottom w:val="0"/>
                                  <w:divBdr>
                                    <w:top w:val="none" w:sz="0" w:space="0" w:color="auto"/>
                                    <w:left w:val="none" w:sz="0" w:space="0" w:color="auto"/>
                                    <w:bottom w:val="none" w:sz="0" w:space="0" w:color="auto"/>
                                    <w:right w:val="none" w:sz="0" w:space="0" w:color="auto"/>
                                  </w:divBdr>
                                  <w:divsChild>
                                    <w:div w:id="1160461815">
                                      <w:marLeft w:val="0"/>
                                      <w:marRight w:val="0"/>
                                      <w:marTop w:val="0"/>
                                      <w:marBottom w:val="0"/>
                                      <w:divBdr>
                                        <w:top w:val="none" w:sz="0" w:space="0" w:color="auto"/>
                                        <w:left w:val="none" w:sz="0" w:space="0" w:color="auto"/>
                                        <w:bottom w:val="none" w:sz="0" w:space="0" w:color="auto"/>
                                        <w:right w:val="none" w:sz="0" w:space="0" w:color="auto"/>
                                      </w:divBdr>
                                      <w:divsChild>
                                        <w:div w:id="348801398">
                                          <w:marLeft w:val="0"/>
                                          <w:marRight w:val="0"/>
                                          <w:marTop w:val="0"/>
                                          <w:marBottom w:val="0"/>
                                          <w:divBdr>
                                            <w:top w:val="none" w:sz="0" w:space="0" w:color="auto"/>
                                            <w:left w:val="none" w:sz="0" w:space="0" w:color="auto"/>
                                            <w:bottom w:val="none" w:sz="0" w:space="0" w:color="auto"/>
                                            <w:right w:val="none" w:sz="0" w:space="0" w:color="auto"/>
                                          </w:divBdr>
                                          <w:divsChild>
                                            <w:div w:id="16838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734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170437">
              <w:marLeft w:val="0"/>
              <w:marRight w:val="0"/>
              <w:marTop w:val="0"/>
              <w:marBottom w:val="0"/>
              <w:divBdr>
                <w:top w:val="none" w:sz="0" w:space="0" w:color="auto"/>
                <w:left w:val="none" w:sz="0" w:space="0" w:color="auto"/>
                <w:bottom w:val="none" w:sz="0" w:space="0" w:color="auto"/>
                <w:right w:val="none" w:sz="0" w:space="0" w:color="auto"/>
              </w:divBdr>
              <w:divsChild>
                <w:div w:id="2037391203">
                  <w:marLeft w:val="0"/>
                  <w:marRight w:val="0"/>
                  <w:marTop w:val="0"/>
                  <w:marBottom w:val="0"/>
                  <w:divBdr>
                    <w:top w:val="none" w:sz="0" w:space="0" w:color="auto"/>
                    <w:left w:val="none" w:sz="0" w:space="0" w:color="auto"/>
                    <w:bottom w:val="none" w:sz="0" w:space="0" w:color="auto"/>
                    <w:right w:val="none" w:sz="0" w:space="0" w:color="auto"/>
                  </w:divBdr>
                  <w:divsChild>
                    <w:div w:id="1199513298">
                      <w:marLeft w:val="0"/>
                      <w:marRight w:val="0"/>
                      <w:marTop w:val="0"/>
                      <w:marBottom w:val="0"/>
                      <w:divBdr>
                        <w:top w:val="none" w:sz="0" w:space="0" w:color="auto"/>
                        <w:left w:val="none" w:sz="0" w:space="0" w:color="auto"/>
                        <w:bottom w:val="none" w:sz="0" w:space="0" w:color="auto"/>
                        <w:right w:val="none" w:sz="0" w:space="0" w:color="auto"/>
                      </w:divBdr>
                      <w:divsChild>
                        <w:div w:id="1030377513">
                          <w:marLeft w:val="0"/>
                          <w:marRight w:val="0"/>
                          <w:marTop w:val="0"/>
                          <w:marBottom w:val="0"/>
                          <w:divBdr>
                            <w:top w:val="none" w:sz="0" w:space="0" w:color="auto"/>
                            <w:left w:val="none" w:sz="0" w:space="0" w:color="auto"/>
                            <w:bottom w:val="none" w:sz="0" w:space="0" w:color="auto"/>
                            <w:right w:val="none" w:sz="0" w:space="0" w:color="auto"/>
                          </w:divBdr>
                          <w:divsChild>
                            <w:div w:id="1216624479">
                              <w:marLeft w:val="0"/>
                              <w:marRight w:val="0"/>
                              <w:marTop w:val="0"/>
                              <w:marBottom w:val="0"/>
                              <w:divBdr>
                                <w:top w:val="none" w:sz="0" w:space="0" w:color="auto"/>
                                <w:left w:val="none" w:sz="0" w:space="0" w:color="auto"/>
                                <w:bottom w:val="none" w:sz="0" w:space="0" w:color="auto"/>
                                <w:right w:val="none" w:sz="0" w:space="0" w:color="auto"/>
                              </w:divBdr>
                              <w:divsChild>
                                <w:div w:id="2025011539">
                                  <w:marLeft w:val="0"/>
                                  <w:marRight w:val="0"/>
                                  <w:marTop w:val="0"/>
                                  <w:marBottom w:val="0"/>
                                  <w:divBdr>
                                    <w:top w:val="none" w:sz="0" w:space="0" w:color="auto"/>
                                    <w:left w:val="none" w:sz="0" w:space="0" w:color="auto"/>
                                    <w:bottom w:val="none" w:sz="0" w:space="0" w:color="auto"/>
                                    <w:right w:val="none" w:sz="0" w:space="0" w:color="auto"/>
                                  </w:divBdr>
                                  <w:divsChild>
                                    <w:div w:id="510221018">
                                      <w:marLeft w:val="0"/>
                                      <w:marRight w:val="0"/>
                                      <w:marTop w:val="0"/>
                                      <w:marBottom w:val="0"/>
                                      <w:divBdr>
                                        <w:top w:val="none" w:sz="0" w:space="0" w:color="auto"/>
                                        <w:left w:val="none" w:sz="0" w:space="0" w:color="auto"/>
                                        <w:bottom w:val="none" w:sz="0" w:space="0" w:color="auto"/>
                                        <w:right w:val="none" w:sz="0" w:space="0" w:color="auto"/>
                                      </w:divBdr>
                                      <w:divsChild>
                                        <w:div w:id="562569776">
                                          <w:marLeft w:val="0"/>
                                          <w:marRight w:val="0"/>
                                          <w:marTop w:val="0"/>
                                          <w:marBottom w:val="0"/>
                                          <w:divBdr>
                                            <w:top w:val="none" w:sz="0" w:space="0" w:color="auto"/>
                                            <w:left w:val="none" w:sz="0" w:space="0" w:color="auto"/>
                                            <w:bottom w:val="none" w:sz="0" w:space="0" w:color="auto"/>
                                            <w:right w:val="none" w:sz="0" w:space="0" w:color="auto"/>
                                          </w:divBdr>
                                          <w:divsChild>
                                            <w:div w:id="958796825">
                                              <w:marLeft w:val="0"/>
                                              <w:marRight w:val="0"/>
                                              <w:marTop w:val="0"/>
                                              <w:marBottom w:val="0"/>
                                              <w:divBdr>
                                                <w:top w:val="none" w:sz="0" w:space="0" w:color="auto"/>
                                                <w:left w:val="none" w:sz="0" w:space="0" w:color="auto"/>
                                                <w:bottom w:val="none" w:sz="0" w:space="0" w:color="auto"/>
                                                <w:right w:val="none" w:sz="0" w:space="0" w:color="auto"/>
                                              </w:divBdr>
                                            </w:div>
                                          </w:divsChild>
                                        </w:div>
                                        <w:div w:id="1505507834">
                                          <w:marLeft w:val="0"/>
                                          <w:marRight w:val="0"/>
                                          <w:marTop w:val="0"/>
                                          <w:marBottom w:val="0"/>
                                          <w:divBdr>
                                            <w:top w:val="none" w:sz="0" w:space="0" w:color="auto"/>
                                            <w:left w:val="none" w:sz="0" w:space="0" w:color="auto"/>
                                            <w:bottom w:val="none" w:sz="0" w:space="0" w:color="auto"/>
                                            <w:right w:val="none" w:sz="0" w:space="0" w:color="auto"/>
                                          </w:divBdr>
                                          <w:divsChild>
                                            <w:div w:id="17485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066302">
      <w:bodyDiv w:val="1"/>
      <w:marLeft w:val="0"/>
      <w:marRight w:val="0"/>
      <w:marTop w:val="0"/>
      <w:marBottom w:val="0"/>
      <w:divBdr>
        <w:top w:val="none" w:sz="0" w:space="0" w:color="auto"/>
        <w:left w:val="none" w:sz="0" w:space="0" w:color="auto"/>
        <w:bottom w:val="none" w:sz="0" w:space="0" w:color="auto"/>
        <w:right w:val="none" w:sz="0" w:space="0" w:color="auto"/>
      </w:divBdr>
    </w:div>
    <w:div w:id="1106391217">
      <w:bodyDiv w:val="1"/>
      <w:marLeft w:val="0"/>
      <w:marRight w:val="0"/>
      <w:marTop w:val="0"/>
      <w:marBottom w:val="0"/>
      <w:divBdr>
        <w:top w:val="none" w:sz="0" w:space="0" w:color="auto"/>
        <w:left w:val="none" w:sz="0" w:space="0" w:color="auto"/>
        <w:bottom w:val="none" w:sz="0" w:space="0" w:color="auto"/>
        <w:right w:val="none" w:sz="0" w:space="0" w:color="auto"/>
      </w:divBdr>
    </w:div>
    <w:div w:id="1109473489">
      <w:bodyDiv w:val="1"/>
      <w:marLeft w:val="0"/>
      <w:marRight w:val="0"/>
      <w:marTop w:val="0"/>
      <w:marBottom w:val="0"/>
      <w:divBdr>
        <w:top w:val="none" w:sz="0" w:space="0" w:color="auto"/>
        <w:left w:val="none" w:sz="0" w:space="0" w:color="auto"/>
        <w:bottom w:val="none" w:sz="0" w:space="0" w:color="auto"/>
        <w:right w:val="none" w:sz="0" w:space="0" w:color="auto"/>
      </w:divBdr>
    </w:div>
    <w:div w:id="1133134173">
      <w:bodyDiv w:val="1"/>
      <w:marLeft w:val="0"/>
      <w:marRight w:val="0"/>
      <w:marTop w:val="0"/>
      <w:marBottom w:val="0"/>
      <w:divBdr>
        <w:top w:val="none" w:sz="0" w:space="0" w:color="auto"/>
        <w:left w:val="none" w:sz="0" w:space="0" w:color="auto"/>
        <w:bottom w:val="none" w:sz="0" w:space="0" w:color="auto"/>
        <w:right w:val="none" w:sz="0" w:space="0" w:color="auto"/>
      </w:divBdr>
    </w:div>
    <w:div w:id="1191721353">
      <w:bodyDiv w:val="1"/>
      <w:marLeft w:val="0"/>
      <w:marRight w:val="0"/>
      <w:marTop w:val="0"/>
      <w:marBottom w:val="0"/>
      <w:divBdr>
        <w:top w:val="none" w:sz="0" w:space="0" w:color="auto"/>
        <w:left w:val="none" w:sz="0" w:space="0" w:color="auto"/>
        <w:bottom w:val="none" w:sz="0" w:space="0" w:color="auto"/>
        <w:right w:val="none" w:sz="0" w:space="0" w:color="auto"/>
      </w:divBdr>
    </w:div>
    <w:div w:id="1201748293">
      <w:bodyDiv w:val="1"/>
      <w:marLeft w:val="0"/>
      <w:marRight w:val="0"/>
      <w:marTop w:val="0"/>
      <w:marBottom w:val="0"/>
      <w:divBdr>
        <w:top w:val="none" w:sz="0" w:space="0" w:color="auto"/>
        <w:left w:val="none" w:sz="0" w:space="0" w:color="auto"/>
        <w:bottom w:val="none" w:sz="0" w:space="0" w:color="auto"/>
        <w:right w:val="none" w:sz="0" w:space="0" w:color="auto"/>
      </w:divBdr>
    </w:div>
    <w:div w:id="1231619724">
      <w:bodyDiv w:val="1"/>
      <w:marLeft w:val="0"/>
      <w:marRight w:val="0"/>
      <w:marTop w:val="0"/>
      <w:marBottom w:val="0"/>
      <w:divBdr>
        <w:top w:val="none" w:sz="0" w:space="0" w:color="auto"/>
        <w:left w:val="none" w:sz="0" w:space="0" w:color="auto"/>
        <w:bottom w:val="none" w:sz="0" w:space="0" w:color="auto"/>
        <w:right w:val="none" w:sz="0" w:space="0" w:color="auto"/>
      </w:divBdr>
    </w:div>
    <w:div w:id="1253776100">
      <w:bodyDiv w:val="1"/>
      <w:marLeft w:val="0"/>
      <w:marRight w:val="0"/>
      <w:marTop w:val="0"/>
      <w:marBottom w:val="0"/>
      <w:divBdr>
        <w:top w:val="none" w:sz="0" w:space="0" w:color="auto"/>
        <w:left w:val="none" w:sz="0" w:space="0" w:color="auto"/>
        <w:bottom w:val="none" w:sz="0" w:space="0" w:color="auto"/>
        <w:right w:val="none" w:sz="0" w:space="0" w:color="auto"/>
      </w:divBdr>
    </w:div>
    <w:div w:id="1291782399">
      <w:bodyDiv w:val="1"/>
      <w:marLeft w:val="0"/>
      <w:marRight w:val="0"/>
      <w:marTop w:val="0"/>
      <w:marBottom w:val="0"/>
      <w:divBdr>
        <w:top w:val="none" w:sz="0" w:space="0" w:color="auto"/>
        <w:left w:val="none" w:sz="0" w:space="0" w:color="auto"/>
        <w:bottom w:val="none" w:sz="0" w:space="0" w:color="auto"/>
        <w:right w:val="none" w:sz="0" w:space="0" w:color="auto"/>
      </w:divBdr>
    </w:div>
    <w:div w:id="1384676801">
      <w:bodyDiv w:val="1"/>
      <w:marLeft w:val="0"/>
      <w:marRight w:val="0"/>
      <w:marTop w:val="0"/>
      <w:marBottom w:val="0"/>
      <w:divBdr>
        <w:top w:val="none" w:sz="0" w:space="0" w:color="auto"/>
        <w:left w:val="none" w:sz="0" w:space="0" w:color="auto"/>
        <w:bottom w:val="none" w:sz="0" w:space="0" w:color="auto"/>
        <w:right w:val="none" w:sz="0" w:space="0" w:color="auto"/>
      </w:divBdr>
    </w:div>
    <w:div w:id="1431780733">
      <w:bodyDiv w:val="1"/>
      <w:marLeft w:val="0"/>
      <w:marRight w:val="0"/>
      <w:marTop w:val="0"/>
      <w:marBottom w:val="0"/>
      <w:divBdr>
        <w:top w:val="none" w:sz="0" w:space="0" w:color="auto"/>
        <w:left w:val="none" w:sz="0" w:space="0" w:color="auto"/>
        <w:bottom w:val="none" w:sz="0" w:space="0" w:color="auto"/>
        <w:right w:val="none" w:sz="0" w:space="0" w:color="auto"/>
      </w:divBdr>
    </w:div>
    <w:div w:id="1439374633">
      <w:bodyDiv w:val="1"/>
      <w:marLeft w:val="0"/>
      <w:marRight w:val="0"/>
      <w:marTop w:val="0"/>
      <w:marBottom w:val="0"/>
      <w:divBdr>
        <w:top w:val="none" w:sz="0" w:space="0" w:color="auto"/>
        <w:left w:val="none" w:sz="0" w:space="0" w:color="auto"/>
        <w:bottom w:val="none" w:sz="0" w:space="0" w:color="auto"/>
        <w:right w:val="none" w:sz="0" w:space="0" w:color="auto"/>
      </w:divBdr>
    </w:div>
    <w:div w:id="1451439845">
      <w:bodyDiv w:val="1"/>
      <w:marLeft w:val="0"/>
      <w:marRight w:val="0"/>
      <w:marTop w:val="0"/>
      <w:marBottom w:val="0"/>
      <w:divBdr>
        <w:top w:val="none" w:sz="0" w:space="0" w:color="auto"/>
        <w:left w:val="none" w:sz="0" w:space="0" w:color="auto"/>
        <w:bottom w:val="none" w:sz="0" w:space="0" w:color="auto"/>
        <w:right w:val="none" w:sz="0" w:space="0" w:color="auto"/>
      </w:divBdr>
    </w:div>
    <w:div w:id="1553153269">
      <w:bodyDiv w:val="1"/>
      <w:marLeft w:val="0"/>
      <w:marRight w:val="0"/>
      <w:marTop w:val="0"/>
      <w:marBottom w:val="0"/>
      <w:divBdr>
        <w:top w:val="none" w:sz="0" w:space="0" w:color="auto"/>
        <w:left w:val="none" w:sz="0" w:space="0" w:color="auto"/>
        <w:bottom w:val="none" w:sz="0" w:space="0" w:color="auto"/>
        <w:right w:val="none" w:sz="0" w:space="0" w:color="auto"/>
      </w:divBdr>
    </w:div>
    <w:div w:id="1595701433">
      <w:bodyDiv w:val="1"/>
      <w:marLeft w:val="0"/>
      <w:marRight w:val="0"/>
      <w:marTop w:val="0"/>
      <w:marBottom w:val="0"/>
      <w:divBdr>
        <w:top w:val="none" w:sz="0" w:space="0" w:color="auto"/>
        <w:left w:val="none" w:sz="0" w:space="0" w:color="auto"/>
        <w:bottom w:val="none" w:sz="0" w:space="0" w:color="auto"/>
        <w:right w:val="none" w:sz="0" w:space="0" w:color="auto"/>
      </w:divBdr>
    </w:div>
    <w:div w:id="1607956884">
      <w:bodyDiv w:val="1"/>
      <w:marLeft w:val="0"/>
      <w:marRight w:val="0"/>
      <w:marTop w:val="0"/>
      <w:marBottom w:val="0"/>
      <w:divBdr>
        <w:top w:val="none" w:sz="0" w:space="0" w:color="auto"/>
        <w:left w:val="none" w:sz="0" w:space="0" w:color="auto"/>
        <w:bottom w:val="none" w:sz="0" w:space="0" w:color="auto"/>
        <w:right w:val="none" w:sz="0" w:space="0" w:color="auto"/>
      </w:divBdr>
    </w:div>
    <w:div w:id="1609005481">
      <w:bodyDiv w:val="1"/>
      <w:marLeft w:val="0"/>
      <w:marRight w:val="0"/>
      <w:marTop w:val="0"/>
      <w:marBottom w:val="0"/>
      <w:divBdr>
        <w:top w:val="none" w:sz="0" w:space="0" w:color="auto"/>
        <w:left w:val="none" w:sz="0" w:space="0" w:color="auto"/>
        <w:bottom w:val="none" w:sz="0" w:space="0" w:color="auto"/>
        <w:right w:val="none" w:sz="0" w:space="0" w:color="auto"/>
      </w:divBdr>
    </w:div>
    <w:div w:id="1620181601">
      <w:bodyDiv w:val="1"/>
      <w:marLeft w:val="0"/>
      <w:marRight w:val="0"/>
      <w:marTop w:val="0"/>
      <w:marBottom w:val="0"/>
      <w:divBdr>
        <w:top w:val="none" w:sz="0" w:space="0" w:color="auto"/>
        <w:left w:val="none" w:sz="0" w:space="0" w:color="auto"/>
        <w:bottom w:val="none" w:sz="0" w:space="0" w:color="auto"/>
        <w:right w:val="none" w:sz="0" w:space="0" w:color="auto"/>
      </w:divBdr>
    </w:div>
    <w:div w:id="1712419879">
      <w:bodyDiv w:val="1"/>
      <w:marLeft w:val="0"/>
      <w:marRight w:val="0"/>
      <w:marTop w:val="0"/>
      <w:marBottom w:val="0"/>
      <w:divBdr>
        <w:top w:val="none" w:sz="0" w:space="0" w:color="auto"/>
        <w:left w:val="none" w:sz="0" w:space="0" w:color="auto"/>
        <w:bottom w:val="none" w:sz="0" w:space="0" w:color="auto"/>
        <w:right w:val="none" w:sz="0" w:space="0" w:color="auto"/>
      </w:divBdr>
    </w:div>
    <w:div w:id="1725595632">
      <w:bodyDiv w:val="1"/>
      <w:marLeft w:val="0"/>
      <w:marRight w:val="0"/>
      <w:marTop w:val="0"/>
      <w:marBottom w:val="0"/>
      <w:divBdr>
        <w:top w:val="none" w:sz="0" w:space="0" w:color="auto"/>
        <w:left w:val="none" w:sz="0" w:space="0" w:color="auto"/>
        <w:bottom w:val="none" w:sz="0" w:space="0" w:color="auto"/>
        <w:right w:val="none" w:sz="0" w:space="0" w:color="auto"/>
      </w:divBdr>
    </w:div>
    <w:div w:id="1726484367">
      <w:bodyDiv w:val="1"/>
      <w:marLeft w:val="0"/>
      <w:marRight w:val="0"/>
      <w:marTop w:val="0"/>
      <w:marBottom w:val="0"/>
      <w:divBdr>
        <w:top w:val="none" w:sz="0" w:space="0" w:color="auto"/>
        <w:left w:val="none" w:sz="0" w:space="0" w:color="auto"/>
        <w:bottom w:val="none" w:sz="0" w:space="0" w:color="auto"/>
        <w:right w:val="none" w:sz="0" w:space="0" w:color="auto"/>
      </w:divBdr>
    </w:div>
    <w:div w:id="1738436090">
      <w:bodyDiv w:val="1"/>
      <w:marLeft w:val="0"/>
      <w:marRight w:val="0"/>
      <w:marTop w:val="0"/>
      <w:marBottom w:val="0"/>
      <w:divBdr>
        <w:top w:val="none" w:sz="0" w:space="0" w:color="auto"/>
        <w:left w:val="none" w:sz="0" w:space="0" w:color="auto"/>
        <w:bottom w:val="none" w:sz="0" w:space="0" w:color="auto"/>
        <w:right w:val="none" w:sz="0" w:space="0" w:color="auto"/>
      </w:divBdr>
    </w:div>
    <w:div w:id="1776293417">
      <w:bodyDiv w:val="1"/>
      <w:marLeft w:val="0"/>
      <w:marRight w:val="0"/>
      <w:marTop w:val="0"/>
      <w:marBottom w:val="0"/>
      <w:divBdr>
        <w:top w:val="none" w:sz="0" w:space="0" w:color="auto"/>
        <w:left w:val="none" w:sz="0" w:space="0" w:color="auto"/>
        <w:bottom w:val="none" w:sz="0" w:space="0" w:color="auto"/>
        <w:right w:val="none" w:sz="0" w:space="0" w:color="auto"/>
      </w:divBdr>
    </w:div>
    <w:div w:id="1816137805">
      <w:bodyDiv w:val="1"/>
      <w:marLeft w:val="0"/>
      <w:marRight w:val="0"/>
      <w:marTop w:val="0"/>
      <w:marBottom w:val="0"/>
      <w:divBdr>
        <w:top w:val="none" w:sz="0" w:space="0" w:color="auto"/>
        <w:left w:val="none" w:sz="0" w:space="0" w:color="auto"/>
        <w:bottom w:val="none" w:sz="0" w:space="0" w:color="auto"/>
        <w:right w:val="none" w:sz="0" w:space="0" w:color="auto"/>
      </w:divBdr>
    </w:div>
    <w:div w:id="1831093877">
      <w:bodyDiv w:val="1"/>
      <w:marLeft w:val="0"/>
      <w:marRight w:val="0"/>
      <w:marTop w:val="0"/>
      <w:marBottom w:val="0"/>
      <w:divBdr>
        <w:top w:val="none" w:sz="0" w:space="0" w:color="auto"/>
        <w:left w:val="none" w:sz="0" w:space="0" w:color="auto"/>
        <w:bottom w:val="none" w:sz="0" w:space="0" w:color="auto"/>
        <w:right w:val="none" w:sz="0" w:space="0" w:color="auto"/>
      </w:divBdr>
    </w:div>
    <w:div w:id="1834224014">
      <w:bodyDiv w:val="1"/>
      <w:marLeft w:val="0"/>
      <w:marRight w:val="0"/>
      <w:marTop w:val="0"/>
      <w:marBottom w:val="0"/>
      <w:divBdr>
        <w:top w:val="none" w:sz="0" w:space="0" w:color="auto"/>
        <w:left w:val="none" w:sz="0" w:space="0" w:color="auto"/>
        <w:bottom w:val="none" w:sz="0" w:space="0" w:color="auto"/>
        <w:right w:val="none" w:sz="0" w:space="0" w:color="auto"/>
      </w:divBdr>
    </w:div>
    <w:div w:id="1897887228">
      <w:bodyDiv w:val="1"/>
      <w:marLeft w:val="0"/>
      <w:marRight w:val="0"/>
      <w:marTop w:val="0"/>
      <w:marBottom w:val="0"/>
      <w:divBdr>
        <w:top w:val="none" w:sz="0" w:space="0" w:color="auto"/>
        <w:left w:val="none" w:sz="0" w:space="0" w:color="auto"/>
        <w:bottom w:val="none" w:sz="0" w:space="0" w:color="auto"/>
        <w:right w:val="none" w:sz="0" w:space="0" w:color="auto"/>
      </w:divBdr>
    </w:div>
    <w:div w:id="1906989930">
      <w:bodyDiv w:val="1"/>
      <w:marLeft w:val="0"/>
      <w:marRight w:val="0"/>
      <w:marTop w:val="0"/>
      <w:marBottom w:val="0"/>
      <w:divBdr>
        <w:top w:val="none" w:sz="0" w:space="0" w:color="auto"/>
        <w:left w:val="none" w:sz="0" w:space="0" w:color="auto"/>
        <w:bottom w:val="none" w:sz="0" w:space="0" w:color="auto"/>
        <w:right w:val="none" w:sz="0" w:space="0" w:color="auto"/>
      </w:divBdr>
    </w:div>
    <w:div w:id="2036153128">
      <w:bodyDiv w:val="1"/>
      <w:marLeft w:val="0"/>
      <w:marRight w:val="0"/>
      <w:marTop w:val="0"/>
      <w:marBottom w:val="0"/>
      <w:divBdr>
        <w:top w:val="none" w:sz="0" w:space="0" w:color="auto"/>
        <w:left w:val="none" w:sz="0" w:space="0" w:color="auto"/>
        <w:bottom w:val="none" w:sz="0" w:space="0" w:color="auto"/>
        <w:right w:val="none" w:sz="0" w:space="0" w:color="auto"/>
      </w:divBdr>
    </w:div>
    <w:div w:id="2057462400">
      <w:bodyDiv w:val="1"/>
      <w:marLeft w:val="0"/>
      <w:marRight w:val="0"/>
      <w:marTop w:val="0"/>
      <w:marBottom w:val="0"/>
      <w:divBdr>
        <w:top w:val="none" w:sz="0" w:space="0" w:color="auto"/>
        <w:left w:val="none" w:sz="0" w:space="0" w:color="auto"/>
        <w:bottom w:val="none" w:sz="0" w:space="0" w:color="auto"/>
        <w:right w:val="none" w:sz="0" w:space="0" w:color="auto"/>
      </w:divBdr>
    </w:div>
    <w:div w:id="2139447168">
      <w:bodyDiv w:val="1"/>
      <w:marLeft w:val="0"/>
      <w:marRight w:val="0"/>
      <w:marTop w:val="0"/>
      <w:marBottom w:val="0"/>
      <w:divBdr>
        <w:top w:val="none" w:sz="0" w:space="0" w:color="auto"/>
        <w:left w:val="none" w:sz="0" w:space="0" w:color="auto"/>
        <w:bottom w:val="none" w:sz="0" w:space="0" w:color="auto"/>
        <w:right w:val="none" w:sz="0" w:space="0" w:color="auto"/>
      </w:divBdr>
    </w:div>
    <w:div w:id="2147234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ppg.org.uk/standardised-strengths-of-liquid-medicines-for-childr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ppg.org.uk/standardised-strengths-of-liquid-medicines-for-childr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hsbsa.nhs.uk/pharmacies-gp-practices-and-appliance-contractors/payments-and-pricing/how-we-process-prescrip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1b86cd2-d370-4f57-9db8-681c4fb37596">
      <Terms xmlns="http://schemas.microsoft.com/office/infopath/2007/PartnerControls"/>
    </lcf76f155ced4ddcb4097134ff3c332f>
    <TaxCatchAll xmlns="2799d30d-6731-4efe-ac9b-c4895a8828d9" xsi:nil="true"/>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B2D2087DE74C54DAA57B030A9EFE0EB" ma:contentTypeVersion="19" ma:contentTypeDescription="Create a new document." ma:contentTypeScope="" ma:versionID="d98d73629451c6150614b670793ffd59">
  <xsd:schema xmlns:xsd="http://www.w3.org/2001/XMLSchema" xmlns:xs="http://www.w3.org/2001/XMLSchema" xmlns:p="http://schemas.microsoft.com/office/2006/metadata/properties" xmlns:ns1="http://schemas.microsoft.com/sharepoint/v3" xmlns:ns2="91b86cd2-d370-4f57-9db8-681c4fb37596" xmlns:ns3="563bd847-283f-48dc-9444-f54c9e765c55" xmlns:ns4="2799d30d-6731-4efe-ac9b-c4895a8828d9" targetNamespace="http://schemas.microsoft.com/office/2006/metadata/properties" ma:root="true" ma:fieldsID="ed21ebf4fea1e3810e9ffffed28fa3e4" ns1:_="" ns2:_="" ns3:_="" ns4:_="">
    <xsd:import namespace="http://schemas.microsoft.com/sharepoint/v3"/>
    <xsd:import namespace="91b86cd2-d370-4f57-9db8-681c4fb37596"/>
    <xsd:import namespace="563bd847-283f-48dc-9444-f54c9e765c55"/>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86cd2-d370-4f57-9db8-681c4fb37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3bd847-283f-48dc-9444-f54c9e765c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a67792c-7d54-4970-a5a9-9b543de3b627}" ma:internalName="TaxCatchAll" ma:showField="CatchAllData" ma:web="563bd847-283f-48dc-9444-f54c9e765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898E13-B274-4F0A-B13D-8860526EF6D4}">
  <ds:schemaRefs>
    <ds:schemaRef ds:uri="http://schemas.microsoft.com/office/2006/metadata/properties"/>
    <ds:schemaRef ds:uri="http://schemas.microsoft.com/office/infopath/2007/PartnerControls"/>
    <ds:schemaRef ds:uri="http://schemas.microsoft.com/sharepoint/v3"/>
    <ds:schemaRef ds:uri="91b86cd2-d370-4f57-9db8-681c4fb37596"/>
    <ds:schemaRef ds:uri="2799d30d-6731-4efe-ac9b-c4895a8828d9"/>
  </ds:schemaRefs>
</ds:datastoreItem>
</file>

<file path=customXml/itemProps2.xml><?xml version="1.0" encoding="utf-8"?>
<ds:datastoreItem xmlns:ds="http://schemas.openxmlformats.org/officeDocument/2006/customXml" ds:itemID="{B6FEC896-A10C-466F-AD8D-4324B75F8C7C}">
  <ds:schemaRefs>
    <ds:schemaRef ds:uri="http://schemas.openxmlformats.org/officeDocument/2006/bibliography"/>
  </ds:schemaRefs>
</ds:datastoreItem>
</file>

<file path=customXml/itemProps3.xml><?xml version="1.0" encoding="utf-8"?>
<ds:datastoreItem xmlns:ds="http://schemas.openxmlformats.org/officeDocument/2006/customXml" ds:itemID="{4F2CAC74-71C4-4DD5-80CA-6FBD0A52C39A}">
  <ds:schemaRefs>
    <ds:schemaRef ds:uri="http://schemas.microsoft.com/office/2006/metadata/longProperties"/>
  </ds:schemaRefs>
</ds:datastoreItem>
</file>

<file path=customXml/itemProps4.xml><?xml version="1.0" encoding="utf-8"?>
<ds:datastoreItem xmlns:ds="http://schemas.openxmlformats.org/officeDocument/2006/customXml" ds:itemID="{3BB06AC7-76D7-4603-A22A-9001E2BDA2EE}">
  <ds:schemaRefs>
    <ds:schemaRef ds:uri="http://schemas.microsoft.com/sharepoint/v3/contenttype/forms"/>
  </ds:schemaRefs>
</ds:datastoreItem>
</file>

<file path=customXml/itemProps5.xml><?xml version="1.0" encoding="utf-8"?>
<ds:datastoreItem xmlns:ds="http://schemas.openxmlformats.org/officeDocument/2006/customXml" ds:itemID="{14F3E9B2-80AE-41B6-89B2-635BC2AD6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b86cd2-d370-4f57-9db8-681c4fb37596"/>
    <ds:schemaRef ds:uri="563bd847-283f-48dc-9444-f54c9e765c55"/>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2837</Words>
  <Characters>16174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Information Services landscape Word document template V1</vt:lpstr>
    </vt:vector>
  </TitlesOfParts>
  <Company>NHS Pensions</Company>
  <LinksUpToDate>false</LinksUpToDate>
  <CharactersWithSpaces>18974</CharactersWithSpaces>
  <SharedDoc>false</SharedDoc>
  <HLinks>
    <vt:vector size="432" baseType="variant">
      <vt:variant>
        <vt:i4>4259855</vt:i4>
      </vt:variant>
      <vt:variant>
        <vt:i4>285</vt:i4>
      </vt:variant>
      <vt:variant>
        <vt:i4>0</vt:i4>
      </vt:variant>
      <vt:variant>
        <vt:i4>5</vt:i4>
      </vt:variant>
      <vt:variant>
        <vt:lpwstr>https://future.nhs.uk/ECDC/grouphome</vt:lpwstr>
      </vt:variant>
      <vt:variant>
        <vt:lpwstr/>
      </vt:variant>
      <vt:variant>
        <vt:i4>8323124</vt:i4>
      </vt:variant>
      <vt:variant>
        <vt:i4>282</vt:i4>
      </vt:variant>
      <vt:variant>
        <vt:i4>0</vt:i4>
      </vt:variant>
      <vt:variant>
        <vt:i4>5</vt:i4>
      </vt:variant>
      <vt:variant>
        <vt:lpwstr>https://www.nice.org.uk/about/what-we-do/our-programmes/nice-guidance/antimicrobial-prescribing-guidelines</vt:lpwstr>
      </vt:variant>
      <vt:variant>
        <vt:lpwstr/>
      </vt:variant>
      <vt:variant>
        <vt:i4>5898246</vt:i4>
      </vt:variant>
      <vt:variant>
        <vt:i4>279</vt:i4>
      </vt:variant>
      <vt:variant>
        <vt:i4>0</vt:i4>
      </vt:variant>
      <vt:variant>
        <vt:i4>5</vt:i4>
      </vt:variant>
      <vt:variant>
        <vt:lpwstr>https://www.gov.uk/government/publications/urinary-tract-infection-diagnosis</vt:lpwstr>
      </vt:variant>
      <vt:variant>
        <vt:lpwstr/>
      </vt:variant>
      <vt:variant>
        <vt:i4>5046292</vt:i4>
      </vt:variant>
      <vt:variant>
        <vt:i4>276</vt:i4>
      </vt:variant>
      <vt:variant>
        <vt:i4>0</vt:i4>
      </vt:variant>
      <vt:variant>
        <vt:i4>5</vt:i4>
      </vt:variant>
      <vt:variant>
        <vt:lpwstr>https://www.gov.uk/government/collections/antimicrobial-resistance-amr-information-and-resources</vt:lpwstr>
      </vt:variant>
      <vt:variant>
        <vt:lpwstr/>
      </vt:variant>
      <vt:variant>
        <vt:i4>6160465</vt:i4>
      </vt:variant>
      <vt:variant>
        <vt:i4>273</vt:i4>
      </vt:variant>
      <vt:variant>
        <vt:i4>0</vt:i4>
      </vt:variant>
      <vt:variant>
        <vt:i4>5</vt:i4>
      </vt:variant>
      <vt:variant>
        <vt:lpwstr>https://www.gov.uk/government/publications/government-response-the-review-on-antimicrobial-resistance</vt:lpwstr>
      </vt:variant>
      <vt:variant>
        <vt:lpwstr/>
      </vt:variant>
      <vt:variant>
        <vt:i4>7667829</vt:i4>
      </vt:variant>
      <vt:variant>
        <vt:i4>270</vt:i4>
      </vt:variant>
      <vt:variant>
        <vt:i4>0</vt:i4>
      </vt:variant>
      <vt:variant>
        <vt:i4>5</vt:i4>
      </vt:variant>
      <vt:variant>
        <vt:lpwstr>https://www.sciencedirect.com/science/article/pii/S0195670113600122?via%3Dihub</vt:lpwstr>
      </vt:variant>
      <vt:variant>
        <vt:lpwstr/>
      </vt:variant>
      <vt:variant>
        <vt:i4>2752621</vt:i4>
      </vt:variant>
      <vt:variant>
        <vt:i4>267</vt:i4>
      </vt:variant>
      <vt:variant>
        <vt:i4>0</vt:i4>
      </vt:variant>
      <vt:variant>
        <vt:i4>5</vt:i4>
      </vt:variant>
      <vt:variant>
        <vt:lpwstr>https://uroweb.org/guideline/urological-infections/</vt:lpwstr>
      </vt:variant>
      <vt:variant>
        <vt:lpwstr/>
      </vt:variant>
      <vt:variant>
        <vt:i4>6553661</vt:i4>
      </vt:variant>
      <vt:variant>
        <vt:i4>264</vt:i4>
      </vt:variant>
      <vt:variant>
        <vt:i4>0</vt:i4>
      </vt:variant>
      <vt:variant>
        <vt:i4>5</vt:i4>
      </vt:variant>
      <vt:variant>
        <vt:lpwstr>https://www.gov.uk/government/publications/uk-5-year-action-plan-for-antimicrobial-resistance-2019-to-2024</vt:lpwstr>
      </vt:variant>
      <vt:variant>
        <vt:lpwstr/>
      </vt:variant>
      <vt:variant>
        <vt:i4>8323124</vt:i4>
      </vt:variant>
      <vt:variant>
        <vt:i4>261</vt:i4>
      </vt:variant>
      <vt:variant>
        <vt:i4>0</vt:i4>
      </vt:variant>
      <vt:variant>
        <vt:i4>5</vt:i4>
      </vt:variant>
      <vt:variant>
        <vt:lpwstr>https://www.nice.org.uk/about/what-we-do/our-programmes/nice-guidance/antimicrobial-prescribing-guidelines</vt:lpwstr>
      </vt:variant>
      <vt:variant>
        <vt:lpwstr/>
      </vt:variant>
      <vt:variant>
        <vt:i4>5898246</vt:i4>
      </vt:variant>
      <vt:variant>
        <vt:i4>258</vt:i4>
      </vt:variant>
      <vt:variant>
        <vt:i4>0</vt:i4>
      </vt:variant>
      <vt:variant>
        <vt:i4>5</vt:i4>
      </vt:variant>
      <vt:variant>
        <vt:lpwstr>https://www.gov.uk/government/publications/urinary-tract-infection-diagnosis</vt:lpwstr>
      </vt:variant>
      <vt:variant>
        <vt:lpwstr/>
      </vt:variant>
      <vt:variant>
        <vt:i4>5046292</vt:i4>
      </vt:variant>
      <vt:variant>
        <vt:i4>255</vt:i4>
      </vt:variant>
      <vt:variant>
        <vt:i4>0</vt:i4>
      </vt:variant>
      <vt:variant>
        <vt:i4>5</vt:i4>
      </vt:variant>
      <vt:variant>
        <vt:lpwstr>https://www.gov.uk/government/collections/antimicrobial-resistance-amr-information-and-resources</vt:lpwstr>
      </vt:variant>
      <vt:variant>
        <vt:lpwstr/>
      </vt:variant>
      <vt:variant>
        <vt:i4>6160465</vt:i4>
      </vt:variant>
      <vt:variant>
        <vt:i4>252</vt:i4>
      </vt:variant>
      <vt:variant>
        <vt:i4>0</vt:i4>
      </vt:variant>
      <vt:variant>
        <vt:i4>5</vt:i4>
      </vt:variant>
      <vt:variant>
        <vt:lpwstr>https://www.gov.uk/government/publications/government-response-the-review-on-antimicrobial-resistance</vt:lpwstr>
      </vt:variant>
      <vt:variant>
        <vt:lpwstr/>
      </vt:variant>
      <vt:variant>
        <vt:i4>8323124</vt:i4>
      </vt:variant>
      <vt:variant>
        <vt:i4>249</vt:i4>
      </vt:variant>
      <vt:variant>
        <vt:i4>0</vt:i4>
      </vt:variant>
      <vt:variant>
        <vt:i4>5</vt:i4>
      </vt:variant>
      <vt:variant>
        <vt:lpwstr>https://www.nice.org.uk/about/what-we-do/our-programmes/nice-guidance/antimicrobial-prescribing-guidelines</vt:lpwstr>
      </vt:variant>
      <vt:variant>
        <vt:lpwstr/>
      </vt:variant>
      <vt:variant>
        <vt:i4>5898246</vt:i4>
      </vt:variant>
      <vt:variant>
        <vt:i4>246</vt:i4>
      </vt:variant>
      <vt:variant>
        <vt:i4>0</vt:i4>
      </vt:variant>
      <vt:variant>
        <vt:i4>5</vt:i4>
      </vt:variant>
      <vt:variant>
        <vt:lpwstr>https://www.gov.uk/government/publications/urinary-tract-infection-diagnosis</vt:lpwstr>
      </vt:variant>
      <vt:variant>
        <vt:lpwstr/>
      </vt:variant>
      <vt:variant>
        <vt:i4>5046292</vt:i4>
      </vt:variant>
      <vt:variant>
        <vt:i4>243</vt:i4>
      </vt:variant>
      <vt:variant>
        <vt:i4>0</vt:i4>
      </vt:variant>
      <vt:variant>
        <vt:i4>5</vt:i4>
      </vt:variant>
      <vt:variant>
        <vt:lpwstr>https://www.gov.uk/government/collections/antimicrobial-resistance-amr-information-and-resources</vt:lpwstr>
      </vt:variant>
      <vt:variant>
        <vt:lpwstr/>
      </vt:variant>
      <vt:variant>
        <vt:i4>6160465</vt:i4>
      </vt:variant>
      <vt:variant>
        <vt:i4>240</vt:i4>
      </vt:variant>
      <vt:variant>
        <vt:i4>0</vt:i4>
      </vt:variant>
      <vt:variant>
        <vt:i4>5</vt:i4>
      </vt:variant>
      <vt:variant>
        <vt:lpwstr>https://www.gov.uk/government/publications/government-response-the-review-on-antimicrobial-resistance</vt:lpwstr>
      </vt:variant>
      <vt:variant>
        <vt:lpwstr/>
      </vt:variant>
      <vt:variant>
        <vt:i4>8323124</vt:i4>
      </vt:variant>
      <vt:variant>
        <vt:i4>237</vt:i4>
      </vt:variant>
      <vt:variant>
        <vt:i4>0</vt:i4>
      </vt:variant>
      <vt:variant>
        <vt:i4>5</vt:i4>
      </vt:variant>
      <vt:variant>
        <vt:lpwstr>https://www.nice.org.uk/about/what-we-do/our-programmes/nice-guidance/antimicrobial-prescribing-guidelines</vt:lpwstr>
      </vt:variant>
      <vt:variant>
        <vt:lpwstr/>
      </vt:variant>
      <vt:variant>
        <vt:i4>5898246</vt:i4>
      </vt:variant>
      <vt:variant>
        <vt:i4>234</vt:i4>
      </vt:variant>
      <vt:variant>
        <vt:i4>0</vt:i4>
      </vt:variant>
      <vt:variant>
        <vt:i4>5</vt:i4>
      </vt:variant>
      <vt:variant>
        <vt:lpwstr>https://www.gov.uk/government/publications/urinary-tract-infection-diagnosis</vt:lpwstr>
      </vt:variant>
      <vt:variant>
        <vt:lpwstr/>
      </vt:variant>
      <vt:variant>
        <vt:i4>5046292</vt:i4>
      </vt:variant>
      <vt:variant>
        <vt:i4>231</vt:i4>
      </vt:variant>
      <vt:variant>
        <vt:i4>0</vt:i4>
      </vt:variant>
      <vt:variant>
        <vt:i4>5</vt:i4>
      </vt:variant>
      <vt:variant>
        <vt:lpwstr>https://www.gov.uk/government/collections/antimicrobial-resistance-amr-information-and-resources</vt:lpwstr>
      </vt:variant>
      <vt:variant>
        <vt:lpwstr/>
      </vt:variant>
      <vt:variant>
        <vt:i4>6160465</vt:i4>
      </vt:variant>
      <vt:variant>
        <vt:i4>228</vt:i4>
      </vt:variant>
      <vt:variant>
        <vt:i4>0</vt:i4>
      </vt:variant>
      <vt:variant>
        <vt:i4>5</vt:i4>
      </vt:variant>
      <vt:variant>
        <vt:lpwstr>https://www.gov.uk/government/publications/government-response-the-review-on-antimicrobial-resistance</vt:lpwstr>
      </vt:variant>
      <vt:variant>
        <vt:lpwstr/>
      </vt:variant>
      <vt:variant>
        <vt:i4>8323124</vt:i4>
      </vt:variant>
      <vt:variant>
        <vt:i4>225</vt:i4>
      </vt:variant>
      <vt:variant>
        <vt:i4>0</vt:i4>
      </vt:variant>
      <vt:variant>
        <vt:i4>5</vt:i4>
      </vt:variant>
      <vt:variant>
        <vt:lpwstr>https://www.nice.org.uk/about/what-we-do/our-programmes/nice-guidance/antimicrobial-prescribing-guidelines</vt:lpwstr>
      </vt:variant>
      <vt:variant>
        <vt:lpwstr/>
      </vt:variant>
      <vt:variant>
        <vt:i4>5898246</vt:i4>
      </vt:variant>
      <vt:variant>
        <vt:i4>222</vt:i4>
      </vt:variant>
      <vt:variant>
        <vt:i4>0</vt:i4>
      </vt:variant>
      <vt:variant>
        <vt:i4>5</vt:i4>
      </vt:variant>
      <vt:variant>
        <vt:lpwstr>https://www.gov.uk/government/publications/urinary-tract-infection-diagnosis</vt:lpwstr>
      </vt:variant>
      <vt:variant>
        <vt:lpwstr/>
      </vt:variant>
      <vt:variant>
        <vt:i4>5046292</vt:i4>
      </vt:variant>
      <vt:variant>
        <vt:i4>219</vt:i4>
      </vt:variant>
      <vt:variant>
        <vt:i4>0</vt:i4>
      </vt:variant>
      <vt:variant>
        <vt:i4>5</vt:i4>
      </vt:variant>
      <vt:variant>
        <vt:lpwstr>https://www.gov.uk/government/collections/antimicrobial-resistance-amr-information-and-resources</vt:lpwstr>
      </vt:variant>
      <vt:variant>
        <vt:lpwstr/>
      </vt:variant>
      <vt:variant>
        <vt:i4>6160465</vt:i4>
      </vt:variant>
      <vt:variant>
        <vt:i4>216</vt:i4>
      </vt:variant>
      <vt:variant>
        <vt:i4>0</vt:i4>
      </vt:variant>
      <vt:variant>
        <vt:i4>5</vt:i4>
      </vt:variant>
      <vt:variant>
        <vt:lpwstr>https://www.gov.uk/government/publications/government-response-the-review-on-antimicrobial-resistance</vt:lpwstr>
      </vt:variant>
      <vt:variant>
        <vt:lpwstr/>
      </vt:variant>
      <vt:variant>
        <vt:i4>8323124</vt:i4>
      </vt:variant>
      <vt:variant>
        <vt:i4>213</vt:i4>
      </vt:variant>
      <vt:variant>
        <vt:i4>0</vt:i4>
      </vt:variant>
      <vt:variant>
        <vt:i4>5</vt:i4>
      </vt:variant>
      <vt:variant>
        <vt:lpwstr>https://www.nice.org.uk/about/what-we-do/our-programmes/nice-guidance/antimicrobial-prescribing-guidelines</vt:lpwstr>
      </vt:variant>
      <vt:variant>
        <vt:lpwstr/>
      </vt:variant>
      <vt:variant>
        <vt:i4>5898246</vt:i4>
      </vt:variant>
      <vt:variant>
        <vt:i4>210</vt:i4>
      </vt:variant>
      <vt:variant>
        <vt:i4>0</vt:i4>
      </vt:variant>
      <vt:variant>
        <vt:i4>5</vt:i4>
      </vt:variant>
      <vt:variant>
        <vt:lpwstr>https://www.gov.uk/government/publications/urinary-tract-infection-diagnosis</vt:lpwstr>
      </vt:variant>
      <vt:variant>
        <vt:lpwstr/>
      </vt:variant>
      <vt:variant>
        <vt:i4>5046292</vt:i4>
      </vt:variant>
      <vt:variant>
        <vt:i4>207</vt:i4>
      </vt:variant>
      <vt:variant>
        <vt:i4>0</vt:i4>
      </vt:variant>
      <vt:variant>
        <vt:i4>5</vt:i4>
      </vt:variant>
      <vt:variant>
        <vt:lpwstr>https://www.gov.uk/government/collections/antimicrobial-resistance-amr-information-and-resources</vt:lpwstr>
      </vt:variant>
      <vt:variant>
        <vt:lpwstr/>
      </vt:variant>
      <vt:variant>
        <vt:i4>6160465</vt:i4>
      </vt:variant>
      <vt:variant>
        <vt:i4>204</vt:i4>
      </vt:variant>
      <vt:variant>
        <vt:i4>0</vt:i4>
      </vt:variant>
      <vt:variant>
        <vt:i4>5</vt:i4>
      </vt:variant>
      <vt:variant>
        <vt:lpwstr>https://www.gov.uk/government/publications/government-response-the-review-on-antimicrobial-resistance</vt:lpwstr>
      </vt:variant>
      <vt:variant>
        <vt:lpwstr/>
      </vt:variant>
      <vt:variant>
        <vt:i4>8323124</vt:i4>
      </vt:variant>
      <vt:variant>
        <vt:i4>201</vt:i4>
      </vt:variant>
      <vt:variant>
        <vt:i4>0</vt:i4>
      </vt:variant>
      <vt:variant>
        <vt:i4>5</vt:i4>
      </vt:variant>
      <vt:variant>
        <vt:lpwstr>https://www.nice.org.uk/about/what-we-do/our-programmes/nice-guidance/antimicrobial-prescribing-guidelines</vt:lpwstr>
      </vt:variant>
      <vt:variant>
        <vt:lpwstr/>
      </vt:variant>
      <vt:variant>
        <vt:i4>5898246</vt:i4>
      </vt:variant>
      <vt:variant>
        <vt:i4>198</vt:i4>
      </vt:variant>
      <vt:variant>
        <vt:i4>0</vt:i4>
      </vt:variant>
      <vt:variant>
        <vt:i4>5</vt:i4>
      </vt:variant>
      <vt:variant>
        <vt:lpwstr>https://www.gov.uk/government/publications/urinary-tract-infection-diagnosis</vt:lpwstr>
      </vt:variant>
      <vt:variant>
        <vt:lpwstr/>
      </vt:variant>
      <vt:variant>
        <vt:i4>5046292</vt:i4>
      </vt:variant>
      <vt:variant>
        <vt:i4>195</vt:i4>
      </vt:variant>
      <vt:variant>
        <vt:i4>0</vt:i4>
      </vt:variant>
      <vt:variant>
        <vt:i4>5</vt:i4>
      </vt:variant>
      <vt:variant>
        <vt:lpwstr>https://www.gov.uk/government/collections/antimicrobial-resistance-amr-information-and-resources</vt:lpwstr>
      </vt:variant>
      <vt:variant>
        <vt:lpwstr/>
      </vt:variant>
      <vt:variant>
        <vt:i4>6160465</vt:i4>
      </vt:variant>
      <vt:variant>
        <vt:i4>192</vt:i4>
      </vt:variant>
      <vt:variant>
        <vt:i4>0</vt:i4>
      </vt:variant>
      <vt:variant>
        <vt:i4>5</vt:i4>
      </vt:variant>
      <vt:variant>
        <vt:lpwstr>https://www.gov.uk/government/publications/government-response-the-review-on-antimicrobial-resistance</vt:lpwstr>
      </vt:variant>
      <vt:variant>
        <vt:lpwstr/>
      </vt:variant>
      <vt:variant>
        <vt:i4>8323124</vt:i4>
      </vt:variant>
      <vt:variant>
        <vt:i4>189</vt:i4>
      </vt:variant>
      <vt:variant>
        <vt:i4>0</vt:i4>
      </vt:variant>
      <vt:variant>
        <vt:i4>5</vt:i4>
      </vt:variant>
      <vt:variant>
        <vt:lpwstr>https://www.nice.org.uk/about/what-we-do/our-programmes/nice-guidance/antimicrobial-prescribing-guidelines</vt:lpwstr>
      </vt:variant>
      <vt:variant>
        <vt:lpwstr/>
      </vt:variant>
      <vt:variant>
        <vt:i4>5898246</vt:i4>
      </vt:variant>
      <vt:variant>
        <vt:i4>186</vt:i4>
      </vt:variant>
      <vt:variant>
        <vt:i4>0</vt:i4>
      </vt:variant>
      <vt:variant>
        <vt:i4>5</vt:i4>
      </vt:variant>
      <vt:variant>
        <vt:lpwstr>https://www.gov.uk/government/publications/urinary-tract-infection-diagnosis</vt:lpwstr>
      </vt:variant>
      <vt:variant>
        <vt:lpwstr/>
      </vt:variant>
      <vt:variant>
        <vt:i4>5046292</vt:i4>
      </vt:variant>
      <vt:variant>
        <vt:i4>183</vt:i4>
      </vt:variant>
      <vt:variant>
        <vt:i4>0</vt:i4>
      </vt:variant>
      <vt:variant>
        <vt:i4>5</vt:i4>
      </vt:variant>
      <vt:variant>
        <vt:lpwstr>https://www.gov.uk/government/collections/antimicrobial-resistance-amr-information-and-resources</vt:lpwstr>
      </vt:variant>
      <vt:variant>
        <vt:lpwstr/>
      </vt:variant>
      <vt:variant>
        <vt:i4>6160465</vt:i4>
      </vt:variant>
      <vt:variant>
        <vt:i4>180</vt:i4>
      </vt:variant>
      <vt:variant>
        <vt:i4>0</vt:i4>
      </vt:variant>
      <vt:variant>
        <vt:i4>5</vt:i4>
      </vt:variant>
      <vt:variant>
        <vt:lpwstr>https://www.gov.uk/government/publications/government-response-the-review-on-antimicrobial-resistance</vt:lpwstr>
      </vt:variant>
      <vt:variant>
        <vt:lpwstr/>
      </vt:variant>
      <vt:variant>
        <vt:i4>8323124</vt:i4>
      </vt:variant>
      <vt:variant>
        <vt:i4>177</vt:i4>
      </vt:variant>
      <vt:variant>
        <vt:i4>0</vt:i4>
      </vt:variant>
      <vt:variant>
        <vt:i4>5</vt:i4>
      </vt:variant>
      <vt:variant>
        <vt:lpwstr>https://www.nice.org.uk/about/what-we-do/our-programmes/nice-guidance/antimicrobial-prescribing-guidelines</vt:lpwstr>
      </vt:variant>
      <vt:variant>
        <vt:lpwstr/>
      </vt:variant>
      <vt:variant>
        <vt:i4>5898246</vt:i4>
      </vt:variant>
      <vt:variant>
        <vt:i4>174</vt:i4>
      </vt:variant>
      <vt:variant>
        <vt:i4>0</vt:i4>
      </vt:variant>
      <vt:variant>
        <vt:i4>5</vt:i4>
      </vt:variant>
      <vt:variant>
        <vt:lpwstr>https://www.gov.uk/government/publications/urinary-tract-infection-diagnosis</vt:lpwstr>
      </vt:variant>
      <vt:variant>
        <vt:lpwstr/>
      </vt:variant>
      <vt:variant>
        <vt:i4>5046292</vt:i4>
      </vt:variant>
      <vt:variant>
        <vt:i4>171</vt:i4>
      </vt:variant>
      <vt:variant>
        <vt:i4>0</vt:i4>
      </vt:variant>
      <vt:variant>
        <vt:i4>5</vt:i4>
      </vt:variant>
      <vt:variant>
        <vt:lpwstr>https://www.gov.uk/government/collections/antimicrobial-resistance-amr-information-and-resources</vt:lpwstr>
      </vt:variant>
      <vt:variant>
        <vt:lpwstr/>
      </vt:variant>
      <vt:variant>
        <vt:i4>6160465</vt:i4>
      </vt:variant>
      <vt:variant>
        <vt:i4>168</vt:i4>
      </vt:variant>
      <vt:variant>
        <vt:i4>0</vt:i4>
      </vt:variant>
      <vt:variant>
        <vt:i4>5</vt:i4>
      </vt:variant>
      <vt:variant>
        <vt:lpwstr>https://www.gov.uk/government/publications/government-response-the-review-on-antimicrobial-resistance</vt:lpwstr>
      </vt:variant>
      <vt:variant>
        <vt:lpwstr/>
      </vt:variant>
      <vt:variant>
        <vt:i4>8323124</vt:i4>
      </vt:variant>
      <vt:variant>
        <vt:i4>165</vt:i4>
      </vt:variant>
      <vt:variant>
        <vt:i4>0</vt:i4>
      </vt:variant>
      <vt:variant>
        <vt:i4>5</vt:i4>
      </vt:variant>
      <vt:variant>
        <vt:lpwstr>https://www.nice.org.uk/about/what-we-do/our-programmes/nice-guidance/antimicrobial-prescribing-guidelines</vt:lpwstr>
      </vt:variant>
      <vt:variant>
        <vt:lpwstr/>
      </vt:variant>
      <vt:variant>
        <vt:i4>5898246</vt:i4>
      </vt:variant>
      <vt:variant>
        <vt:i4>162</vt:i4>
      </vt:variant>
      <vt:variant>
        <vt:i4>0</vt:i4>
      </vt:variant>
      <vt:variant>
        <vt:i4>5</vt:i4>
      </vt:variant>
      <vt:variant>
        <vt:lpwstr>https://www.gov.uk/government/publications/urinary-tract-infection-diagnosis</vt:lpwstr>
      </vt:variant>
      <vt:variant>
        <vt:lpwstr/>
      </vt:variant>
      <vt:variant>
        <vt:i4>5046292</vt:i4>
      </vt:variant>
      <vt:variant>
        <vt:i4>159</vt:i4>
      </vt:variant>
      <vt:variant>
        <vt:i4>0</vt:i4>
      </vt:variant>
      <vt:variant>
        <vt:i4>5</vt:i4>
      </vt:variant>
      <vt:variant>
        <vt:lpwstr>https://www.gov.uk/government/collections/antimicrobial-resistance-amr-information-and-resources</vt:lpwstr>
      </vt:variant>
      <vt:variant>
        <vt:lpwstr/>
      </vt:variant>
      <vt:variant>
        <vt:i4>6160465</vt:i4>
      </vt:variant>
      <vt:variant>
        <vt:i4>156</vt:i4>
      </vt:variant>
      <vt:variant>
        <vt:i4>0</vt:i4>
      </vt:variant>
      <vt:variant>
        <vt:i4>5</vt:i4>
      </vt:variant>
      <vt:variant>
        <vt:lpwstr>https://www.gov.uk/government/publications/government-response-the-review-on-antimicrobial-resistance</vt:lpwstr>
      </vt:variant>
      <vt:variant>
        <vt:lpwstr/>
      </vt:variant>
      <vt:variant>
        <vt:i4>7274578</vt:i4>
      </vt:variant>
      <vt:variant>
        <vt:i4>153</vt:i4>
      </vt:variant>
      <vt:variant>
        <vt:i4>0</vt:i4>
      </vt:variant>
      <vt:variant>
        <vt:i4>5</vt:i4>
      </vt:variant>
      <vt:variant>
        <vt:lpwstr>mailto:nhsbsa@nhs.net</vt:lpwstr>
      </vt:variant>
      <vt:variant>
        <vt:lpwstr/>
      </vt:variant>
      <vt:variant>
        <vt:i4>4259855</vt:i4>
      </vt:variant>
      <vt:variant>
        <vt:i4>150</vt:i4>
      </vt:variant>
      <vt:variant>
        <vt:i4>0</vt:i4>
      </vt:variant>
      <vt:variant>
        <vt:i4>5</vt:i4>
      </vt:variant>
      <vt:variant>
        <vt:lpwstr>https://future.nhs.uk/ECDC/grouphome</vt:lpwstr>
      </vt:variant>
      <vt:variant>
        <vt:lpwstr/>
      </vt:variant>
      <vt:variant>
        <vt:i4>7667829</vt:i4>
      </vt:variant>
      <vt:variant>
        <vt:i4>147</vt:i4>
      </vt:variant>
      <vt:variant>
        <vt:i4>0</vt:i4>
      </vt:variant>
      <vt:variant>
        <vt:i4>5</vt:i4>
      </vt:variant>
      <vt:variant>
        <vt:lpwstr>https://www.sciencedirect.com/science/article/pii/S0195670113600122?via%3Dihub</vt:lpwstr>
      </vt:variant>
      <vt:variant>
        <vt:lpwstr/>
      </vt:variant>
      <vt:variant>
        <vt:i4>2752621</vt:i4>
      </vt:variant>
      <vt:variant>
        <vt:i4>144</vt:i4>
      </vt:variant>
      <vt:variant>
        <vt:i4>0</vt:i4>
      </vt:variant>
      <vt:variant>
        <vt:i4>5</vt:i4>
      </vt:variant>
      <vt:variant>
        <vt:lpwstr>https://uroweb.org/guideline/urological-infections/</vt:lpwstr>
      </vt:variant>
      <vt:variant>
        <vt:lpwstr/>
      </vt:variant>
      <vt:variant>
        <vt:i4>6553661</vt:i4>
      </vt:variant>
      <vt:variant>
        <vt:i4>141</vt:i4>
      </vt:variant>
      <vt:variant>
        <vt:i4>0</vt:i4>
      </vt:variant>
      <vt:variant>
        <vt:i4>5</vt:i4>
      </vt:variant>
      <vt:variant>
        <vt:lpwstr>https://www.gov.uk/government/publications/uk-5-year-action-plan-for-antimicrobial-resistance-2019-to-2024</vt:lpwstr>
      </vt:variant>
      <vt:variant>
        <vt:lpwstr/>
      </vt:variant>
      <vt:variant>
        <vt:i4>1114163</vt:i4>
      </vt:variant>
      <vt:variant>
        <vt:i4>134</vt:i4>
      </vt:variant>
      <vt:variant>
        <vt:i4>0</vt:i4>
      </vt:variant>
      <vt:variant>
        <vt:i4>5</vt:i4>
      </vt:variant>
      <vt:variant>
        <vt:lpwstr/>
      </vt:variant>
      <vt:variant>
        <vt:lpwstr>_Toc61014513</vt:lpwstr>
      </vt:variant>
      <vt:variant>
        <vt:i4>1048627</vt:i4>
      </vt:variant>
      <vt:variant>
        <vt:i4>128</vt:i4>
      </vt:variant>
      <vt:variant>
        <vt:i4>0</vt:i4>
      </vt:variant>
      <vt:variant>
        <vt:i4>5</vt:i4>
      </vt:variant>
      <vt:variant>
        <vt:lpwstr/>
      </vt:variant>
      <vt:variant>
        <vt:lpwstr>_Toc61014512</vt:lpwstr>
      </vt:variant>
      <vt:variant>
        <vt:i4>1245235</vt:i4>
      </vt:variant>
      <vt:variant>
        <vt:i4>122</vt:i4>
      </vt:variant>
      <vt:variant>
        <vt:i4>0</vt:i4>
      </vt:variant>
      <vt:variant>
        <vt:i4>5</vt:i4>
      </vt:variant>
      <vt:variant>
        <vt:lpwstr/>
      </vt:variant>
      <vt:variant>
        <vt:lpwstr>_Toc61014511</vt:lpwstr>
      </vt:variant>
      <vt:variant>
        <vt:i4>1179699</vt:i4>
      </vt:variant>
      <vt:variant>
        <vt:i4>116</vt:i4>
      </vt:variant>
      <vt:variant>
        <vt:i4>0</vt:i4>
      </vt:variant>
      <vt:variant>
        <vt:i4>5</vt:i4>
      </vt:variant>
      <vt:variant>
        <vt:lpwstr/>
      </vt:variant>
      <vt:variant>
        <vt:lpwstr>_Toc61014510</vt:lpwstr>
      </vt:variant>
      <vt:variant>
        <vt:i4>1769522</vt:i4>
      </vt:variant>
      <vt:variant>
        <vt:i4>110</vt:i4>
      </vt:variant>
      <vt:variant>
        <vt:i4>0</vt:i4>
      </vt:variant>
      <vt:variant>
        <vt:i4>5</vt:i4>
      </vt:variant>
      <vt:variant>
        <vt:lpwstr/>
      </vt:variant>
      <vt:variant>
        <vt:lpwstr>_Toc61014509</vt:lpwstr>
      </vt:variant>
      <vt:variant>
        <vt:i4>1703986</vt:i4>
      </vt:variant>
      <vt:variant>
        <vt:i4>104</vt:i4>
      </vt:variant>
      <vt:variant>
        <vt:i4>0</vt:i4>
      </vt:variant>
      <vt:variant>
        <vt:i4>5</vt:i4>
      </vt:variant>
      <vt:variant>
        <vt:lpwstr/>
      </vt:variant>
      <vt:variant>
        <vt:lpwstr>_Toc61014508</vt:lpwstr>
      </vt:variant>
      <vt:variant>
        <vt:i4>1376306</vt:i4>
      </vt:variant>
      <vt:variant>
        <vt:i4>98</vt:i4>
      </vt:variant>
      <vt:variant>
        <vt:i4>0</vt:i4>
      </vt:variant>
      <vt:variant>
        <vt:i4>5</vt:i4>
      </vt:variant>
      <vt:variant>
        <vt:lpwstr/>
      </vt:variant>
      <vt:variant>
        <vt:lpwstr>_Toc61014507</vt:lpwstr>
      </vt:variant>
      <vt:variant>
        <vt:i4>1310770</vt:i4>
      </vt:variant>
      <vt:variant>
        <vt:i4>92</vt:i4>
      </vt:variant>
      <vt:variant>
        <vt:i4>0</vt:i4>
      </vt:variant>
      <vt:variant>
        <vt:i4>5</vt:i4>
      </vt:variant>
      <vt:variant>
        <vt:lpwstr/>
      </vt:variant>
      <vt:variant>
        <vt:lpwstr>_Toc61014506</vt:lpwstr>
      </vt:variant>
      <vt:variant>
        <vt:i4>1507378</vt:i4>
      </vt:variant>
      <vt:variant>
        <vt:i4>86</vt:i4>
      </vt:variant>
      <vt:variant>
        <vt:i4>0</vt:i4>
      </vt:variant>
      <vt:variant>
        <vt:i4>5</vt:i4>
      </vt:variant>
      <vt:variant>
        <vt:lpwstr/>
      </vt:variant>
      <vt:variant>
        <vt:lpwstr>_Toc61014505</vt:lpwstr>
      </vt:variant>
      <vt:variant>
        <vt:i4>1441842</vt:i4>
      </vt:variant>
      <vt:variant>
        <vt:i4>80</vt:i4>
      </vt:variant>
      <vt:variant>
        <vt:i4>0</vt:i4>
      </vt:variant>
      <vt:variant>
        <vt:i4>5</vt:i4>
      </vt:variant>
      <vt:variant>
        <vt:lpwstr/>
      </vt:variant>
      <vt:variant>
        <vt:lpwstr>_Toc61014504</vt:lpwstr>
      </vt:variant>
      <vt:variant>
        <vt:i4>1114162</vt:i4>
      </vt:variant>
      <vt:variant>
        <vt:i4>74</vt:i4>
      </vt:variant>
      <vt:variant>
        <vt:i4>0</vt:i4>
      </vt:variant>
      <vt:variant>
        <vt:i4>5</vt:i4>
      </vt:variant>
      <vt:variant>
        <vt:lpwstr/>
      </vt:variant>
      <vt:variant>
        <vt:lpwstr>_Toc61014503</vt:lpwstr>
      </vt:variant>
      <vt:variant>
        <vt:i4>1048626</vt:i4>
      </vt:variant>
      <vt:variant>
        <vt:i4>68</vt:i4>
      </vt:variant>
      <vt:variant>
        <vt:i4>0</vt:i4>
      </vt:variant>
      <vt:variant>
        <vt:i4>5</vt:i4>
      </vt:variant>
      <vt:variant>
        <vt:lpwstr/>
      </vt:variant>
      <vt:variant>
        <vt:lpwstr>_Toc61014502</vt:lpwstr>
      </vt:variant>
      <vt:variant>
        <vt:i4>1245234</vt:i4>
      </vt:variant>
      <vt:variant>
        <vt:i4>62</vt:i4>
      </vt:variant>
      <vt:variant>
        <vt:i4>0</vt:i4>
      </vt:variant>
      <vt:variant>
        <vt:i4>5</vt:i4>
      </vt:variant>
      <vt:variant>
        <vt:lpwstr/>
      </vt:variant>
      <vt:variant>
        <vt:lpwstr>_Toc61014501</vt:lpwstr>
      </vt:variant>
      <vt:variant>
        <vt:i4>1179698</vt:i4>
      </vt:variant>
      <vt:variant>
        <vt:i4>56</vt:i4>
      </vt:variant>
      <vt:variant>
        <vt:i4>0</vt:i4>
      </vt:variant>
      <vt:variant>
        <vt:i4>5</vt:i4>
      </vt:variant>
      <vt:variant>
        <vt:lpwstr/>
      </vt:variant>
      <vt:variant>
        <vt:lpwstr>_Toc61014500</vt:lpwstr>
      </vt:variant>
      <vt:variant>
        <vt:i4>1703995</vt:i4>
      </vt:variant>
      <vt:variant>
        <vt:i4>50</vt:i4>
      </vt:variant>
      <vt:variant>
        <vt:i4>0</vt:i4>
      </vt:variant>
      <vt:variant>
        <vt:i4>5</vt:i4>
      </vt:variant>
      <vt:variant>
        <vt:lpwstr/>
      </vt:variant>
      <vt:variant>
        <vt:lpwstr>_Toc61014499</vt:lpwstr>
      </vt:variant>
      <vt:variant>
        <vt:i4>1769531</vt:i4>
      </vt:variant>
      <vt:variant>
        <vt:i4>44</vt:i4>
      </vt:variant>
      <vt:variant>
        <vt:i4>0</vt:i4>
      </vt:variant>
      <vt:variant>
        <vt:i4>5</vt:i4>
      </vt:variant>
      <vt:variant>
        <vt:lpwstr/>
      </vt:variant>
      <vt:variant>
        <vt:lpwstr>_Toc61014498</vt:lpwstr>
      </vt:variant>
      <vt:variant>
        <vt:i4>1310779</vt:i4>
      </vt:variant>
      <vt:variant>
        <vt:i4>38</vt:i4>
      </vt:variant>
      <vt:variant>
        <vt:i4>0</vt:i4>
      </vt:variant>
      <vt:variant>
        <vt:i4>5</vt:i4>
      </vt:variant>
      <vt:variant>
        <vt:lpwstr/>
      </vt:variant>
      <vt:variant>
        <vt:lpwstr>_Toc61014497</vt:lpwstr>
      </vt:variant>
      <vt:variant>
        <vt:i4>1114171</vt:i4>
      </vt:variant>
      <vt:variant>
        <vt:i4>32</vt:i4>
      </vt:variant>
      <vt:variant>
        <vt:i4>0</vt:i4>
      </vt:variant>
      <vt:variant>
        <vt:i4>5</vt:i4>
      </vt:variant>
      <vt:variant>
        <vt:lpwstr/>
      </vt:variant>
      <vt:variant>
        <vt:lpwstr>_Toc61014492</vt:lpwstr>
      </vt:variant>
      <vt:variant>
        <vt:i4>1179707</vt:i4>
      </vt:variant>
      <vt:variant>
        <vt:i4>26</vt:i4>
      </vt:variant>
      <vt:variant>
        <vt:i4>0</vt:i4>
      </vt:variant>
      <vt:variant>
        <vt:i4>5</vt:i4>
      </vt:variant>
      <vt:variant>
        <vt:lpwstr/>
      </vt:variant>
      <vt:variant>
        <vt:lpwstr>_Toc61014491</vt:lpwstr>
      </vt:variant>
      <vt:variant>
        <vt:i4>1245243</vt:i4>
      </vt:variant>
      <vt:variant>
        <vt:i4>20</vt:i4>
      </vt:variant>
      <vt:variant>
        <vt:i4>0</vt:i4>
      </vt:variant>
      <vt:variant>
        <vt:i4>5</vt:i4>
      </vt:variant>
      <vt:variant>
        <vt:lpwstr/>
      </vt:variant>
      <vt:variant>
        <vt:lpwstr>_Toc61014490</vt:lpwstr>
      </vt:variant>
      <vt:variant>
        <vt:i4>1703994</vt:i4>
      </vt:variant>
      <vt:variant>
        <vt:i4>14</vt:i4>
      </vt:variant>
      <vt:variant>
        <vt:i4>0</vt:i4>
      </vt:variant>
      <vt:variant>
        <vt:i4>5</vt:i4>
      </vt:variant>
      <vt:variant>
        <vt:lpwstr/>
      </vt:variant>
      <vt:variant>
        <vt:lpwstr>_Toc61014489</vt:lpwstr>
      </vt:variant>
      <vt:variant>
        <vt:i4>1769530</vt:i4>
      </vt:variant>
      <vt:variant>
        <vt:i4>8</vt:i4>
      </vt:variant>
      <vt:variant>
        <vt:i4>0</vt:i4>
      </vt:variant>
      <vt:variant>
        <vt:i4>5</vt:i4>
      </vt:variant>
      <vt:variant>
        <vt:lpwstr/>
      </vt:variant>
      <vt:variant>
        <vt:lpwstr>_Toc61014488</vt:lpwstr>
      </vt:variant>
      <vt:variant>
        <vt:i4>1310778</vt:i4>
      </vt:variant>
      <vt:variant>
        <vt:i4>2</vt:i4>
      </vt:variant>
      <vt:variant>
        <vt:i4>0</vt:i4>
      </vt:variant>
      <vt:variant>
        <vt:i4>5</vt:i4>
      </vt:variant>
      <vt:variant>
        <vt:lpwstr/>
      </vt:variant>
      <vt:variant>
        <vt:lpwstr>_Toc61014487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Services landscape Word document template V1</dc:title>
  <dc:subject/>
  <dc:creator>NRatclif</dc:creator>
  <cp:keywords/>
  <cp:lastModifiedBy>Ben Holmes</cp:lastModifiedBy>
  <cp:revision>4</cp:revision>
  <cp:lastPrinted>2018-02-13T11:09:00Z</cp:lastPrinted>
  <dcterms:created xsi:type="dcterms:W3CDTF">2022-10-28T14:46:00Z</dcterms:created>
  <dcterms:modified xsi:type="dcterms:W3CDTF">2022-11-03T13:32:00Z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James Davenport</vt:lpwstr>
  </property>
  <property fmtid="{D5CDD505-2E9C-101B-9397-08002B2CF9AE}" pid="7" name="Gov_SecondNotification">
    <vt:lpwstr>true</vt:lpwstr>
  </property>
  <property fmtid="{D5CDD505-2E9C-101B-9397-08002B2CF9AE}" pid="8" name="Gov_FinalNotification">
    <vt:lpwstr/>
  </property>
  <property fmtid="{D5CDD505-2E9C-101B-9397-08002B2CF9AE}" pid="9" name="Gov_FirstNotification">
    <vt:lpwstr>0</vt:lpwstr>
  </property>
  <property fmtid="{D5CDD505-2E9C-101B-9397-08002B2CF9AE}" pid="10" name="ContentTypeId">
    <vt:lpwstr>0x0101006B2D2087DE74C54DAA57B030A9EFE0EB</vt:lpwstr>
  </property>
  <property fmtid="{D5CDD505-2E9C-101B-9397-08002B2CF9AE}" pid="11" name="MediaServiceImageTags">
    <vt:lpwstr/>
  </property>
</Properties>
</file>