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C5AB"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26A366C5" w14:textId="77777777" w:rsidTr="003E12B1">
        <w:trPr>
          <w:trHeight w:val="642"/>
        </w:trPr>
        <w:tc>
          <w:tcPr>
            <w:tcW w:w="8901" w:type="dxa"/>
          </w:tcPr>
          <w:p w14:paraId="33D8FE60" w14:textId="6EE3CC7A" w:rsidR="00C94874" w:rsidRDefault="00C94874" w:rsidP="003E12B1">
            <w:pPr>
              <w:pStyle w:val="Classification"/>
            </w:pPr>
          </w:p>
        </w:tc>
      </w:tr>
      <w:tr w:rsidR="00C94874" w14:paraId="50A80057" w14:textId="77777777" w:rsidTr="003E12B1">
        <w:tc>
          <w:tcPr>
            <w:tcW w:w="8901" w:type="dxa"/>
          </w:tcPr>
          <w:p w14:paraId="65AA4864" w14:textId="6281E2C7" w:rsidR="00C94874" w:rsidRDefault="00C94874" w:rsidP="003E12B1">
            <w:pPr>
              <w:pStyle w:val="Classification"/>
            </w:pPr>
          </w:p>
        </w:tc>
      </w:tr>
    </w:tbl>
    <w:p w14:paraId="5821E58B"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276FDA77" w14:textId="3AE022D3" w:rsidR="00F86A73" w:rsidRDefault="00A12E8B" w:rsidP="005D41AF">
      <w:pPr>
        <w:pStyle w:val="Title"/>
      </w:pPr>
      <w:r>
        <w:t>Pharmacy Contraception Service</w:t>
      </w:r>
    </w:p>
    <w:p w14:paraId="5370F419" w14:textId="3A53124C" w:rsidR="008D0D77" w:rsidRDefault="008D0D77" w:rsidP="008D0D77">
      <w:pPr>
        <w:pStyle w:val="Heading1"/>
      </w:pPr>
      <w:r>
        <w:t xml:space="preserve">Frequently asked questions </w:t>
      </w:r>
    </w:p>
    <w:p w14:paraId="0CB2437D" w14:textId="77777777" w:rsidR="008D0D77" w:rsidRPr="008D0D77" w:rsidRDefault="008D0D77" w:rsidP="008D0D77">
      <w:pPr>
        <w:pStyle w:val="Date"/>
      </w:pPr>
    </w:p>
    <w:p w14:paraId="091CE053" w14:textId="46125F68" w:rsidR="00F86A73" w:rsidRDefault="008F2A35" w:rsidP="004B04BF">
      <w:pPr>
        <w:pStyle w:val="Subtitle"/>
      </w:pPr>
      <w:sdt>
        <w:sdtPr>
          <w:alias w:val="Date"/>
          <w:tag w:val="Date"/>
          <w:id w:val="-1379391513"/>
          <w:placeholder>
            <w:docPart w:val="CFDF7C00DBF84CE5AC52CD6E2FC5403D"/>
          </w:placeholder>
          <w:date w:fullDate="2023-04-26T00:00:00Z">
            <w:dateFormat w:val="d MMMM yyyy"/>
            <w:lid w:val="en-GB"/>
            <w:storeMappedDataAs w:val="dateTime"/>
            <w:calendar w:val="gregorian"/>
          </w:date>
        </w:sdtPr>
        <w:sdtEndPr/>
        <w:sdtContent>
          <w:r w:rsidR="00574232">
            <w:t>2</w:t>
          </w:r>
          <w:r w:rsidR="00537606">
            <w:t>6</w:t>
          </w:r>
          <w:r w:rsidR="00A12E8B">
            <w:t xml:space="preserve"> </w:t>
          </w:r>
          <w:r w:rsidR="00574232">
            <w:t>April</w:t>
          </w:r>
          <w:r w:rsidR="00A12E8B">
            <w:t xml:space="preserve"> 2023</w:t>
          </w:r>
        </w:sdtContent>
      </w:sdt>
      <w:r w:rsidR="003E12B1">
        <w:t>,</w:t>
      </w:r>
      <w:r w:rsidR="004B04BF">
        <w:t xml:space="preserve"> Version </w:t>
      </w:r>
      <w:r w:rsidR="00A12E8B">
        <w:t>1.0</w:t>
      </w:r>
    </w:p>
    <w:p w14:paraId="49E2DFF6" w14:textId="1FB6CFA3" w:rsidR="00C371B3" w:rsidRDefault="00C371B3" w:rsidP="00C371B3">
      <w:pPr>
        <w:pStyle w:val="Date"/>
      </w:pPr>
    </w:p>
    <w:p w14:paraId="104C5D6F" w14:textId="77777777" w:rsidR="00C371B3" w:rsidRDefault="00C371B3" w:rsidP="00C371B3">
      <w:pPr>
        <w:rPr>
          <w:rFonts w:cs="Arial"/>
          <w:b/>
          <w:bCs/>
          <w:u w:val="single"/>
        </w:rPr>
      </w:pPr>
      <w:r w:rsidRPr="00E77AC2">
        <w:rPr>
          <w:rFonts w:cs="Arial"/>
          <w:b/>
          <w:bCs/>
          <w:u w:val="single"/>
        </w:rPr>
        <w:t xml:space="preserve">Aims and </w:t>
      </w:r>
      <w:r>
        <w:rPr>
          <w:rFonts w:cs="Arial"/>
          <w:b/>
          <w:bCs/>
          <w:u w:val="single"/>
        </w:rPr>
        <w:t>Registration</w:t>
      </w:r>
    </w:p>
    <w:p w14:paraId="5CA9386D" w14:textId="77777777" w:rsidR="00C371B3" w:rsidRPr="00B83B39" w:rsidRDefault="00C371B3" w:rsidP="00C371B3">
      <w:pPr>
        <w:rPr>
          <w:rFonts w:cs="Arial"/>
          <w:b/>
          <w:bCs/>
          <w:u w:val="single"/>
        </w:rPr>
      </w:pPr>
    </w:p>
    <w:p w14:paraId="62E683EA" w14:textId="77777777" w:rsidR="00C371B3" w:rsidRPr="00DB22DC" w:rsidRDefault="00C371B3" w:rsidP="00C371B3">
      <w:pPr>
        <w:rPr>
          <w:rFonts w:cs="Arial"/>
          <w:b/>
          <w:bCs/>
        </w:rPr>
      </w:pPr>
      <w:r w:rsidRPr="00DB22DC">
        <w:rPr>
          <w:rFonts w:cs="Arial"/>
          <w:b/>
          <w:bCs/>
        </w:rPr>
        <w:t xml:space="preserve">What is the aim of the </w:t>
      </w:r>
      <w:r>
        <w:rPr>
          <w:rFonts w:cs="Arial"/>
          <w:b/>
          <w:bCs/>
        </w:rPr>
        <w:t>service</w:t>
      </w:r>
      <w:r w:rsidRPr="00DB22DC">
        <w:rPr>
          <w:rFonts w:cs="Arial"/>
          <w:b/>
          <w:bCs/>
        </w:rPr>
        <w:t>?</w:t>
      </w:r>
    </w:p>
    <w:p w14:paraId="405F8B70" w14:textId="77777777" w:rsidR="00C371B3" w:rsidRDefault="00C371B3" w:rsidP="00C371B3">
      <w:pPr>
        <w:rPr>
          <w:rFonts w:cs="Arial"/>
        </w:rPr>
      </w:pPr>
      <w:r w:rsidRPr="009F7E55">
        <w:rPr>
          <w:rFonts w:cs="Arial"/>
        </w:rPr>
        <w:t>Tier 1 of the P</w:t>
      </w:r>
      <w:r>
        <w:rPr>
          <w:rFonts w:cs="Arial"/>
        </w:rPr>
        <w:t xml:space="preserve">harmacy </w:t>
      </w:r>
      <w:r w:rsidRPr="009F7E55">
        <w:rPr>
          <w:rFonts w:cs="Arial"/>
        </w:rPr>
        <w:t>C</w:t>
      </w:r>
      <w:r>
        <w:rPr>
          <w:rFonts w:cs="Arial"/>
        </w:rPr>
        <w:t xml:space="preserve">ontraception </w:t>
      </w:r>
      <w:r w:rsidRPr="009F7E55">
        <w:rPr>
          <w:rFonts w:cs="Arial"/>
        </w:rPr>
        <w:t>S</w:t>
      </w:r>
      <w:r>
        <w:rPr>
          <w:rFonts w:cs="Arial"/>
        </w:rPr>
        <w:t>ervice</w:t>
      </w:r>
      <w:r w:rsidRPr="009F7E55">
        <w:rPr>
          <w:rFonts w:cs="Arial"/>
        </w:rPr>
        <w:t xml:space="preserve"> allows pharmacy contractors to establish the first step of a fully integrated care model. This will provide people with greater choice and access to ongoing </w:t>
      </w:r>
      <w:r>
        <w:rPr>
          <w:rFonts w:cs="Arial"/>
        </w:rPr>
        <w:t>oral contraception</w:t>
      </w:r>
      <w:r w:rsidRPr="009F7E55">
        <w:rPr>
          <w:rFonts w:cs="Arial"/>
        </w:rPr>
        <w:t xml:space="preserve"> supplies, previously initiated in primary care or a sexual health clinic (or equivalent).</w:t>
      </w:r>
    </w:p>
    <w:p w14:paraId="2C7522F4" w14:textId="77777777" w:rsidR="00C371B3" w:rsidRPr="009F7E55" w:rsidRDefault="00C371B3" w:rsidP="00C371B3">
      <w:pPr>
        <w:rPr>
          <w:rFonts w:cs="Arial"/>
        </w:rPr>
      </w:pPr>
    </w:p>
    <w:p w14:paraId="24CAA742" w14:textId="77777777" w:rsidR="00C371B3" w:rsidRPr="00DB22DC" w:rsidRDefault="00C371B3" w:rsidP="00C371B3">
      <w:pPr>
        <w:rPr>
          <w:rFonts w:cs="Arial"/>
          <w:b/>
          <w:bCs/>
        </w:rPr>
      </w:pPr>
      <w:r w:rsidRPr="00DB22DC">
        <w:rPr>
          <w:rFonts w:cs="Arial"/>
          <w:b/>
          <w:bCs/>
        </w:rPr>
        <w:t>How is this service being commissioned?</w:t>
      </w:r>
    </w:p>
    <w:p w14:paraId="0D7F66CC" w14:textId="77777777" w:rsidR="00C371B3" w:rsidRPr="00DB22DC" w:rsidRDefault="00C371B3" w:rsidP="00C371B3">
      <w:pPr>
        <w:rPr>
          <w:rFonts w:cs="Arial"/>
        </w:rPr>
      </w:pPr>
      <w:r w:rsidRPr="00DB22DC">
        <w:rPr>
          <w:rFonts w:cs="Arial"/>
        </w:rPr>
        <w:t>This service is being commissioned as an Advanced pharmacy service. Therefore, participation is optional for all pharmacies. Contractors are required to meet the terms</w:t>
      </w:r>
      <w:r>
        <w:rPr>
          <w:rFonts w:cs="Arial"/>
        </w:rPr>
        <w:t xml:space="preserve"> </w:t>
      </w:r>
      <w:r w:rsidRPr="00DB22DC">
        <w:rPr>
          <w:rFonts w:cs="Arial"/>
        </w:rPr>
        <w:t>of the specification prior to registration. The specification can be found here:</w:t>
      </w:r>
    </w:p>
    <w:p w14:paraId="6B974F16" w14:textId="44F9ADD1" w:rsidR="00C371B3" w:rsidRDefault="008F2A35" w:rsidP="00C371B3">
      <w:pPr>
        <w:rPr>
          <w:rStyle w:val="Hyperlink"/>
          <w:rFonts w:cs="Arial"/>
        </w:rPr>
      </w:pPr>
      <w:hyperlink r:id="rId12" w:history="1">
        <w:r w:rsidR="00C371B3" w:rsidRPr="00DB22DC">
          <w:rPr>
            <w:rStyle w:val="Hyperlink"/>
            <w:rFonts w:cs="Arial"/>
          </w:rPr>
          <w:t>NHS England » NHS Pharmacy Contraception Service Tier 1 – Ongoing supply of oral contraception</w:t>
        </w:r>
      </w:hyperlink>
    </w:p>
    <w:p w14:paraId="398E139A" w14:textId="77777777" w:rsidR="00C371B3" w:rsidRPr="009C4C12" w:rsidRDefault="00C371B3" w:rsidP="00C371B3">
      <w:pPr>
        <w:rPr>
          <w:rFonts w:cs="Arial"/>
        </w:rPr>
      </w:pPr>
    </w:p>
    <w:p w14:paraId="26C1FAED" w14:textId="77777777" w:rsidR="00C371B3" w:rsidRPr="00DB22DC" w:rsidRDefault="00C371B3" w:rsidP="00C371B3">
      <w:pPr>
        <w:rPr>
          <w:rFonts w:cs="Arial"/>
          <w:b/>
          <w:bCs/>
        </w:rPr>
      </w:pPr>
      <w:r w:rsidRPr="00DB22DC">
        <w:rPr>
          <w:rFonts w:cs="Arial"/>
          <w:b/>
          <w:bCs/>
        </w:rPr>
        <w:t>Can any pharmacy sign up to deliver this service?</w:t>
      </w:r>
    </w:p>
    <w:p w14:paraId="7AC41A5B" w14:textId="77777777" w:rsidR="00C371B3" w:rsidRPr="00E77AC2" w:rsidRDefault="00C371B3" w:rsidP="00C371B3">
      <w:pPr>
        <w:rPr>
          <w:rFonts w:cs="Arial"/>
        </w:rPr>
      </w:pPr>
      <w:r>
        <w:rPr>
          <w:rFonts w:cs="Arial"/>
        </w:rPr>
        <w:t>Any pharmacy can</w:t>
      </w:r>
      <w:r w:rsidRPr="00E77AC2">
        <w:rPr>
          <w:rFonts w:cs="Arial"/>
        </w:rPr>
        <w:t xml:space="preserve"> participate provided they meet the terms of the specification (see above).</w:t>
      </w:r>
    </w:p>
    <w:p w14:paraId="5034011B" w14:textId="77777777" w:rsidR="00C371B3" w:rsidRPr="00E77AC2" w:rsidRDefault="00C371B3" w:rsidP="00C371B3">
      <w:pPr>
        <w:ind w:left="720"/>
        <w:rPr>
          <w:rFonts w:cs="Arial"/>
        </w:rPr>
      </w:pPr>
    </w:p>
    <w:p w14:paraId="761B3FF2" w14:textId="77777777" w:rsidR="00C371B3" w:rsidRPr="00E77AC2" w:rsidRDefault="00C371B3" w:rsidP="00C371B3">
      <w:pPr>
        <w:rPr>
          <w:rFonts w:cs="Arial"/>
        </w:rPr>
      </w:pPr>
      <w:r w:rsidRPr="00E77AC2">
        <w:rPr>
          <w:rFonts w:cs="Arial"/>
        </w:rPr>
        <w:t>Contractors should register for the service via MYS:</w:t>
      </w:r>
    </w:p>
    <w:p w14:paraId="0E7130A3" w14:textId="77777777" w:rsidR="00C371B3" w:rsidRDefault="008F2A35" w:rsidP="00C371B3">
      <w:pPr>
        <w:rPr>
          <w:rStyle w:val="Hyperlink"/>
          <w:rFonts w:cs="Arial"/>
        </w:rPr>
      </w:pPr>
      <w:hyperlink r:id="rId13" w:history="1">
        <w:r w:rsidR="00C371B3" w:rsidRPr="00E77AC2">
          <w:rPr>
            <w:rStyle w:val="Hyperlink"/>
            <w:rFonts w:cs="Arial"/>
          </w:rPr>
          <w:t>MYS – Pharmacy | NHSBSA</w:t>
        </w:r>
      </w:hyperlink>
    </w:p>
    <w:p w14:paraId="27638B4C" w14:textId="77777777" w:rsidR="00C371B3" w:rsidRDefault="00C371B3" w:rsidP="00C371B3">
      <w:pPr>
        <w:rPr>
          <w:rStyle w:val="Hyperlink"/>
          <w:rFonts w:cs="Arial"/>
        </w:rPr>
      </w:pPr>
    </w:p>
    <w:p w14:paraId="30E3B149" w14:textId="2E07600D" w:rsidR="00C371B3" w:rsidRPr="00693B78" w:rsidRDefault="00C371B3" w:rsidP="00C371B3">
      <w:pPr>
        <w:rPr>
          <w:rFonts w:cs="Arial"/>
          <w:b/>
          <w:bCs/>
        </w:rPr>
      </w:pPr>
      <w:r w:rsidRPr="00693B78">
        <w:rPr>
          <w:rFonts w:cs="Arial"/>
          <w:b/>
          <w:bCs/>
        </w:rPr>
        <w:t xml:space="preserve">When </w:t>
      </w:r>
      <w:r>
        <w:rPr>
          <w:rFonts w:cs="Arial"/>
          <w:b/>
          <w:bCs/>
        </w:rPr>
        <w:t>did</w:t>
      </w:r>
      <w:r w:rsidRPr="00693B78">
        <w:rPr>
          <w:rFonts w:cs="Arial"/>
          <w:b/>
          <w:bCs/>
        </w:rPr>
        <w:t xml:space="preserve"> the Advanced Service </w:t>
      </w:r>
      <w:r w:rsidR="000D071A">
        <w:rPr>
          <w:rFonts w:cs="Arial"/>
          <w:b/>
          <w:bCs/>
        </w:rPr>
        <w:t>g</w:t>
      </w:r>
      <w:r w:rsidRPr="00693B78">
        <w:rPr>
          <w:rFonts w:cs="Arial"/>
          <w:b/>
          <w:bCs/>
        </w:rPr>
        <w:t xml:space="preserve">o </w:t>
      </w:r>
      <w:r w:rsidR="000D071A">
        <w:rPr>
          <w:rFonts w:cs="Arial"/>
          <w:b/>
          <w:bCs/>
        </w:rPr>
        <w:t>l</w:t>
      </w:r>
      <w:r w:rsidRPr="00693B78">
        <w:rPr>
          <w:rFonts w:cs="Arial"/>
          <w:b/>
          <w:bCs/>
        </w:rPr>
        <w:t>ive?</w:t>
      </w:r>
    </w:p>
    <w:p w14:paraId="2A150CB8" w14:textId="71902044" w:rsidR="00C371B3" w:rsidRPr="00693B78" w:rsidRDefault="00C371B3" w:rsidP="00C371B3">
      <w:pPr>
        <w:rPr>
          <w:rFonts w:cs="Arial"/>
        </w:rPr>
      </w:pPr>
      <w:r w:rsidRPr="00693B78">
        <w:rPr>
          <w:rFonts w:cs="Arial"/>
        </w:rPr>
        <w:t>Tier 1</w:t>
      </w:r>
      <w:r w:rsidR="000D071A">
        <w:rPr>
          <w:rFonts w:cs="Arial"/>
        </w:rPr>
        <w:t xml:space="preserve"> of the</w:t>
      </w:r>
      <w:r w:rsidRPr="00693B78">
        <w:rPr>
          <w:rFonts w:cs="Arial"/>
        </w:rPr>
        <w:t xml:space="preserve"> advanced service </w:t>
      </w:r>
      <w:r>
        <w:rPr>
          <w:rFonts w:cs="Arial"/>
        </w:rPr>
        <w:t>w</w:t>
      </w:r>
      <w:r w:rsidR="000D071A">
        <w:rPr>
          <w:rFonts w:cs="Arial"/>
        </w:rPr>
        <w:t>ent live on</w:t>
      </w:r>
      <w:r w:rsidRPr="00693B78">
        <w:rPr>
          <w:rFonts w:cs="Arial"/>
        </w:rPr>
        <w:t xml:space="preserve"> 24 April 2023.</w:t>
      </w:r>
    </w:p>
    <w:p w14:paraId="0495C876" w14:textId="77777777" w:rsidR="00C371B3" w:rsidRPr="00E77AC2" w:rsidRDefault="00C371B3" w:rsidP="00C371B3">
      <w:pPr>
        <w:rPr>
          <w:rFonts w:cs="Arial"/>
        </w:rPr>
      </w:pPr>
    </w:p>
    <w:p w14:paraId="013813A3" w14:textId="6D9ACA52" w:rsidR="00C371B3" w:rsidRPr="00DB22DC" w:rsidRDefault="00C371B3" w:rsidP="00C371B3">
      <w:pPr>
        <w:rPr>
          <w:rFonts w:cs="Arial"/>
          <w:b/>
          <w:bCs/>
        </w:rPr>
      </w:pPr>
      <w:r w:rsidRPr="00DB22DC">
        <w:rPr>
          <w:rFonts w:cs="Arial"/>
          <w:b/>
          <w:bCs/>
        </w:rPr>
        <w:t xml:space="preserve">Do all pharmacies have to go live from </w:t>
      </w:r>
      <w:r>
        <w:rPr>
          <w:rFonts w:cs="Arial"/>
          <w:b/>
          <w:bCs/>
        </w:rPr>
        <w:t>24 April 2023</w:t>
      </w:r>
      <w:r w:rsidRPr="00DB22DC">
        <w:rPr>
          <w:rFonts w:cs="Arial"/>
          <w:b/>
          <w:bCs/>
        </w:rPr>
        <w:t>?</w:t>
      </w:r>
    </w:p>
    <w:p w14:paraId="5F56139A" w14:textId="42F673EE" w:rsidR="00C371B3" w:rsidRPr="00E77AC2" w:rsidRDefault="00C371B3" w:rsidP="00C371B3">
      <w:pPr>
        <w:rPr>
          <w:rFonts w:cs="Arial"/>
        </w:rPr>
      </w:pPr>
      <w:r w:rsidRPr="00DC3428">
        <w:rPr>
          <w:rFonts w:cs="Arial"/>
        </w:rPr>
        <w:t xml:space="preserve">No. </w:t>
      </w:r>
      <w:r w:rsidR="0041108C">
        <w:rPr>
          <w:rFonts w:cs="Arial"/>
        </w:rPr>
        <w:t>This</w:t>
      </w:r>
      <w:r w:rsidRPr="00DC3428">
        <w:rPr>
          <w:rFonts w:cs="Arial"/>
        </w:rPr>
        <w:t xml:space="preserve"> is an Advanced service, so contractors are free to choose if they will provide the service and when they will start provision</w:t>
      </w:r>
      <w:r w:rsidRPr="00E77AC2">
        <w:rPr>
          <w:rFonts w:cs="Arial"/>
        </w:rPr>
        <w:t>.</w:t>
      </w:r>
    </w:p>
    <w:p w14:paraId="043AEE6A" w14:textId="77777777" w:rsidR="00C371B3" w:rsidRDefault="00C371B3" w:rsidP="00C371B3">
      <w:pPr>
        <w:pStyle w:val="ListParagraph"/>
        <w:rPr>
          <w:rFonts w:cs="Arial"/>
        </w:rPr>
      </w:pPr>
    </w:p>
    <w:p w14:paraId="0AD71804" w14:textId="77777777" w:rsidR="0041108C" w:rsidRDefault="0041108C" w:rsidP="00C371B3">
      <w:pPr>
        <w:rPr>
          <w:rFonts w:cs="Arial"/>
          <w:b/>
          <w:bCs/>
        </w:rPr>
      </w:pPr>
    </w:p>
    <w:p w14:paraId="5E4051DB" w14:textId="77777777" w:rsidR="0041108C" w:rsidRDefault="0041108C" w:rsidP="00C371B3">
      <w:pPr>
        <w:rPr>
          <w:rFonts w:cs="Arial"/>
          <w:b/>
          <w:bCs/>
        </w:rPr>
      </w:pPr>
    </w:p>
    <w:p w14:paraId="63D913ED" w14:textId="0BCD4E45" w:rsidR="00C371B3" w:rsidRPr="00DB22DC" w:rsidRDefault="00C371B3" w:rsidP="00C371B3">
      <w:pPr>
        <w:rPr>
          <w:rFonts w:cs="Arial"/>
          <w:b/>
          <w:bCs/>
        </w:rPr>
      </w:pPr>
      <w:r w:rsidRPr="00DB22DC">
        <w:rPr>
          <w:rFonts w:cs="Arial"/>
          <w:b/>
          <w:bCs/>
        </w:rPr>
        <w:lastRenderedPageBreak/>
        <w:t xml:space="preserve">If </w:t>
      </w:r>
      <w:r>
        <w:rPr>
          <w:rFonts w:cs="Arial"/>
          <w:b/>
          <w:bCs/>
        </w:rPr>
        <w:t>a trained pharmacist</w:t>
      </w:r>
      <w:r w:rsidRPr="00DB22DC">
        <w:rPr>
          <w:rFonts w:cs="Arial"/>
          <w:b/>
          <w:bCs/>
        </w:rPr>
        <w:t xml:space="preserve"> work</w:t>
      </w:r>
      <w:r>
        <w:rPr>
          <w:rFonts w:cs="Arial"/>
          <w:b/>
          <w:bCs/>
        </w:rPr>
        <w:t>s</w:t>
      </w:r>
      <w:r w:rsidRPr="00DB22DC">
        <w:rPr>
          <w:rFonts w:cs="Arial"/>
          <w:b/>
          <w:bCs/>
        </w:rPr>
        <w:t xml:space="preserve"> at multiple pharmacy sites, will </w:t>
      </w:r>
      <w:r>
        <w:rPr>
          <w:rFonts w:cs="Arial"/>
          <w:b/>
          <w:bCs/>
        </w:rPr>
        <w:t>they</w:t>
      </w:r>
      <w:r w:rsidRPr="00DB22DC">
        <w:rPr>
          <w:rFonts w:cs="Arial"/>
          <w:b/>
          <w:bCs/>
        </w:rPr>
        <w:t xml:space="preserve"> need to register for the service at each pharmacy?</w:t>
      </w:r>
    </w:p>
    <w:p w14:paraId="19DE4683" w14:textId="77777777" w:rsidR="00C371B3" w:rsidRPr="009F7E55" w:rsidRDefault="00C371B3" w:rsidP="00C371B3">
      <w:pPr>
        <w:spacing w:after="160" w:line="259" w:lineRule="auto"/>
        <w:rPr>
          <w:rFonts w:cs="Arial"/>
        </w:rPr>
      </w:pPr>
      <w:r w:rsidRPr="00DB22DC">
        <w:rPr>
          <w:rFonts w:cs="Arial"/>
        </w:rPr>
        <w:t xml:space="preserve">It will be the responsibility of the pharmacy contractor to register </w:t>
      </w:r>
      <w:r>
        <w:rPr>
          <w:rFonts w:cs="Arial"/>
        </w:rPr>
        <w:t xml:space="preserve">their individual pharmacy </w:t>
      </w:r>
      <w:r w:rsidRPr="00DB22DC">
        <w:rPr>
          <w:rFonts w:cs="Arial"/>
        </w:rPr>
        <w:t xml:space="preserve">to deliver the advanced service. As part of the registration, they will be required to declare they can meet the terms of the specification. This includes training and competence of the staff delivering the service. </w:t>
      </w:r>
    </w:p>
    <w:p w14:paraId="7F43DA24" w14:textId="77777777" w:rsidR="00C371B3" w:rsidRDefault="00C371B3" w:rsidP="00C371B3">
      <w:pPr>
        <w:rPr>
          <w:rFonts w:cs="Arial"/>
          <w:b/>
          <w:bCs/>
        </w:rPr>
      </w:pPr>
      <w:r w:rsidRPr="00216912">
        <w:rPr>
          <w:rFonts w:cs="Arial"/>
          <w:b/>
          <w:bCs/>
        </w:rPr>
        <w:t xml:space="preserve">Will </w:t>
      </w:r>
      <w:r>
        <w:rPr>
          <w:rFonts w:cs="Arial"/>
          <w:b/>
          <w:bCs/>
        </w:rPr>
        <w:t>pharmacists</w:t>
      </w:r>
      <w:r w:rsidRPr="00216912">
        <w:rPr>
          <w:rFonts w:cs="Arial"/>
          <w:b/>
          <w:bCs/>
        </w:rPr>
        <w:t xml:space="preserve"> need to re-register for the advanced service if </w:t>
      </w:r>
      <w:r>
        <w:rPr>
          <w:rFonts w:cs="Arial"/>
          <w:b/>
          <w:bCs/>
        </w:rPr>
        <w:t>they</w:t>
      </w:r>
      <w:r w:rsidRPr="00216912">
        <w:rPr>
          <w:rFonts w:cs="Arial"/>
          <w:b/>
          <w:bCs/>
        </w:rPr>
        <w:t xml:space="preserve"> start working at a new pharmacy?</w:t>
      </w:r>
    </w:p>
    <w:p w14:paraId="69148D03" w14:textId="7F9A5923" w:rsidR="00C371B3" w:rsidRPr="00B83B39" w:rsidRDefault="00C371B3" w:rsidP="00C371B3">
      <w:pPr>
        <w:rPr>
          <w:rFonts w:cs="Arial"/>
          <w:b/>
          <w:bCs/>
        </w:rPr>
      </w:pPr>
      <w:r w:rsidRPr="00216912">
        <w:rPr>
          <w:rFonts w:cs="Arial"/>
        </w:rPr>
        <w:t xml:space="preserve">Any new pharmacy contractor can register to deliver the service </w:t>
      </w:r>
      <w:r>
        <w:rPr>
          <w:rFonts w:cs="Arial"/>
        </w:rPr>
        <w:t>if they have suitably trained staff</w:t>
      </w:r>
      <w:r w:rsidR="001460F2">
        <w:rPr>
          <w:rFonts w:cs="Arial"/>
        </w:rPr>
        <w:t xml:space="preserve">. </w:t>
      </w:r>
      <w:r w:rsidRPr="00216912">
        <w:rPr>
          <w:rFonts w:cs="Arial"/>
        </w:rPr>
        <w:t>Each pharmacy will need to register via MYS.</w:t>
      </w:r>
    </w:p>
    <w:p w14:paraId="5472A8B2" w14:textId="77777777" w:rsidR="00C371B3" w:rsidRPr="00AF2216" w:rsidRDefault="00C371B3" w:rsidP="00C371B3">
      <w:pPr>
        <w:pStyle w:val="ListParagraph"/>
        <w:rPr>
          <w:rFonts w:cs="Arial"/>
          <w:b/>
          <w:bCs/>
        </w:rPr>
      </w:pPr>
    </w:p>
    <w:p w14:paraId="4DBE9120" w14:textId="77777777" w:rsidR="00C371B3" w:rsidRPr="00AF2216" w:rsidRDefault="00C371B3" w:rsidP="00C371B3">
      <w:pPr>
        <w:rPr>
          <w:rFonts w:cs="Arial"/>
          <w:b/>
          <w:bCs/>
        </w:rPr>
      </w:pPr>
    </w:p>
    <w:p w14:paraId="22D25803" w14:textId="77777777" w:rsidR="00C371B3" w:rsidRPr="00AF2216" w:rsidRDefault="00C371B3" w:rsidP="00C371B3">
      <w:pPr>
        <w:rPr>
          <w:rFonts w:cs="Arial"/>
          <w:b/>
          <w:bCs/>
          <w:u w:val="single"/>
        </w:rPr>
      </w:pPr>
      <w:r w:rsidRPr="00AF2216">
        <w:rPr>
          <w:rFonts w:cs="Arial"/>
          <w:b/>
          <w:bCs/>
          <w:u w:val="single"/>
        </w:rPr>
        <w:t>Specification requirements</w:t>
      </w:r>
    </w:p>
    <w:p w14:paraId="7A872754" w14:textId="77777777" w:rsidR="00C371B3" w:rsidRPr="00E77AC2" w:rsidRDefault="00C371B3" w:rsidP="00C371B3">
      <w:pPr>
        <w:rPr>
          <w:rFonts w:cs="Arial"/>
        </w:rPr>
      </w:pPr>
    </w:p>
    <w:p w14:paraId="2DFCC338" w14:textId="77777777" w:rsidR="00C371B3" w:rsidRDefault="00C371B3" w:rsidP="00C371B3">
      <w:pPr>
        <w:rPr>
          <w:rFonts w:cs="Arial"/>
          <w:b/>
          <w:bCs/>
        </w:rPr>
      </w:pPr>
      <w:r w:rsidRPr="00DC3428">
        <w:rPr>
          <w:rFonts w:cs="Arial"/>
          <w:b/>
          <w:bCs/>
        </w:rPr>
        <w:t>My pharmacy has an exemption from NHS England on the requirement to have a consultation room. Can I therefore provide the service from a designated area in the pharmacy or outside my pharmacy?</w:t>
      </w:r>
    </w:p>
    <w:p w14:paraId="54D9FF01" w14:textId="77777777" w:rsidR="00C371B3" w:rsidRPr="000D24DB" w:rsidRDefault="00C371B3" w:rsidP="00C371B3">
      <w:pPr>
        <w:rPr>
          <w:rFonts w:cs="Arial"/>
        </w:rPr>
      </w:pPr>
      <w:r w:rsidRPr="00DC3428">
        <w:rPr>
          <w:rFonts w:cs="Arial"/>
        </w:rPr>
        <w:t>No. It is a requirement of the service specification for pharmacies</w:t>
      </w:r>
      <w:r>
        <w:rPr>
          <w:rFonts w:cs="Arial"/>
        </w:rPr>
        <w:t xml:space="preserve"> (including DSPs)</w:t>
      </w:r>
      <w:r w:rsidRPr="00DC3428">
        <w:rPr>
          <w:rFonts w:cs="Arial"/>
        </w:rPr>
        <w:t xml:space="preserve"> to have a consultation room which meets the requirements in the Terms of Service to provide the service.</w:t>
      </w:r>
    </w:p>
    <w:p w14:paraId="4A18A407" w14:textId="77777777" w:rsidR="00C371B3" w:rsidRPr="000D24DB" w:rsidRDefault="00C371B3" w:rsidP="00C371B3">
      <w:pPr>
        <w:rPr>
          <w:rFonts w:cs="Arial"/>
          <w:b/>
          <w:bCs/>
        </w:rPr>
      </w:pPr>
    </w:p>
    <w:p w14:paraId="2E597224" w14:textId="77777777" w:rsidR="00C371B3" w:rsidRPr="000D24DB" w:rsidRDefault="00C371B3" w:rsidP="00C371B3">
      <w:pPr>
        <w:rPr>
          <w:rFonts w:cs="Arial"/>
          <w:b/>
          <w:bCs/>
        </w:rPr>
      </w:pPr>
      <w:r w:rsidRPr="000D24DB">
        <w:rPr>
          <w:rFonts w:cs="Arial"/>
          <w:b/>
          <w:bCs/>
        </w:rPr>
        <w:t>How will consultation details be captured for the advanced service?</w:t>
      </w:r>
    </w:p>
    <w:p w14:paraId="387CA180" w14:textId="77777777" w:rsidR="00C371B3" w:rsidRDefault="00C371B3" w:rsidP="00C371B3">
      <w:pPr>
        <w:rPr>
          <w:rFonts w:cs="Arial"/>
        </w:rPr>
      </w:pPr>
      <w:r w:rsidRPr="000D24DB">
        <w:rPr>
          <w:rFonts w:cs="Arial"/>
        </w:rPr>
        <w:t xml:space="preserve">Contractors are required to use IT solutions which meet the minimum digital requirements of the service (as specified within the NHS technical toolkits). </w:t>
      </w:r>
    </w:p>
    <w:p w14:paraId="204C7DD9" w14:textId="77777777" w:rsidR="00C371B3" w:rsidRPr="000D24DB" w:rsidRDefault="00C371B3" w:rsidP="00C371B3">
      <w:pPr>
        <w:rPr>
          <w:rFonts w:cs="Arial"/>
        </w:rPr>
      </w:pPr>
    </w:p>
    <w:p w14:paraId="3184B936" w14:textId="5B6D9B7C" w:rsidR="00C371B3" w:rsidRPr="00DC3428" w:rsidRDefault="00C371B3" w:rsidP="00C371B3">
      <w:pPr>
        <w:rPr>
          <w:rFonts w:cs="Arial"/>
        </w:rPr>
      </w:pPr>
      <w:r w:rsidRPr="000D24DB">
        <w:rPr>
          <w:rFonts w:cs="Arial"/>
        </w:rPr>
        <w:t>NHS England has been working with Cegedim Healthcare Solutions and EMIS:PharmOutcomes to develop end-to-end digital solutions to support the Contraception Service, including the API</w:t>
      </w:r>
      <w:r w:rsidR="00C14AC8">
        <w:rPr>
          <w:rFonts w:cs="Arial"/>
        </w:rPr>
        <w:t xml:space="preserve"> </w:t>
      </w:r>
      <w:r w:rsidR="004A7B20">
        <w:rPr>
          <w:rFonts w:cs="Arial"/>
        </w:rPr>
        <w:t>(</w:t>
      </w:r>
      <w:r w:rsidR="008F08F5">
        <w:rPr>
          <w:rFonts w:cs="Arial"/>
        </w:rPr>
        <w:t>application programming interface</w:t>
      </w:r>
      <w:r w:rsidR="00C14AC8">
        <w:rPr>
          <w:rFonts w:cs="Arial"/>
        </w:rPr>
        <w:t>)</w:t>
      </w:r>
      <w:r w:rsidRPr="000D24DB">
        <w:rPr>
          <w:rFonts w:cs="Arial"/>
        </w:rPr>
        <w:t xml:space="preserve"> with the NHSBSA. Other pharmacy suppliers have also expressed interest in developing their solutions to support this service and we will be </w:t>
      </w:r>
      <w:proofErr w:type="gramStart"/>
      <w:r w:rsidRPr="000D24DB">
        <w:rPr>
          <w:rFonts w:cs="Arial"/>
        </w:rPr>
        <w:t>working</w:t>
      </w:r>
      <w:proofErr w:type="gramEnd"/>
      <w:r w:rsidRPr="000D24DB">
        <w:rPr>
          <w:rFonts w:cs="Arial"/>
        </w:rPr>
        <w:t xml:space="preserve"> with them in due course.</w:t>
      </w:r>
    </w:p>
    <w:p w14:paraId="4BC21C1E" w14:textId="77777777" w:rsidR="00C371B3" w:rsidRPr="00E30DF6" w:rsidRDefault="00C371B3" w:rsidP="00C371B3">
      <w:pPr>
        <w:rPr>
          <w:rFonts w:cs="Arial"/>
          <w:b/>
          <w:bCs/>
          <w:color w:val="auto"/>
        </w:rPr>
      </w:pPr>
    </w:p>
    <w:p w14:paraId="70BD7A05" w14:textId="77777777" w:rsidR="00C371B3" w:rsidRPr="00E30DF6" w:rsidRDefault="00C371B3" w:rsidP="00C371B3">
      <w:pPr>
        <w:rPr>
          <w:rFonts w:cs="Arial"/>
          <w:b/>
          <w:bCs/>
          <w:color w:val="auto"/>
        </w:rPr>
      </w:pPr>
      <w:r w:rsidRPr="00E30DF6">
        <w:rPr>
          <w:rFonts w:cs="Arial"/>
          <w:b/>
          <w:bCs/>
          <w:color w:val="auto"/>
        </w:rPr>
        <w:t>Can only pharmacists provide the service?</w:t>
      </w:r>
    </w:p>
    <w:p w14:paraId="2FFF0AD4" w14:textId="6F8360E9" w:rsidR="00C371B3" w:rsidRDefault="00C371B3" w:rsidP="00C371B3">
      <w:pPr>
        <w:rPr>
          <w:rFonts w:cs="Arial"/>
        </w:rPr>
      </w:pPr>
      <w:r w:rsidRPr="00DF3D32">
        <w:rPr>
          <w:rFonts w:cs="Arial"/>
        </w:rPr>
        <w:t>Where BMI and blood pressure measurements are performed within the pharmacy as part of a C</w:t>
      </w:r>
      <w:r w:rsidR="008F08F5">
        <w:rPr>
          <w:rFonts w:cs="Arial"/>
        </w:rPr>
        <w:t xml:space="preserve">ombined </w:t>
      </w:r>
      <w:r w:rsidRPr="00DF3D32">
        <w:rPr>
          <w:rFonts w:cs="Arial"/>
        </w:rPr>
        <w:t>O</w:t>
      </w:r>
      <w:r w:rsidR="008F08F5">
        <w:rPr>
          <w:rFonts w:cs="Arial"/>
        </w:rPr>
        <w:t xml:space="preserve">ral </w:t>
      </w:r>
      <w:r w:rsidRPr="00DF3D32">
        <w:rPr>
          <w:rFonts w:cs="Arial"/>
        </w:rPr>
        <w:t>C</w:t>
      </w:r>
      <w:r w:rsidR="008F08F5">
        <w:rPr>
          <w:rFonts w:cs="Arial"/>
        </w:rPr>
        <w:t>ontraception</w:t>
      </w:r>
      <w:r w:rsidRPr="00DF3D32">
        <w:rPr>
          <w:rFonts w:cs="Arial"/>
        </w:rPr>
        <w:t xml:space="preserve"> consultation, these can be done by a suitably trained pharmacy technician in advance of the pharmacist consultation. The competence of these individuals will need to be assessed prior to registration.</w:t>
      </w:r>
    </w:p>
    <w:p w14:paraId="664F27FA" w14:textId="77777777" w:rsidR="00C371B3" w:rsidRDefault="00C371B3" w:rsidP="00C371B3">
      <w:pPr>
        <w:rPr>
          <w:rFonts w:cs="Arial"/>
        </w:rPr>
      </w:pPr>
    </w:p>
    <w:p w14:paraId="05BD8E2C" w14:textId="77777777" w:rsidR="00C371B3" w:rsidRPr="00B83B39" w:rsidRDefault="00C371B3" w:rsidP="00C371B3">
      <w:pPr>
        <w:rPr>
          <w:rFonts w:cs="Arial"/>
          <w:b/>
          <w:bCs/>
        </w:rPr>
      </w:pPr>
      <w:r w:rsidRPr="00B83B39">
        <w:rPr>
          <w:rFonts w:cs="Arial"/>
          <w:b/>
          <w:bCs/>
        </w:rPr>
        <w:t>Can trainee pharmacists provide this service?</w:t>
      </w:r>
    </w:p>
    <w:p w14:paraId="5403D41F" w14:textId="2E26644C" w:rsidR="00C371B3" w:rsidRPr="00B83B39" w:rsidRDefault="00C371B3" w:rsidP="00C371B3">
      <w:pPr>
        <w:rPr>
          <w:rFonts w:eastAsia="Times New Roman" w:cs="Arial"/>
          <w:color w:val="444444"/>
          <w:lang w:eastAsia="en-GB"/>
        </w:rPr>
      </w:pPr>
      <w:r w:rsidRPr="00B83B39">
        <w:rPr>
          <w:rFonts w:cs="Arial"/>
        </w:rPr>
        <w:t xml:space="preserve">No. Currently only </w:t>
      </w:r>
      <w:r w:rsidR="00C14AC8">
        <w:rPr>
          <w:rFonts w:cs="Arial"/>
        </w:rPr>
        <w:t>qualified</w:t>
      </w:r>
      <w:r w:rsidR="004A7B20">
        <w:rPr>
          <w:rFonts w:cs="Arial"/>
        </w:rPr>
        <w:t xml:space="preserve"> </w:t>
      </w:r>
      <w:r w:rsidRPr="00B83B39">
        <w:rPr>
          <w:rFonts w:cs="Arial"/>
        </w:rPr>
        <w:t>pharmacists can provide the service</w:t>
      </w:r>
      <w:r w:rsidRPr="00B83B39">
        <w:rPr>
          <w:rFonts w:eastAsia="Times New Roman" w:cs="Arial"/>
          <w:color w:val="444444"/>
          <w:lang w:eastAsia="en-GB"/>
        </w:rPr>
        <w:t>.</w:t>
      </w:r>
      <w:r>
        <w:rPr>
          <w:rFonts w:eastAsia="Times New Roman" w:cs="Arial"/>
          <w:color w:val="444444"/>
          <w:lang w:eastAsia="en-GB"/>
        </w:rPr>
        <w:t xml:space="preserve"> </w:t>
      </w:r>
    </w:p>
    <w:p w14:paraId="31ED948F" w14:textId="77777777" w:rsidR="00C371B3" w:rsidRPr="0099401C" w:rsidRDefault="00C371B3" w:rsidP="00C371B3">
      <w:pPr>
        <w:rPr>
          <w:rFonts w:eastAsia="Times New Roman" w:cs="Arial"/>
          <w:color w:val="444444"/>
          <w:u w:val="single"/>
          <w:lang w:eastAsia="en-GB"/>
        </w:rPr>
      </w:pPr>
    </w:p>
    <w:p w14:paraId="02690FFD" w14:textId="77777777" w:rsidR="00C371B3" w:rsidRPr="0099401C" w:rsidRDefault="00C371B3" w:rsidP="00C371B3">
      <w:pPr>
        <w:rPr>
          <w:rFonts w:cs="Arial"/>
          <w:b/>
          <w:bCs/>
          <w:u w:val="single"/>
        </w:rPr>
      </w:pPr>
      <w:r w:rsidRPr="00286770">
        <w:rPr>
          <w:rFonts w:cs="Arial"/>
          <w:b/>
          <w:bCs/>
          <w:color w:val="auto"/>
          <w:u w:val="single"/>
        </w:rPr>
        <w:t>Service detail</w:t>
      </w:r>
    </w:p>
    <w:p w14:paraId="49B4B9D1" w14:textId="153CCE61" w:rsidR="000D071A" w:rsidRDefault="000D071A" w:rsidP="00C371B3">
      <w:pPr>
        <w:rPr>
          <w:rFonts w:cs="Arial"/>
          <w:b/>
          <w:bCs/>
        </w:rPr>
      </w:pPr>
    </w:p>
    <w:p w14:paraId="58C61FD3" w14:textId="287B0CDF" w:rsidR="000D071A" w:rsidRDefault="000D071A" w:rsidP="00C371B3">
      <w:pPr>
        <w:rPr>
          <w:rFonts w:cs="Arial"/>
          <w:b/>
          <w:bCs/>
        </w:rPr>
      </w:pPr>
      <w:r>
        <w:rPr>
          <w:rFonts w:cs="Arial"/>
          <w:b/>
          <w:bCs/>
        </w:rPr>
        <w:t>How does the service work?</w:t>
      </w:r>
    </w:p>
    <w:p w14:paraId="13A990E5" w14:textId="38347848" w:rsidR="006C18AF" w:rsidRDefault="006C18AF" w:rsidP="00C371B3">
      <w:pPr>
        <w:rPr>
          <w:rFonts w:cs="Arial"/>
        </w:rPr>
      </w:pPr>
      <w:r w:rsidRPr="006C18AF">
        <w:rPr>
          <w:rFonts w:cs="Arial"/>
        </w:rPr>
        <w:t xml:space="preserve">A person </w:t>
      </w:r>
      <w:r>
        <w:rPr>
          <w:rFonts w:cs="Arial"/>
        </w:rPr>
        <w:t xml:space="preserve">who is already on oral contraception </w:t>
      </w:r>
      <w:r w:rsidRPr="006C18AF">
        <w:rPr>
          <w:rFonts w:cs="Arial"/>
        </w:rPr>
        <w:t>may self-refer or be referred by their general practice, sexual health clinic or equivalent to a participating pharmacy</w:t>
      </w:r>
      <w:r>
        <w:rPr>
          <w:rFonts w:cs="Arial"/>
        </w:rPr>
        <w:t xml:space="preserve"> to access their next supply</w:t>
      </w:r>
      <w:r w:rsidRPr="006C18AF">
        <w:rPr>
          <w:rFonts w:cs="Arial"/>
        </w:rPr>
        <w:t>. The pharmacist will offer a confidential consultation and as part of that will reach a shared decision with the person on the ongoing supply of their current oral contraception, ensuring clinical appropriateness.</w:t>
      </w:r>
    </w:p>
    <w:p w14:paraId="4FF72584" w14:textId="23C95C26" w:rsidR="006E0DCD" w:rsidRDefault="006E0DCD" w:rsidP="00C371B3">
      <w:pPr>
        <w:rPr>
          <w:rFonts w:cs="Arial"/>
        </w:rPr>
      </w:pPr>
    </w:p>
    <w:p w14:paraId="7EE0E5CF" w14:textId="77777777" w:rsidR="006E0DCD" w:rsidRPr="006E0DCD" w:rsidRDefault="006E0DCD" w:rsidP="00C371B3">
      <w:pPr>
        <w:rPr>
          <w:rFonts w:cs="Arial"/>
        </w:rPr>
      </w:pPr>
    </w:p>
    <w:p w14:paraId="696BC30A" w14:textId="77777777" w:rsidR="000D071A" w:rsidRDefault="000D071A" w:rsidP="00C371B3">
      <w:pPr>
        <w:rPr>
          <w:rFonts w:cs="Arial"/>
          <w:b/>
          <w:bCs/>
        </w:rPr>
      </w:pPr>
    </w:p>
    <w:p w14:paraId="25201A5B" w14:textId="42C3B7B7" w:rsidR="00C371B3" w:rsidRPr="00D3467B" w:rsidRDefault="00C371B3" w:rsidP="00C371B3">
      <w:pPr>
        <w:rPr>
          <w:rFonts w:cs="Arial"/>
          <w:b/>
          <w:bCs/>
        </w:rPr>
      </w:pPr>
      <w:r w:rsidRPr="00D3467B">
        <w:rPr>
          <w:rFonts w:cs="Arial"/>
          <w:b/>
          <w:bCs/>
        </w:rPr>
        <w:lastRenderedPageBreak/>
        <w:t xml:space="preserve">What is the target patient group eligible </w:t>
      </w:r>
      <w:r>
        <w:rPr>
          <w:rFonts w:cs="Arial"/>
          <w:b/>
          <w:bCs/>
        </w:rPr>
        <w:t>for</w:t>
      </w:r>
      <w:r w:rsidRPr="00D3467B">
        <w:rPr>
          <w:rFonts w:cs="Arial"/>
          <w:b/>
          <w:bCs/>
        </w:rPr>
        <w:t xml:space="preserve"> this service?</w:t>
      </w:r>
    </w:p>
    <w:p w14:paraId="5B9FE8E7" w14:textId="77777777" w:rsidR="00C371B3" w:rsidRDefault="00C371B3" w:rsidP="00C371B3">
      <w:pPr>
        <w:rPr>
          <w:rFonts w:cs="Arial"/>
        </w:rPr>
      </w:pPr>
      <w:r w:rsidRPr="00D3467B">
        <w:rPr>
          <w:rFonts w:cs="Arial"/>
        </w:rPr>
        <w:t>People already on oral contraception who need their next prescription and do not have any exclusions as per the PGD</w:t>
      </w:r>
      <w:r>
        <w:rPr>
          <w:rFonts w:cs="Arial"/>
        </w:rPr>
        <w:t>s</w:t>
      </w:r>
      <w:r w:rsidRPr="00D3467B">
        <w:rPr>
          <w:rFonts w:cs="Arial"/>
        </w:rPr>
        <w:t xml:space="preserve">. </w:t>
      </w:r>
      <w:r>
        <w:rPr>
          <w:rFonts w:cs="Arial"/>
        </w:rPr>
        <w:t xml:space="preserve">Age inclusion criteria for this service are: </w:t>
      </w:r>
    </w:p>
    <w:p w14:paraId="20B6C993" w14:textId="77777777" w:rsidR="00C371B3" w:rsidRDefault="00C371B3" w:rsidP="00C371B3">
      <w:pPr>
        <w:rPr>
          <w:rFonts w:cs="Arial"/>
        </w:rPr>
      </w:pPr>
    </w:p>
    <w:p w14:paraId="1F5FD636" w14:textId="77777777" w:rsidR="00C371B3" w:rsidRPr="00215754" w:rsidRDefault="00C371B3" w:rsidP="00C371B3">
      <w:pPr>
        <w:rPr>
          <w:rFonts w:cs="Arial"/>
        </w:rPr>
      </w:pPr>
      <w:r w:rsidRPr="00215754">
        <w:rPr>
          <w:rFonts w:cs="Arial"/>
        </w:rPr>
        <w:t>Combined Oral Contraception (COC)</w:t>
      </w:r>
    </w:p>
    <w:p w14:paraId="3AA985DF" w14:textId="6517660C" w:rsidR="00C371B3" w:rsidRPr="00215754" w:rsidRDefault="00C371B3" w:rsidP="00C371B3">
      <w:pPr>
        <w:numPr>
          <w:ilvl w:val="0"/>
          <w:numId w:val="23"/>
        </w:numPr>
        <w:overflowPunct w:val="0"/>
        <w:autoSpaceDE w:val="0"/>
        <w:autoSpaceDN w:val="0"/>
        <w:adjustRightInd w:val="0"/>
        <w:spacing w:after="160" w:line="259" w:lineRule="auto"/>
        <w:contextualSpacing/>
        <w:textAlignment w:val="baseline"/>
        <w:rPr>
          <w:rFonts w:cs="Arial"/>
        </w:rPr>
      </w:pPr>
      <w:r w:rsidRPr="00215754">
        <w:rPr>
          <w:rFonts w:cs="Arial"/>
        </w:rPr>
        <w:t>Individual (age: from menarche up to and including 49 years of age) presenting for an ongoing supply of their ongoing oral contraception.</w:t>
      </w:r>
    </w:p>
    <w:p w14:paraId="148194F4" w14:textId="77777777" w:rsidR="00C371B3" w:rsidRPr="00215754" w:rsidRDefault="00C371B3" w:rsidP="00C371B3">
      <w:pPr>
        <w:overflowPunct w:val="0"/>
        <w:autoSpaceDE w:val="0"/>
        <w:autoSpaceDN w:val="0"/>
        <w:adjustRightInd w:val="0"/>
        <w:contextualSpacing/>
        <w:textAlignment w:val="baseline"/>
        <w:rPr>
          <w:rFonts w:cs="Arial"/>
        </w:rPr>
      </w:pPr>
    </w:p>
    <w:p w14:paraId="66754226" w14:textId="77777777" w:rsidR="0041108C" w:rsidRDefault="0041108C" w:rsidP="00C371B3">
      <w:pPr>
        <w:overflowPunct w:val="0"/>
        <w:autoSpaceDE w:val="0"/>
        <w:autoSpaceDN w:val="0"/>
        <w:adjustRightInd w:val="0"/>
        <w:contextualSpacing/>
        <w:textAlignment w:val="baseline"/>
        <w:rPr>
          <w:rFonts w:cs="Arial"/>
        </w:rPr>
      </w:pPr>
    </w:p>
    <w:p w14:paraId="4A3C1F6B" w14:textId="6D01505F" w:rsidR="00C371B3" w:rsidRPr="00215754" w:rsidRDefault="00C371B3" w:rsidP="00C371B3">
      <w:pPr>
        <w:overflowPunct w:val="0"/>
        <w:autoSpaceDE w:val="0"/>
        <w:autoSpaceDN w:val="0"/>
        <w:adjustRightInd w:val="0"/>
        <w:contextualSpacing/>
        <w:textAlignment w:val="baseline"/>
        <w:rPr>
          <w:rFonts w:cs="Arial"/>
        </w:rPr>
      </w:pPr>
      <w:r w:rsidRPr="00215754">
        <w:rPr>
          <w:rFonts w:cs="Arial"/>
        </w:rPr>
        <w:t>Progestogen Only Pill</w:t>
      </w:r>
    </w:p>
    <w:p w14:paraId="7F8E3059" w14:textId="77777777" w:rsidR="00C371B3" w:rsidRPr="00F83E61" w:rsidRDefault="00C371B3" w:rsidP="00C371B3">
      <w:pPr>
        <w:numPr>
          <w:ilvl w:val="0"/>
          <w:numId w:val="24"/>
        </w:numPr>
        <w:overflowPunct w:val="0"/>
        <w:autoSpaceDE w:val="0"/>
        <w:autoSpaceDN w:val="0"/>
        <w:adjustRightInd w:val="0"/>
        <w:spacing w:after="160" w:line="259" w:lineRule="auto"/>
        <w:contextualSpacing/>
        <w:textAlignment w:val="baseline"/>
        <w:rPr>
          <w:rFonts w:cs="Arial"/>
        </w:rPr>
      </w:pPr>
      <w:r w:rsidRPr="00215754">
        <w:rPr>
          <w:rFonts w:cs="Arial"/>
        </w:rPr>
        <w:t>Individual (age: from menarche up to and including 54 years) presenting for an ongoing supply of their oral contraception.</w:t>
      </w:r>
    </w:p>
    <w:p w14:paraId="0CE1B66E" w14:textId="77777777" w:rsidR="00C371B3" w:rsidRDefault="00C371B3" w:rsidP="00C371B3">
      <w:pPr>
        <w:rPr>
          <w:rFonts w:cs="Arial"/>
        </w:rPr>
      </w:pPr>
    </w:p>
    <w:p w14:paraId="4A20433F" w14:textId="77777777" w:rsidR="00C371B3" w:rsidRDefault="00C371B3" w:rsidP="00C371B3">
      <w:pPr>
        <w:rPr>
          <w:rFonts w:cs="Arial"/>
        </w:rPr>
      </w:pPr>
      <w:r w:rsidRPr="00D3467B">
        <w:rPr>
          <w:rFonts w:cs="Arial"/>
        </w:rPr>
        <w:t>Please see the PGD</w:t>
      </w:r>
      <w:r>
        <w:rPr>
          <w:rFonts w:cs="Arial"/>
        </w:rPr>
        <w:t>s</w:t>
      </w:r>
      <w:r w:rsidRPr="00D3467B">
        <w:rPr>
          <w:rFonts w:cs="Arial"/>
        </w:rPr>
        <w:t xml:space="preserve"> for more information.</w:t>
      </w:r>
    </w:p>
    <w:p w14:paraId="52C0A4F2" w14:textId="77777777" w:rsidR="00C371B3" w:rsidRPr="0051357B" w:rsidRDefault="00C371B3" w:rsidP="00C371B3">
      <w:pPr>
        <w:rPr>
          <w:rFonts w:eastAsia="Times New Roman" w:cs="Arial"/>
          <w:b/>
          <w:bCs/>
          <w:color w:val="444444"/>
          <w:lang w:eastAsia="en-GB"/>
        </w:rPr>
      </w:pPr>
    </w:p>
    <w:p w14:paraId="4384C8AE" w14:textId="77777777" w:rsidR="00C371B3" w:rsidRPr="0051357B" w:rsidRDefault="00C371B3" w:rsidP="00C371B3">
      <w:pPr>
        <w:rPr>
          <w:rFonts w:eastAsia="Times New Roman" w:cs="Arial"/>
          <w:b/>
          <w:bCs/>
          <w:color w:val="444444"/>
          <w:lang w:eastAsia="en-GB"/>
        </w:rPr>
      </w:pPr>
      <w:r w:rsidRPr="0051357B">
        <w:rPr>
          <w:rFonts w:eastAsia="Times New Roman" w:cs="Arial"/>
          <w:b/>
          <w:bCs/>
          <w:color w:val="444444"/>
          <w:lang w:eastAsia="en-GB"/>
        </w:rPr>
        <w:t>Why is there not a lower age limit for the service?</w:t>
      </w:r>
    </w:p>
    <w:p w14:paraId="5813A336" w14:textId="77777777" w:rsidR="00C371B3" w:rsidRDefault="00C371B3" w:rsidP="00C371B3">
      <w:pPr>
        <w:rPr>
          <w:rFonts w:eastAsia="Times New Roman" w:cs="Arial"/>
          <w:color w:val="444444"/>
          <w:lang w:eastAsia="en-GB"/>
        </w:rPr>
      </w:pPr>
      <w:r w:rsidRPr="0051357B">
        <w:rPr>
          <w:rFonts w:eastAsia="Times New Roman" w:cs="Arial"/>
          <w:color w:val="444444"/>
          <w:lang w:eastAsia="en-GB"/>
        </w:rPr>
        <w:t>Individuals can start this service from menarche onwards. This is in line with services offered by GPs and sexual health clinics. There is guidance in the PGD on dealing with vulnerable individuals such as those who are 13 and under.</w:t>
      </w:r>
    </w:p>
    <w:p w14:paraId="04692CF5" w14:textId="77777777" w:rsidR="00C371B3" w:rsidRDefault="00C371B3" w:rsidP="00C371B3">
      <w:pPr>
        <w:rPr>
          <w:rFonts w:eastAsia="Times New Roman" w:cs="Arial"/>
          <w:color w:val="444444"/>
          <w:lang w:eastAsia="en-GB"/>
        </w:rPr>
      </w:pPr>
    </w:p>
    <w:p w14:paraId="51EE5A6A" w14:textId="77777777" w:rsidR="00C371B3" w:rsidRDefault="00C371B3" w:rsidP="00C371B3">
      <w:pPr>
        <w:rPr>
          <w:rFonts w:ascii="UbuntuRegular" w:eastAsia="Times New Roman" w:hAnsi="UbuntuRegular" w:cs="Times New Roman"/>
          <w:color w:val="444444"/>
          <w:lang w:eastAsia="en-GB"/>
        </w:rPr>
      </w:pPr>
      <w:r w:rsidRPr="0093023F">
        <w:rPr>
          <w:rFonts w:eastAsia="Times New Roman" w:cs="Arial"/>
          <w:b/>
          <w:bCs/>
          <w:color w:val="444444"/>
          <w:lang w:eastAsia="en-GB"/>
        </w:rPr>
        <w:t>Are individuals who may not be registered with a GP eligible for this service?</w:t>
      </w:r>
      <w:r w:rsidRPr="00DC3428">
        <w:rPr>
          <w:rFonts w:ascii="UbuntuRegular" w:eastAsia="Times New Roman" w:hAnsi="UbuntuRegular" w:cs="Times New Roman"/>
          <w:color w:val="444444"/>
          <w:lang w:eastAsia="en-GB"/>
        </w:rPr>
        <w:br/>
      </w:r>
      <w:r w:rsidRPr="0093023F">
        <w:rPr>
          <w:rFonts w:eastAsia="Times New Roman" w:cs="Arial"/>
          <w:color w:val="444444"/>
          <w:lang w:eastAsia="en-GB"/>
        </w:rPr>
        <w:t>Yes. Where an individual is identified as suitable for the service, but is not registered with a general practice, the service can still be provided.</w:t>
      </w:r>
      <w:r w:rsidRPr="00DC3428">
        <w:rPr>
          <w:rFonts w:ascii="UbuntuRegular" w:eastAsia="Times New Roman" w:hAnsi="UbuntuRegular" w:cs="Times New Roman"/>
          <w:color w:val="444444"/>
          <w:lang w:eastAsia="en-GB"/>
        </w:rPr>
        <w:t xml:space="preserve"> </w:t>
      </w:r>
    </w:p>
    <w:p w14:paraId="400F832D" w14:textId="77777777" w:rsidR="00C371B3" w:rsidRDefault="00C371B3" w:rsidP="00C371B3">
      <w:pPr>
        <w:rPr>
          <w:rFonts w:ascii="UbuntuRegular" w:eastAsia="Times New Roman" w:hAnsi="UbuntuRegular" w:cs="Times New Roman"/>
          <w:color w:val="444444"/>
          <w:lang w:eastAsia="en-GB"/>
        </w:rPr>
      </w:pPr>
    </w:p>
    <w:p w14:paraId="2E283A0D" w14:textId="77777777" w:rsidR="00C371B3" w:rsidRDefault="00C371B3" w:rsidP="00C371B3">
      <w:pPr>
        <w:rPr>
          <w:rFonts w:eastAsia="Times New Roman" w:cs="Arial"/>
          <w:b/>
          <w:bCs/>
          <w:color w:val="444444"/>
          <w:lang w:eastAsia="en-GB"/>
        </w:rPr>
      </w:pPr>
      <w:r w:rsidRPr="00AE682F">
        <w:rPr>
          <w:rFonts w:eastAsia="Times New Roman" w:cs="Arial"/>
          <w:b/>
          <w:bCs/>
          <w:color w:val="444444"/>
          <w:lang w:eastAsia="en-GB"/>
        </w:rPr>
        <w:t>Do I need to notify GPs that an individual has accessed this service from my pharmacy?</w:t>
      </w:r>
    </w:p>
    <w:p w14:paraId="5847E35B" w14:textId="02466297" w:rsidR="00C371B3" w:rsidRPr="00730E2E" w:rsidRDefault="00C371B3" w:rsidP="00C371B3">
      <w:pPr>
        <w:rPr>
          <w:rFonts w:cs="Arial"/>
        </w:rPr>
      </w:pPr>
      <w:r w:rsidRPr="00730E2E">
        <w:rPr>
          <w:rFonts w:cs="Arial"/>
          <w:color w:val="auto"/>
        </w:rPr>
        <w:t>No. With explicit consent, information relating to the consultation will be shared with the person’s general practice</w:t>
      </w:r>
      <w:r w:rsidR="001460F2">
        <w:rPr>
          <w:rFonts w:cs="Arial"/>
        </w:rPr>
        <w:t xml:space="preserve">. </w:t>
      </w:r>
      <w:r w:rsidRPr="00730E2E">
        <w:rPr>
          <w:rFonts w:cs="Arial"/>
          <w:color w:val="auto"/>
        </w:rPr>
        <w:t>However, if the person does not consent to sharing information with their general practice or they are not registered with a general practice, the consultation can still proceed, and a notification to the practice will not need to be sent.</w:t>
      </w:r>
      <w:r w:rsidRPr="00730E2E">
        <w:rPr>
          <w:rFonts w:cs="Arial"/>
        </w:rPr>
        <w:t xml:space="preserve"> </w:t>
      </w:r>
    </w:p>
    <w:p w14:paraId="58EA03B5" w14:textId="77777777" w:rsidR="00C371B3" w:rsidRPr="0093023F" w:rsidRDefault="00C371B3" w:rsidP="00C371B3">
      <w:pPr>
        <w:rPr>
          <w:rFonts w:eastAsia="Times New Roman" w:cs="Arial"/>
          <w:b/>
          <w:bCs/>
          <w:color w:val="444444"/>
          <w:lang w:eastAsia="en-GB"/>
        </w:rPr>
      </w:pPr>
    </w:p>
    <w:p w14:paraId="249D14F1" w14:textId="77777777" w:rsidR="00C371B3" w:rsidRPr="0093023F" w:rsidRDefault="00C371B3" w:rsidP="00C371B3">
      <w:pPr>
        <w:rPr>
          <w:rFonts w:eastAsia="Times New Roman" w:cs="Arial"/>
          <w:b/>
          <w:bCs/>
          <w:color w:val="444444"/>
          <w:lang w:eastAsia="en-GB"/>
        </w:rPr>
      </w:pPr>
      <w:r w:rsidRPr="0093023F">
        <w:rPr>
          <w:rFonts w:eastAsia="Times New Roman" w:cs="Arial"/>
          <w:b/>
          <w:bCs/>
          <w:color w:val="444444"/>
          <w:lang w:eastAsia="en-GB"/>
        </w:rPr>
        <w:t xml:space="preserve">Can I offer the service to patients who are not registered in my local PCN? </w:t>
      </w:r>
    </w:p>
    <w:p w14:paraId="39392164" w14:textId="77777777" w:rsidR="00C371B3" w:rsidRPr="00215754" w:rsidRDefault="00C371B3" w:rsidP="00C371B3">
      <w:pPr>
        <w:rPr>
          <w:rFonts w:cs="Arial"/>
        </w:rPr>
      </w:pPr>
      <w:r w:rsidRPr="00215754">
        <w:rPr>
          <w:rFonts w:cs="Arial"/>
        </w:rPr>
        <w:t>Yes - the service can be offered by registered community pharmacists to any patient that presents requesting their next supply of oral contraception</w:t>
      </w:r>
      <w:r>
        <w:rPr>
          <w:rFonts w:cs="Arial"/>
        </w:rPr>
        <w:t xml:space="preserve"> provided they meet the inclusion criteria</w:t>
      </w:r>
      <w:r w:rsidRPr="00215754">
        <w:rPr>
          <w:rFonts w:cs="Arial"/>
        </w:rPr>
        <w:t>.</w:t>
      </w:r>
    </w:p>
    <w:p w14:paraId="5FC2C9E0" w14:textId="77777777" w:rsidR="00C371B3" w:rsidRPr="0093023F" w:rsidRDefault="00C371B3" w:rsidP="00C371B3">
      <w:pPr>
        <w:rPr>
          <w:rFonts w:eastAsia="Times New Roman" w:cs="Arial"/>
          <w:b/>
          <w:bCs/>
          <w:color w:val="444444"/>
          <w:lang w:eastAsia="en-GB"/>
        </w:rPr>
      </w:pPr>
    </w:p>
    <w:p w14:paraId="4EC77A54" w14:textId="77777777" w:rsidR="00C371B3" w:rsidRPr="0093023F" w:rsidRDefault="00C371B3" w:rsidP="00C371B3">
      <w:pPr>
        <w:rPr>
          <w:rFonts w:eastAsia="Times New Roman" w:cs="Arial"/>
          <w:b/>
          <w:bCs/>
          <w:color w:val="444444"/>
          <w:lang w:eastAsia="en-GB"/>
        </w:rPr>
      </w:pPr>
      <w:r w:rsidRPr="0093023F">
        <w:rPr>
          <w:rFonts w:eastAsia="Times New Roman" w:cs="Arial"/>
          <w:b/>
          <w:bCs/>
          <w:color w:val="444444"/>
          <w:lang w:eastAsia="en-GB"/>
        </w:rPr>
        <w:t>How will I know that a patient is due for a review and subsequent prescription?</w:t>
      </w:r>
    </w:p>
    <w:p w14:paraId="55ACCE31" w14:textId="77777777" w:rsidR="00C371B3" w:rsidRDefault="00C371B3" w:rsidP="00C371B3">
      <w:pPr>
        <w:rPr>
          <w:rFonts w:cs="Arial"/>
        </w:rPr>
      </w:pPr>
      <w:r w:rsidRPr="00215754">
        <w:rPr>
          <w:rFonts w:cs="Arial"/>
        </w:rPr>
        <w:t>Pharmacists are encouraged to check the person's summary care record</w:t>
      </w:r>
      <w:r>
        <w:rPr>
          <w:rFonts w:cs="Arial"/>
        </w:rPr>
        <w:t xml:space="preserve"> and/or </w:t>
      </w:r>
      <w:r w:rsidRPr="00215754">
        <w:rPr>
          <w:rFonts w:cs="Arial"/>
        </w:rPr>
        <w:t xml:space="preserve">the last dispensed box. </w:t>
      </w:r>
      <w:r>
        <w:rPr>
          <w:rFonts w:cs="Arial"/>
        </w:rPr>
        <w:t xml:space="preserve">If the patient is attending their usual pharmacy, there may be a record on the pharmacy PMR system. </w:t>
      </w:r>
      <w:r w:rsidRPr="00215754">
        <w:rPr>
          <w:rFonts w:cs="Arial"/>
        </w:rPr>
        <w:t>If still unsure, the pharmacy may contact the person's GP practice or sexual health clinic to confirm.</w:t>
      </w:r>
    </w:p>
    <w:p w14:paraId="616F1A4C" w14:textId="77777777" w:rsidR="00C371B3" w:rsidRDefault="00C371B3" w:rsidP="00C371B3">
      <w:pPr>
        <w:rPr>
          <w:rFonts w:cs="Arial"/>
        </w:rPr>
      </w:pPr>
    </w:p>
    <w:p w14:paraId="7E50B00B" w14:textId="77777777" w:rsidR="00C371B3" w:rsidRPr="00C933E2" w:rsidRDefault="00C371B3" w:rsidP="00C371B3">
      <w:pPr>
        <w:rPr>
          <w:rFonts w:cs="Arial"/>
          <w:b/>
          <w:bCs/>
          <w:u w:val="single"/>
        </w:rPr>
      </w:pPr>
      <w:r w:rsidRPr="00C933E2">
        <w:rPr>
          <w:rFonts w:cs="Arial"/>
          <w:b/>
          <w:bCs/>
          <w:u w:val="single"/>
        </w:rPr>
        <w:t>Providing the service</w:t>
      </w:r>
    </w:p>
    <w:p w14:paraId="787E9F69" w14:textId="77777777" w:rsidR="00C371B3" w:rsidRPr="004018BE" w:rsidRDefault="00C371B3" w:rsidP="00C371B3">
      <w:pPr>
        <w:rPr>
          <w:rFonts w:cs="Arial"/>
          <w:u w:val="single"/>
        </w:rPr>
      </w:pPr>
    </w:p>
    <w:p w14:paraId="2CB68472" w14:textId="77777777" w:rsidR="00C371B3" w:rsidRPr="004018BE" w:rsidRDefault="00C371B3" w:rsidP="00C371B3">
      <w:pPr>
        <w:rPr>
          <w:rFonts w:cs="Arial"/>
          <w:u w:val="single"/>
        </w:rPr>
      </w:pPr>
      <w:r w:rsidRPr="004018BE">
        <w:rPr>
          <w:rStyle w:val="Strong"/>
          <w:rFonts w:cs="Arial"/>
          <w:color w:val="444444"/>
        </w:rPr>
        <w:t>How does a pharmacy confirm the NHSmail address for a GP practice they do not usually communicate with?</w:t>
      </w:r>
      <w:r w:rsidRPr="004018BE">
        <w:rPr>
          <w:rFonts w:cs="Arial"/>
          <w:color w:val="444444"/>
        </w:rPr>
        <w:br/>
        <w:t xml:space="preserve">Pharmacies can use the NHS Service Finder to look-up non-public email and non-public telephone numbers (where available) for </w:t>
      </w:r>
      <w:proofErr w:type="gramStart"/>
      <w:r w:rsidRPr="004018BE">
        <w:rPr>
          <w:rFonts w:cs="Arial"/>
          <w:color w:val="444444"/>
        </w:rPr>
        <w:t>general practices</w:t>
      </w:r>
      <w:proofErr w:type="gramEnd"/>
      <w:r w:rsidRPr="004018BE">
        <w:rPr>
          <w:rFonts w:cs="Arial"/>
          <w:color w:val="444444"/>
        </w:rPr>
        <w:t>. Pharmacies should then confirm with the practice that the identified email address is a suitable as a secure email that they can be used to send notifications or referrals to.</w:t>
      </w:r>
    </w:p>
    <w:p w14:paraId="7103C248" w14:textId="77777777" w:rsidR="00C371B3" w:rsidRDefault="00C371B3" w:rsidP="00C371B3">
      <w:pPr>
        <w:rPr>
          <w:rFonts w:cs="Arial"/>
        </w:rPr>
      </w:pPr>
    </w:p>
    <w:p w14:paraId="7719D653" w14:textId="18B27D5B" w:rsidR="0041108C" w:rsidRPr="00B07960" w:rsidRDefault="00C371B3" w:rsidP="00C371B3">
      <w:pPr>
        <w:rPr>
          <w:rFonts w:cs="Arial"/>
          <w:color w:val="444444"/>
        </w:rPr>
      </w:pPr>
      <w:r w:rsidRPr="00C933E2">
        <w:rPr>
          <w:rStyle w:val="Strong"/>
          <w:rFonts w:cs="Arial"/>
          <w:color w:val="444444"/>
        </w:rPr>
        <w:lastRenderedPageBreak/>
        <w:t xml:space="preserve">Can </w:t>
      </w:r>
      <w:r>
        <w:rPr>
          <w:rStyle w:val="Strong"/>
          <w:rFonts w:cs="Arial"/>
          <w:color w:val="444444"/>
        </w:rPr>
        <w:t>an individual who has a BP check as part of an oral contraceptive service use the results as part of the</w:t>
      </w:r>
      <w:r w:rsidRPr="00C933E2">
        <w:rPr>
          <w:rStyle w:val="Strong"/>
          <w:rFonts w:cs="Arial"/>
          <w:color w:val="444444"/>
        </w:rPr>
        <w:t xml:space="preserve"> blood pressure check</w:t>
      </w:r>
      <w:r>
        <w:rPr>
          <w:rStyle w:val="Strong"/>
          <w:rFonts w:cs="Arial"/>
          <w:color w:val="444444"/>
        </w:rPr>
        <w:t xml:space="preserve"> service too?</w:t>
      </w:r>
      <w:r w:rsidRPr="00C933E2">
        <w:rPr>
          <w:rStyle w:val="Strong"/>
          <w:rFonts w:cs="Arial"/>
          <w:color w:val="444444"/>
        </w:rPr>
        <w:t xml:space="preserve"> </w:t>
      </w:r>
      <w:r>
        <w:rPr>
          <w:rFonts w:ascii="UbuntuRegular" w:hAnsi="UbuntuRegular"/>
          <w:color w:val="444444"/>
          <w:sz w:val="27"/>
          <w:szCs w:val="27"/>
        </w:rPr>
        <w:br/>
      </w:r>
      <w:r w:rsidRPr="00CA4BE0">
        <w:rPr>
          <w:rFonts w:cs="Arial"/>
          <w:color w:val="444444"/>
        </w:rPr>
        <w:t xml:space="preserve">If </w:t>
      </w:r>
      <w:r>
        <w:rPr>
          <w:rFonts w:cs="Arial"/>
          <w:color w:val="444444"/>
        </w:rPr>
        <w:t>a pharmacy</w:t>
      </w:r>
      <w:r w:rsidRPr="00CA4BE0">
        <w:rPr>
          <w:rFonts w:cs="Arial"/>
          <w:color w:val="444444"/>
        </w:rPr>
        <w:t xml:space="preserve"> contractor is commissioned to deliver any related services </w:t>
      </w:r>
      <w:r w:rsidR="00EE5DC4" w:rsidRPr="00CA4BE0">
        <w:rPr>
          <w:rFonts w:cs="Arial"/>
          <w:color w:val="444444"/>
        </w:rPr>
        <w:t>e.g.,</w:t>
      </w:r>
      <w:r w:rsidRPr="00CA4BE0">
        <w:rPr>
          <w:rFonts w:cs="Arial"/>
          <w:color w:val="444444"/>
        </w:rPr>
        <w:t xml:space="preserve"> Hypertension case finding (incorporating BP clinic measurement), the contractor may not claim twice for the same activity.</w:t>
      </w:r>
    </w:p>
    <w:p w14:paraId="6C78A388" w14:textId="77777777" w:rsidR="0041108C" w:rsidRDefault="0041108C" w:rsidP="00C371B3">
      <w:pPr>
        <w:rPr>
          <w:rFonts w:cs="Arial"/>
          <w:b/>
          <w:bCs/>
        </w:rPr>
      </w:pPr>
    </w:p>
    <w:p w14:paraId="0DAAA731" w14:textId="7202B221" w:rsidR="00C371B3" w:rsidRPr="00FC45EE" w:rsidRDefault="00C371B3" w:rsidP="00C371B3">
      <w:pPr>
        <w:rPr>
          <w:rFonts w:cs="Arial"/>
          <w:b/>
          <w:bCs/>
        </w:rPr>
      </w:pPr>
      <w:r w:rsidRPr="00FC45EE">
        <w:rPr>
          <w:rFonts w:cs="Arial"/>
          <w:b/>
          <w:bCs/>
        </w:rPr>
        <w:t>How will people know about this service?</w:t>
      </w:r>
    </w:p>
    <w:p w14:paraId="66DCB5C0" w14:textId="4127DA7E" w:rsidR="00C371B3" w:rsidRDefault="00C371B3" w:rsidP="00C371B3">
      <w:pPr>
        <w:rPr>
          <w:rFonts w:cs="Arial"/>
        </w:rPr>
      </w:pPr>
      <w:r w:rsidRPr="00FC45EE">
        <w:rPr>
          <w:rFonts w:cs="Arial"/>
        </w:rPr>
        <w:t xml:space="preserve">Patient-facing promotional materials for community pharmacies, sexual health clinics and GPs </w:t>
      </w:r>
      <w:r>
        <w:rPr>
          <w:rFonts w:cs="Arial"/>
        </w:rPr>
        <w:t xml:space="preserve">will </w:t>
      </w:r>
      <w:r w:rsidR="0041108C">
        <w:rPr>
          <w:rFonts w:cs="Arial"/>
        </w:rPr>
        <w:t xml:space="preserve">soon </w:t>
      </w:r>
      <w:r>
        <w:rPr>
          <w:rFonts w:cs="Arial"/>
        </w:rPr>
        <w:t xml:space="preserve">be </w:t>
      </w:r>
      <w:r w:rsidR="008F08F5">
        <w:rPr>
          <w:rFonts w:cs="Arial"/>
        </w:rPr>
        <w:t xml:space="preserve">made available including on </w:t>
      </w:r>
      <w:r w:rsidRPr="00FC45EE">
        <w:rPr>
          <w:rFonts w:cs="Arial"/>
        </w:rPr>
        <w:t xml:space="preserve">our </w:t>
      </w:r>
      <w:hyperlink r:id="rId14" w:history="1">
        <w:r w:rsidRPr="00FC45EE">
          <w:rPr>
            <w:rStyle w:val="Hyperlink"/>
            <w:rFonts w:cs="Arial"/>
          </w:rPr>
          <w:t>FutureNHS page</w:t>
        </w:r>
      </w:hyperlink>
      <w:r w:rsidRPr="00FC45EE">
        <w:rPr>
          <w:rFonts w:cs="Arial"/>
        </w:rPr>
        <w:t>. Community pharmacists and local stakeholders are encouraged to have conversations with eligible people.</w:t>
      </w:r>
    </w:p>
    <w:p w14:paraId="0405FA26" w14:textId="6A2EA340" w:rsidR="000D071A" w:rsidRDefault="000D071A" w:rsidP="00C371B3">
      <w:pPr>
        <w:rPr>
          <w:rFonts w:cs="Arial"/>
        </w:rPr>
      </w:pPr>
    </w:p>
    <w:p w14:paraId="1A39AE9C" w14:textId="7FA0C3E7" w:rsidR="000D071A" w:rsidRDefault="000D071A" w:rsidP="00C371B3">
      <w:pPr>
        <w:rPr>
          <w:rFonts w:cs="Arial"/>
          <w:b/>
          <w:bCs/>
        </w:rPr>
      </w:pPr>
      <w:r w:rsidRPr="004A7B20">
        <w:rPr>
          <w:rFonts w:cs="Arial"/>
          <w:b/>
          <w:bCs/>
        </w:rPr>
        <w:t>How much will I be paid for providing the service?</w:t>
      </w:r>
    </w:p>
    <w:p w14:paraId="471FD5DD" w14:textId="60B7D3BC" w:rsidR="00041E86" w:rsidRDefault="00041E86" w:rsidP="00041E86">
      <w:pPr>
        <w:rPr>
          <w:rFonts w:cs="Arial"/>
        </w:rPr>
      </w:pPr>
      <w:r w:rsidRPr="00041E86">
        <w:rPr>
          <w:rFonts w:cs="Arial"/>
        </w:rPr>
        <w:t xml:space="preserve">Pharmacies providing this service will be eligible for the following payments: </w:t>
      </w:r>
    </w:p>
    <w:p w14:paraId="0742AFD6" w14:textId="24751C67" w:rsidR="00041E86" w:rsidRPr="00041E86" w:rsidRDefault="00041E86" w:rsidP="00041E86">
      <w:pPr>
        <w:rPr>
          <w:rFonts w:cs="Arial"/>
          <w:b/>
          <w:bCs/>
        </w:rPr>
      </w:pPr>
    </w:p>
    <w:p w14:paraId="41882519" w14:textId="77777777" w:rsidR="00041E86" w:rsidRPr="00C92914" w:rsidRDefault="00041E86" w:rsidP="00C92914">
      <w:pPr>
        <w:pStyle w:val="ListParagraph"/>
        <w:numPr>
          <w:ilvl w:val="0"/>
          <w:numId w:val="23"/>
        </w:numPr>
        <w:rPr>
          <w:rFonts w:cs="Arial"/>
        </w:rPr>
      </w:pPr>
      <w:r w:rsidRPr="00C92914">
        <w:rPr>
          <w:rFonts w:cs="Arial"/>
          <w:b/>
          <w:bCs/>
        </w:rPr>
        <w:t>Consultation fee</w:t>
      </w:r>
      <w:r w:rsidRPr="00C92914">
        <w:rPr>
          <w:rFonts w:cs="Arial"/>
        </w:rPr>
        <w:tab/>
      </w:r>
      <w:r w:rsidRPr="00C92914">
        <w:rPr>
          <w:rFonts w:cs="Arial"/>
        </w:rPr>
        <w:tab/>
      </w:r>
      <w:r w:rsidRPr="00C92914">
        <w:rPr>
          <w:rFonts w:cs="Arial"/>
        </w:rPr>
        <w:tab/>
      </w:r>
    </w:p>
    <w:p w14:paraId="2FE1A02D" w14:textId="18EF00B6" w:rsidR="00041E86" w:rsidRPr="00C92914" w:rsidRDefault="00041E86" w:rsidP="00C92914">
      <w:pPr>
        <w:pStyle w:val="ListParagraph"/>
        <w:ind w:left="360"/>
        <w:rPr>
          <w:rFonts w:cs="Arial"/>
        </w:rPr>
      </w:pPr>
      <w:r w:rsidRPr="00C92914">
        <w:rPr>
          <w:rFonts w:cs="Arial"/>
        </w:rPr>
        <w:t>Payment of £18 per consultation</w:t>
      </w:r>
    </w:p>
    <w:p w14:paraId="5C40C50B" w14:textId="75C38575" w:rsidR="00041E86" w:rsidRDefault="00041E86" w:rsidP="00041E86">
      <w:pPr>
        <w:rPr>
          <w:rFonts w:cs="Arial"/>
        </w:rPr>
      </w:pPr>
    </w:p>
    <w:p w14:paraId="2374FB0A" w14:textId="77777777" w:rsidR="00041E86" w:rsidRPr="00C92914" w:rsidRDefault="00041E86" w:rsidP="00C92914">
      <w:pPr>
        <w:pStyle w:val="ListParagraph"/>
        <w:numPr>
          <w:ilvl w:val="0"/>
          <w:numId w:val="23"/>
        </w:numPr>
        <w:rPr>
          <w:rFonts w:cs="Arial"/>
          <w:b/>
          <w:bCs/>
        </w:rPr>
      </w:pPr>
      <w:r w:rsidRPr="00C92914">
        <w:rPr>
          <w:rFonts w:cs="Arial"/>
          <w:b/>
          <w:bCs/>
        </w:rPr>
        <w:t>Pharmacy set up costs</w:t>
      </w:r>
      <w:r w:rsidRPr="00C92914">
        <w:rPr>
          <w:rFonts w:cs="Arial"/>
          <w:b/>
          <w:bCs/>
        </w:rPr>
        <w:tab/>
      </w:r>
    </w:p>
    <w:p w14:paraId="357290B9" w14:textId="3E821C90" w:rsidR="00041E86" w:rsidRDefault="00041E86" w:rsidP="00C92914">
      <w:pPr>
        <w:pStyle w:val="ListParagraph"/>
        <w:ind w:left="360"/>
        <w:rPr>
          <w:rFonts w:cs="Arial"/>
        </w:rPr>
      </w:pPr>
      <w:r w:rsidRPr="00C92914">
        <w:rPr>
          <w:rFonts w:cs="Arial"/>
        </w:rPr>
        <w:t>£900 per pharmacy premises paid in instalments as follows</w:t>
      </w:r>
      <w:r w:rsidR="00C92914">
        <w:rPr>
          <w:rFonts w:cs="Arial"/>
        </w:rPr>
        <w:t>:</w:t>
      </w:r>
    </w:p>
    <w:p w14:paraId="208E94AF" w14:textId="77777777" w:rsidR="00C92914" w:rsidRPr="00C92914" w:rsidRDefault="00C92914" w:rsidP="00C92914">
      <w:pPr>
        <w:pStyle w:val="ListParagraph"/>
        <w:ind w:left="360"/>
        <w:rPr>
          <w:rFonts w:cs="Arial"/>
        </w:rPr>
      </w:pPr>
    </w:p>
    <w:p w14:paraId="0726CB5F" w14:textId="77777777" w:rsidR="00041E86" w:rsidRPr="00C92914" w:rsidRDefault="00041E86" w:rsidP="00C92914">
      <w:pPr>
        <w:pStyle w:val="ListParagraph"/>
        <w:ind w:left="360"/>
        <w:rPr>
          <w:rFonts w:cs="Arial"/>
        </w:rPr>
      </w:pPr>
      <w:r w:rsidRPr="00C92914">
        <w:rPr>
          <w:rFonts w:cs="Arial"/>
        </w:rPr>
        <w:t>£400 paid on signing up to deliver the service via the NHSBSA MYS portal.</w:t>
      </w:r>
    </w:p>
    <w:p w14:paraId="7654BDE5" w14:textId="77777777" w:rsidR="00041E86" w:rsidRPr="00C92914" w:rsidRDefault="00041E86" w:rsidP="00C92914">
      <w:pPr>
        <w:pStyle w:val="ListParagraph"/>
        <w:ind w:left="360"/>
        <w:rPr>
          <w:rFonts w:cs="Arial"/>
        </w:rPr>
      </w:pPr>
      <w:r w:rsidRPr="00C92914">
        <w:rPr>
          <w:rFonts w:cs="Arial"/>
        </w:rPr>
        <w:t>£250 paid after claiming the first 5 consultations; and</w:t>
      </w:r>
    </w:p>
    <w:p w14:paraId="3BB92431" w14:textId="47890A1C" w:rsidR="00041E86" w:rsidRPr="00C92914" w:rsidRDefault="00041E86" w:rsidP="00C92914">
      <w:pPr>
        <w:pStyle w:val="ListParagraph"/>
        <w:ind w:left="360"/>
        <w:rPr>
          <w:rFonts w:cs="Arial"/>
        </w:rPr>
      </w:pPr>
      <w:r w:rsidRPr="00C92914">
        <w:rPr>
          <w:rFonts w:cs="Arial"/>
        </w:rPr>
        <w:t>£250 paid after claiming a further 5 consultations (</w:t>
      </w:r>
      <w:r w:rsidR="00EE5DC4" w:rsidRPr="00C92914">
        <w:rPr>
          <w:rFonts w:cs="Arial"/>
        </w:rPr>
        <w:t>i.e.,</w:t>
      </w:r>
      <w:r w:rsidRPr="00C92914">
        <w:rPr>
          <w:rFonts w:cs="Arial"/>
        </w:rPr>
        <w:t xml:space="preserve"> 10 consultations completed).</w:t>
      </w:r>
    </w:p>
    <w:p w14:paraId="3C35745F" w14:textId="77777777" w:rsidR="00C371B3" w:rsidRPr="00E77AC2" w:rsidRDefault="00C371B3" w:rsidP="00C371B3">
      <w:pPr>
        <w:pStyle w:val="ListParagraph"/>
        <w:rPr>
          <w:rFonts w:cs="Arial"/>
        </w:rPr>
      </w:pPr>
    </w:p>
    <w:p w14:paraId="309C93F3" w14:textId="77777777" w:rsidR="000D071A" w:rsidRPr="00E77AC2" w:rsidRDefault="000D071A" w:rsidP="00C371B3">
      <w:pPr>
        <w:pStyle w:val="ListParagraph"/>
        <w:rPr>
          <w:rFonts w:cs="Arial"/>
          <w:b/>
          <w:bCs/>
        </w:rPr>
      </w:pPr>
    </w:p>
    <w:p w14:paraId="40531191" w14:textId="77777777" w:rsidR="00C371B3" w:rsidRPr="00FC45EE" w:rsidRDefault="00C371B3" w:rsidP="00C371B3">
      <w:pPr>
        <w:rPr>
          <w:rFonts w:cs="Arial"/>
          <w:b/>
          <w:bCs/>
        </w:rPr>
      </w:pPr>
      <w:r w:rsidRPr="00FC45EE">
        <w:rPr>
          <w:rFonts w:cs="Arial"/>
          <w:b/>
          <w:bCs/>
        </w:rPr>
        <w:t>How do I claim payment?</w:t>
      </w:r>
    </w:p>
    <w:p w14:paraId="0420C35A" w14:textId="5A07397E" w:rsidR="00817957" w:rsidRDefault="00C371B3" w:rsidP="00C371B3">
      <w:pPr>
        <w:rPr>
          <w:rStyle w:val="ui-provider"/>
        </w:rPr>
      </w:pPr>
      <w:r w:rsidRPr="00EC40AF">
        <w:rPr>
          <w:rFonts w:cs="Arial"/>
        </w:rPr>
        <w:t>Data</w:t>
      </w:r>
      <w:r>
        <w:rPr>
          <w:rFonts w:cs="Arial"/>
        </w:rPr>
        <w:t xml:space="preserve"> will be</w:t>
      </w:r>
      <w:r w:rsidRPr="00EC40AF">
        <w:rPr>
          <w:rFonts w:cs="Arial"/>
        </w:rPr>
        <w:t xml:space="preserve"> recorded via </w:t>
      </w:r>
      <w:r>
        <w:rPr>
          <w:rFonts w:cs="Arial"/>
        </w:rPr>
        <w:t>the approved IT system (currently Cegedim or PharmOutcomes) and this will</w:t>
      </w:r>
      <w:r w:rsidRPr="00EC40AF">
        <w:rPr>
          <w:rFonts w:cs="Arial"/>
        </w:rPr>
        <w:t xml:space="preserve"> be shared with the NHSBSA as part of normal payment arrangements. An application programming interface (API) </w:t>
      </w:r>
      <w:r>
        <w:rPr>
          <w:rFonts w:cs="Arial"/>
        </w:rPr>
        <w:t>has</w:t>
      </w:r>
      <w:r w:rsidRPr="00EC40AF">
        <w:rPr>
          <w:rFonts w:cs="Arial"/>
        </w:rPr>
        <w:t xml:space="preserve"> be</w:t>
      </w:r>
      <w:r>
        <w:rPr>
          <w:rFonts w:cs="Arial"/>
        </w:rPr>
        <w:t xml:space="preserve">en </w:t>
      </w:r>
      <w:r w:rsidRPr="00EC40AF">
        <w:rPr>
          <w:rFonts w:cs="Arial"/>
        </w:rPr>
        <w:t>developed to facilitate automatic transfer of this data into the NHSBSA MYS platform and to improve payment claim accuracy</w:t>
      </w:r>
      <w:r>
        <w:rPr>
          <w:rFonts w:cs="Arial"/>
        </w:rPr>
        <w:t>. All payments will be automatic once submitted via MYS.</w:t>
      </w:r>
      <w:r w:rsidRPr="00C371B3">
        <w:t xml:space="preserve"> </w:t>
      </w:r>
      <w:r w:rsidR="00817957">
        <w:rPr>
          <w:rStyle w:val="ui-provider"/>
        </w:rPr>
        <w:t>All submissions made will be paid alongside the respective monthly dispensing payment from the NHSBSA.</w:t>
      </w:r>
    </w:p>
    <w:p w14:paraId="40070457" w14:textId="77777777" w:rsidR="00817957" w:rsidRDefault="00817957" w:rsidP="00C371B3">
      <w:pPr>
        <w:rPr>
          <w:rStyle w:val="ui-provider"/>
        </w:rPr>
      </w:pPr>
    </w:p>
    <w:p w14:paraId="73D0E900" w14:textId="3E5E3AEA" w:rsidR="00A12E8B" w:rsidRDefault="00C371B3" w:rsidP="00C371B3">
      <w:r>
        <w:t>Please see the drug tariff and service specification (Section 7. Payment Arrangements) for more details.</w:t>
      </w:r>
    </w:p>
    <w:p w14:paraId="07AA0DC1" w14:textId="1EB64CD6" w:rsidR="002E26C9" w:rsidRDefault="002E26C9" w:rsidP="00C371B3"/>
    <w:p w14:paraId="52AE76DF" w14:textId="03ADB92D" w:rsidR="002E26C9" w:rsidRDefault="002E26C9" w:rsidP="00C371B3">
      <w:pPr>
        <w:rPr>
          <w:rFonts w:cs="Arial"/>
          <w:b/>
          <w:bCs/>
        </w:rPr>
      </w:pPr>
      <w:r w:rsidRPr="00817957">
        <w:rPr>
          <w:rFonts w:cs="Arial"/>
          <w:b/>
          <w:bCs/>
        </w:rPr>
        <w:t>What if I want to stop providing the service?</w:t>
      </w:r>
    </w:p>
    <w:p w14:paraId="222854A5" w14:textId="0337A882" w:rsidR="00951109" w:rsidRDefault="00951109" w:rsidP="00C371B3">
      <w:r w:rsidRPr="00061B25">
        <w:t xml:space="preserve">If </w:t>
      </w:r>
      <w:r w:rsidR="00E347C0">
        <w:t>a pharmacy contractor</w:t>
      </w:r>
      <w:r>
        <w:t xml:space="preserve"> </w:t>
      </w:r>
      <w:r w:rsidR="00EE239D">
        <w:t>wishes</w:t>
      </w:r>
      <w:r w:rsidRPr="00061B25">
        <w:t xml:space="preserve"> to stop providing the </w:t>
      </w:r>
      <w:r w:rsidR="00EE5DC4" w:rsidRPr="00061B25">
        <w:t>servic</w:t>
      </w:r>
      <w:r w:rsidR="00EE5DC4">
        <w:t>e,</w:t>
      </w:r>
      <w:r w:rsidR="00E04C95">
        <w:t xml:space="preserve"> </w:t>
      </w:r>
      <w:r w:rsidR="00EE239D">
        <w:t>they</w:t>
      </w:r>
      <w:r w:rsidR="00E04C95">
        <w:t xml:space="preserve"> must deregister</w:t>
      </w:r>
      <w:r w:rsidRPr="00061B25">
        <w:t xml:space="preserve"> via the MYS platform, giving at least one month</w:t>
      </w:r>
      <w:r>
        <w:t>’</w:t>
      </w:r>
      <w:r w:rsidRPr="00061B25">
        <w:t xml:space="preserve">s notice prior to the cessation of the service. </w:t>
      </w:r>
    </w:p>
    <w:p w14:paraId="2AE019A9" w14:textId="5D55E1EB" w:rsidR="00E347C0" w:rsidRDefault="00E347C0" w:rsidP="00C371B3"/>
    <w:p w14:paraId="42C8D94D" w14:textId="6C1A6A06" w:rsidR="00E347C0" w:rsidRPr="00817957" w:rsidRDefault="00EE239D" w:rsidP="00C371B3">
      <w:pPr>
        <w:rPr>
          <w:rFonts w:cs="Arial"/>
          <w:b/>
          <w:bCs/>
        </w:rPr>
      </w:pPr>
      <w:r>
        <w:t xml:space="preserve">If </w:t>
      </w:r>
      <w:r w:rsidR="00E347C0" w:rsidRPr="00D33DD4">
        <w:t>de-registr</w:t>
      </w:r>
      <w:r>
        <w:t xml:space="preserve">ation occurs, </w:t>
      </w:r>
      <w:r w:rsidR="00E347C0">
        <w:t xml:space="preserve">or </w:t>
      </w:r>
      <w:r>
        <w:t xml:space="preserve">the pharmacy contractor </w:t>
      </w:r>
      <w:r w:rsidR="00E347C0">
        <w:t xml:space="preserve">ceases trading </w:t>
      </w:r>
      <w:r w:rsidR="00E347C0" w:rsidRPr="00D33DD4">
        <w:t>within 30 days of registration, they will not qualify for the £400 set up fee. In this event, if the £400 fee has already been paid to the contractor, this money will be claimed back.</w:t>
      </w:r>
    </w:p>
    <w:sectPr w:rsidR="00E347C0" w:rsidRPr="00817957" w:rsidSect="001C3440">
      <w:headerReference w:type="default" r:id="rId15"/>
      <w:footerReference w:type="default" r:id="rId16"/>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E33D" w14:textId="77777777" w:rsidR="003F33AF" w:rsidRDefault="003F33AF" w:rsidP="00C62674">
      <w:r>
        <w:separator/>
      </w:r>
    </w:p>
  </w:endnote>
  <w:endnote w:type="continuationSeparator" w:id="0">
    <w:p w14:paraId="09466875" w14:textId="77777777" w:rsidR="003F33AF" w:rsidRDefault="003F33AF"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UbuntuRegular">
    <w:altName w:val="Ubuntu"/>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103" w14:textId="59881EEB" w:rsidR="00254CE2" w:rsidRDefault="00254CE2">
    <w:pPr>
      <w:pStyle w:val="Footer"/>
    </w:pPr>
    <w:r>
      <w:rPr>
        <w:noProof/>
      </w:rPr>
      <mc:AlternateContent>
        <mc:Choice Requires="wps">
          <w:drawing>
            <wp:anchor distT="0" distB="0" distL="114300" distR="114300" simplePos="0" relativeHeight="251661312" behindDoc="1" locked="0" layoutInCell="1" allowOverlap="1" wp14:anchorId="32DB433A" wp14:editId="20AED459">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1080D"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8F2A35">
      <w:fldChar w:fldCharType="begin"/>
    </w:r>
    <w:r w:rsidR="008F2A35">
      <w:instrText xml:space="preserve"> styleref Title </w:instrText>
    </w:r>
    <w:r w:rsidR="008F2A35">
      <w:fldChar w:fldCharType="separate"/>
    </w:r>
    <w:r w:rsidR="008F2A35">
      <w:rPr>
        <w:noProof/>
      </w:rPr>
      <w:t>Pharmacy Contraception Service</w:t>
    </w:r>
    <w:r w:rsidR="008F2A3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B59B" w14:textId="77777777" w:rsidR="003F33AF" w:rsidRDefault="003F33AF" w:rsidP="00C62674">
      <w:r>
        <w:separator/>
      </w:r>
    </w:p>
  </w:footnote>
  <w:footnote w:type="continuationSeparator" w:id="0">
    <w:p w14:paraId="149FDC09" w14:textId="77777777" w:rsidR="003F33AF" w:rsidRDefault="003F33AF"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98B" w14:textId="77777777" w:rsidR="005D41AF" w:rsidRDefault="005D41AF">
    <w:pPr>
      <w:pStyle w:val="Header"/>
    </w:pPr>
  </w:p>
  <w:p w14:paraId="4E430404" w14:textId="77777777" w:rsidR="005D41AF" w:rsidRDefault="005D41AF">
    <w:pPr>
      <w:pStyle w:val="Header"/>
    </w:pPr>
  </w:p>
  <w:p w14:paraId="7BFDE1F8" w14:textId="77777777" w:rsidR="005D41AF" w:rsidRDefault="005D41AF">
    <w:pPr>
      <w:pStyle w:val="Header"/>
    </w:pPr>
  </w:p>
  <w:p w14:paraId="55D2E319" w14:textId="77777777" w:rsidR="005D41AF" w:rsidRDefault="005D41AF">
    <w:pPr>
      <w:pStyle w:val="Header"/>
    </w:pPr>
  </w:p>
  <w:p w14:paraId="165F279A" w14:textId="77777777" w:rsidR="005D41AF" w:rsidRDefault="005D41AF">
    <w:pPr>
      <w:pStyle w:val="Header"/>
    </w:pPr>
  </w:p>
  <w:p w14:paraId="5B7EF98A" w14:textId="77777777" w:rsidR="005D41AF" w:rsidRDefault="005D41AF">
    <w:pPr>
      <w:pStyle w:val="Header"/>
    </w:pPr>
  </w:p>
  <w:p w14:paraId="3137FE9F" w14:textId="77777777" w:rsidR="005D41AF" w:rsidRDefault="005D41AF">
    <w:pPr>
      <w:pStyle w:val="Header"/>
    </w:pPr>
  </w:p>
  <w:p w14:paraId="4C2FEB49" w14:textId="77777777" w:rsidR="005D41AF" w:rsidRDefault="005D41AF">
    <w:pPr>
      <w:pStyle w:val="Header"/>
    </w:pPr>
  </w:p>
  <w:p w14:paraId="65621AF8" w14:textId="77777777" w:rsidR="005D41AF" w:rsidRDefault="005D41AF">
    <w:pPr>
      <w:pStyle w:val="Header"/>
    </w:pPr>
  </w:p>
  <w:p w14:paraId="7FB198EC" w14:textId="77777777" w:rsidR="005D41AF" w:rsidRDefault="005D41AF">
    <w:pPr>
      <w:pStyle w:val="Header"/>
    </w:pPr>
  </w:p>
  <w:p w14:paraId="5B448719" w14:textId="77777777" w:rsidR="005D41AF" w:rsidRDefault="005D41AF">
    <w:pPr>
      <w:pStyle w:val="Header"/>
    </w:pPr>
  </w:p>
  <w:p w14:paraId="6EFFC38A" w14:textId="77777777" w:rsidR="005D41AF" w:rsidRDefault="005D41AF">
    <w:pPr>
      <w:pStyle w:val="Header"/>
    </w:pPr>
  </w:p>
  <w:p w14:paraId="64FD6FD4" w14:textId="77777777" w:rsidR="00254CE2" w:rsidRDefault="003E12B1">
    <w:pPr>
      <w:pStyle w:val="Header"/>
    </w:pPr>
    <w:r>
      <w:rPr>
        <w:noProof/>
      </w:rPr>
      <w:drawing>
        <wp:anchor distT="0" distB="0" distL="114300" distR="114300" simplePos="0" relativeHeight="251663360" behindDoc="1" locked="0" layoutInCell="1" allowOverlap="1" wp14:anchorId="294ECA88" wp14:editId="4EBC8F88">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4C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AC7F69"/>
    <w:multiLevelType w:val="hybridMultilevel"/>
    <w:tmpl w:val="4C92E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A0E4B38"/>
    <w:multiLevelType w:val="multilevel"/>
    <w:tmpl w:val="65E4417A"/>
    <w:name w:val="eod_numbers"/>
    <w:numStyleLink w:val="NHSListNumbers"/>
  </w:abstractNum>
  <w:abstractNum w:abstractNumId="18" w15:restartNumberingAfterBreak="0">
    <w:nsid w:val="6DFA55C6"/>
    <w:multiLevelType w:val="hybridMultilevel"/>
    <w:tmpl w:val="778800F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2F0E02"/>
    <w:multiLevelType w:val="multilevel"/>
    <w:tmpl w:val="283E3AFC"/>
    <w:lvl w:ilvl="0">
      <w:start w:val="7"/>
      <w:numFmt w:val="decimal"/>
      <w:lvlText w:val="%1"/>
      <w:lvlJc w:val="left"/>
      <w:pPr>
        <w:ind w:left="360" w:hanging="360"/>
      </w:pPr>
      <w:rPr>
        <w:rFonts w:hint="default"/>
        <w:color w:val="231F20" w:themeColor="text1"/>
      </w:rPr>
    </w:lvl>
    <w:lvl w:ilvl="1">
      <w:start w:val="2"/>
      <w:numFmt w:val="decimal"/>
      <w:lvlText w:val="%1.%2"/>
      <w:lvlJc w:val="left"/>
      <w:pPr>
        <w:ind w:left="3338" w:hanging="360"/>
      </w:pPr>
      <w:rPr>
        <w:rFonts w:hint="default"/>
        <w:color w:val="231F20" w:themeColor="text1"/>
      </w:rPr>
    </w:lvl>
    <w:lvl w:ilvl="2">
      <w:start w:val="1"/>
      <w:numFmt w:val="decimal"/>
      <w:lvlText w:val="%1.%2.%3"/>
      <w:lvlJc w:val="left"/>
      <w:pPr>
        <w:ind w:left="720" w:hanging="720"/>
      </w:pPr>
      <w:rPr>
        <w:rFonts w:hint="default"/>
        <w:color w:val="231F20" w:themeColor="text1"/>
      </w:rPr>
    </w:lvl>
    <w:lvl w:ilvl="3">
      <w:start w:val="1"/>
      <w:numFmt w:val="decimal"/>
      <w:lvlText w:val="%1.%2.%3.%4"/>
      <w:lvlJc w:val="left"/>
      <w:pPr>
        <w:ind w:left="720" w:hanging="720"/>
      </w:pPr>
      <w:rPr>
        <w:rFonts w:hint="default"/>
        <w:color w:val="231F20" w:themeColor="text1"/>
      </w:rPr>
    </w:lvl>
    <w:lvl w:ilvl="4">
      <w:start w:val="1"/>
      <w:numFmt w:val="decimal"/>
      <w:lvlText w:val="%1.%2.%3.%4.%5"/>
      <w:lvlJc w:val="left"/>
      <w:pPr>
        <w:ind w:left="1080" w:hanging="1080"/>
      </w:pPr>
      <w:rPr>
        <w:rFonts w:hint="default"/>
        <w:color w:val="231F20" w:themeColor="text1"/>
      </w:rPr>
    </w:lvl>
    <w:lvl w:ilvl="5">
      <w:start w:val="1"/>
      <w:numFmt w:val="decimal"/>
      <w:lvlText w:val="%1.%2.%3.%4.%5.%6"/>
      <w:lvlJc w:val="left"/>
      <w:pPr>
        <w:ind w:left="1080" w:hanging="1080"/>
      </w:pPr>
      <w:rPr>
        <w:rFonts w:hint="default"/>
        <w:color w:val="231F20" w:themeColor="text1"/>
      </w:rPr>
    </w:lvl>
    <w:lvl w:ilvl="6">
      <w:start w:val="1"/>
      <w:numFmt w:val="decimal"/>
      <w:lvlText w:val="%1.%2.%3.%4.%5.%6.%7"/>
      <w:lvlJc w:val="left"/>
      <w:pPr>
        <w:ind w:left="1440" w:hanging="1440"/>
      </w:pPr>
      <w:rPr>
        <w:rFonts w:hint="default"/>
        <w:color w:val="231F20" w:themeColor="text1"/>
      </w:rPr>
    </w:lvl>
    <w:lvl w:ilvl="7">
      <w:start w:val="1"/>
      <w:numFmt w:val="decimal"/>
      <w:lvlText w:val="%1.%2.%3.%4.%5.%6.%7.%8"/>
      <w:lvlJc w:val="left"/>
      <w:pPr>
        <w:ind w:left="1440" w:hanging="1440"/>
      </w:pPr>
      <w:rPr>
        <w:rFonts w:hint="default"/>
        <w:color w:val="231F20" w:themeColor="text1"/>
      </w:rPr>
    </w:lvl>
    <w:lvl w:ilvl="8">
      <w:start w:val="1"/>
      <w:numFmt w:val="decimal"/>
      <w:lvlText w:val="%1.%2.%3.%4.%5.%6.%7.%8.%9"/>
      <w:lvlJc w:val="left"/>
      <w:pPr>
        <w:ind w:left="1800" w:hanging="1800"/>
      </w:pPr>
      <w:rPr>
        <w:rFonts w:hint="default"/>
        <w:color w:val="231F20" w:themeColor="text1"/>
      </w:rPr>
    </w:lvl>
  </w:abstractNum>
  <w:abstractNum w:abstractNumId="20" w15:restartNumberingAfterBreak="0">
    <w:nsid w:val="7F496A7C"/>
    <w:multiLevelType w:val="hybridMultilevel"/>
    <w:tmpl w:val="D92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701373">
    <w:abstractNumId w:val="8"/>
  </w:num>
  <w:num w:numId="2" w16cid:durableId="485170766">
    <w:abstractNumId w:val="7"/>
  </w:num>
  <w:num w:numId="3" w16cid:durableId="1795714961">
    <w:abstractNumId w:val="6"/>
  </w:num>
  <w:num w:numId="4" w16cid:durableId="1505783520">
    <w:abstractNumId w:val="5"/>
  </w:num>
  <w:num w:numId="5" w16cid:durableId="1229730792">
    <w:abstractNumId w:val="4"/>
  </w:num>
  <w:num w:numId="6" w16cid:durableId="2002655453">
    <w:abstractNumId w:val="17"/>
  </w:num>
  <w:num w:numId="7" w16cid:durableId="1505317412">
    <w:abstractNumId w:val="3"/>
  </w:num>
  <w:num w:numId="8" w16cid:durableId="1654332522">
    <w:abstractNumId w:val="2"/>
  </w:num>
  <w:num w:numId="9" w16cid:durableId="2132480644">
    <w:abstractNumId w:val="1"/>
  </w:num>
  <w:num w:numId="10" w16cid:durableId="92869961">
    <w:abstractNumId w:val="0"/>
  </w:num>
  <w:num w:numId="11" w16cid:durableId="1066302119">
    <w:abstractNumId w:val="12"/>
  </w:num>
  <w:num w:numId="12" w16cid:durableId="1631279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683082">
    <w:abstractNumId w:val="13"/>
  </w:num>
  <w:num w:numId="14" w16cid:durableId="1972589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3414081">
    <w:abstractNumId w:val="14"/>
  </w:num>
  <w:num w:numId="16" w16cid:durableId="1623612243">
    <w:abstractNumId w:val="11"/>
  </w:num>
  <w:num w:numId="17" w16cid:durableId="2019501666">
    <w:abstractNumId w:val="9"/>
  </w:num>
  <w:num w:numId="18" w16cid:durableId="1921286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50838">
    <w:abstractNumId w:val="14"/>
  </w:num>
  <w:num w:numId="20" w16cid:durableId="1147358107">
    <w:abstractNumId w:val="14"/>
  </w:num>
  <w:num w:numId="21" w16cid:durableId="2110199652">
    <w:abstractNumId w:val="14"/>
  </w:num>
  <w:num w:numId="22" w16cid:durableId="1324090427">
    <w:abstractNumId w:val="18"/>
  </w:num>
  <w:num w:numId="23" w16cid:durableId="893807857">
    <w:abstractNumId w:val="15"/>
  </w:num>
  <w:num w:numId="24" w16cid:durableId="427892370">
    <w:abstractNumId w:val="10"/>
  </w:num>
  <w:num w:numId="25" w16cid:durableId="772549940">
    <w:abstractNumId w:val="16"/>
  </w:num>
  <w:num w:numId="26" w16cid:durableId="1348369130">
    <w:abstractNumId w:val="19"/>
  </w:num>
  <w:num w:numId="27" w16cid:durableId="8368503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8B"/>
    <w:rsid w:val="00014927"/>
    <w:rsid w:val="000221AC"/>
    <w:rsid w:val="00032575"/>
    <w:rsid w:val="00041E86"/>
    <w:rsid w:val="000444C0"/>
    <w:rsid w:val="000552A9"/>
    <w:rsid w:val="00080805"/>
    <w:rsid w:val="00087FD8"/>
    <w:rsid w:val="000D071A"/>
    <w:rsid w:val="000E1FF7"/>
    <w:rsid w:val="000F0D5C"/>
    <w:rsid w:val="001013FD"/>
    <w:rsid w:val="00106B6E"/>
    <w:rsid w:val="0011344A"/>
    <w:rsid w:val="00113933"/>
    <w:rsid w:val="001241F4"/>
    <w:rsid w:val="0014017A"/>
    <w:rsid w:val="001460F2"/>
    <w:rsid w:val="0016281C"/>
    <w:rsid w:val="001A3D7E"/>
    <w:rsid w:val="001C3440"/>
    <w:rsid w:val="001C6909"/>
    <w:rsid w:val="0021516C"/>
    <w:rsid w:val="00224B11"/>
    <w:rsid w:val="00244BB6"/>
    <w:rsid w:val="00246FF7"/>
    <w:rsid w:val="00254CE2"/>
    <w:rsid w:val="0027399B"/>
    <w:rsid w:val="00281427"/>
    <w:rsid w:val="002856DE"/>
    <w:rsid w:val="002B0956"/>
    <w:rsid w:val="002D6BF8"/>
    <w:rsid w:val="002E26C9"/>
    <w:rsid w:val="002E56C8"/>
    <w:rsid w:val="003027D7"/>
    <w:rsid w:val="0030692D"/>
    <w:rsid w:val="00386107"/>
    <w:rsid w:val="003B6559"/>
    <w:rsid w:val="003C56CE"/>
    <w:rsid w:val="003E12B1"/>
    <w:rsid w:val="003F33AF"/>
    <w:rsid w:val="0041108C"/>
    <w:rsid w:val="004577A9"/>
    <w:rsid w:val="00461CC2"/>
    <w:rsid w:val="004A7B20"/>
    <w:rsid w:val="004B04BF"/>
    <w:rsid w:val="00504B6B"/>
    <w:rsid w:val="00510CDF"/>
    <w:rsid w:val="00516192"/>
    <w:rsid w:val="00523DE4"/>
    <w:rsid w:val="00524EDA"/>
    <w:rsid w:val="00534D4A"/>
    <w:rsid w:val="00537606"/>
    <w:rsid w:val="005433F3"/>
    <w:rsid w:val="0055406D"/>
    <w:rsid w:val="005662C6"/>
    <w:rsid w:val="00570BC3"/>
    <w:rsid w:val="00574232"/>
    <w:rsid w:val="005806C1"/>
    <w:rsid w:val="005D41AF"/>
    <w:rsid w:val="005D6E20"/>
    <w:rsid w:val="005E4CF5"/>
    <w:rsid w:val="00601A10"/>
    <w:rsid w:val="0061299F"/>
    <w:rsid w:val="00613B5B"/>
    <w:rsid w:val="00630977"/>
    <w:rsid w:val="0064622F"/>
    <w:rsid w:val="00660473"/>
    <w:rsid w:val="00667CF9"/>
    <w:rsid w:val="006751DE"/>
    <w:rsid w:val="0067577A"/>
    <w:rsid w:val="006B3373"/>
    <w:rsid w:val="006C18AF"/>
    <w:rsid w:val="006D4369"/>
    <w:rsid w:val="006D514F"/>
    <w:rsid w:val="006E0DCD"/>
    <w:rsid w:val="007542A0"/>
    <w:rsid w:val="00780E7F"/>
    <w:rsid w:val="007A37DA"/>
    <w:rsid w:val="007B7DC2"/>
    <w:rsid w:val="007C57D8"/>
    <w:rsid w:val="007E047C"/>
    <w:rsid w:val="007F2E69"/>
    <w:rsid w:val="007F6E18"/>
    <w:rsid w:val="00802E21"/>
    <w:rsid w:val="00817957"/>
    <w:rsid w:val="00830FB1"/>
    <w:rsid w:val="00833395"/>
    <w:rsid w:val="00862C91"/>
    <w:rsid w:val="00871278"/>
    <w:rsid w:val="00876072"/>
    <w:rsid w:val="00885268"/>
    <w:rsid w:val="008B3515"/>
    <w:rsid w:val="008C2BEE"/>
    <w:rsid w:val="008D0D77"/>
    <w:rsid w:val="008E4C3C"/>
    <w:rsid w:val="008E6AE9"/>
    <w:rsid w:val="008F08F5"/>
    <w:rsid w:val="008F2A35"/>
    <w:rsid w:val="00900DEC"/>
    <w:rsid w:val="00947295"/>
    <w:rsid w:val="00951109"/>
    <w:rsid w:val="0095150F"/>
    <w:rsid w:val="009539AC"/>
    <w:rsid w:val="009555C2"/>
    <w:rsid w:val="0096605D"/>
    <w:rsid w:val="00981245"/>
    <w:rsid w:val="00991A82"/>
    <w:rsid w:val="00991E51"/>
    <w:rsid w:val="00994709"/>
    <w:rsid w:val="009A120A"/>
    <w:rsid w:val="009A1A5D"/>
    <w:rsid w:val="009B7C41"/>
    <w:rsid w:val="009E142E"/>
    <w:rsid w:val="009F27AE"/>
    <w:rsid w:val="00A00FA2"/>
    <w:rsid w:val="00A12E8B"/>
    <w:rsid w:val="00A13EEA"/>
    <w:rsid w:val="00A31A7A"/>
    <w:rsid w:val="00AB508B"/>
    <w:rsid w:val="00AD18B5"/>
    <w:rsid w:val="00AF1E21"/>
    <w:rsid w:val="00B07960"/>
    <w:rsid w:val="00B140BE"/>
    <w:rsid w:val="00B378E1"/>
    <w:rsid w:val="00B442E5"/>
    <w:rsid w:val="00B95904"/>
    <w:rsid w:val="00BD795A"/>
    <w:rsid w:val="00BE0EFC"/>
    <w:rsid w:val="00BE7AED"/>
    <w:rsid w:val="00BF7A71"/>
    <w:rsid w:val="00C14AC8"/>
    <w:rsid w:val="00C371B3"/>
    <w:rsid w:val="00C4790F"/>
    <w:rsid w:val="00C62674"/>
    <w:rsid w:val="00C63AC1"/>
    <w:rsid w:val="00C71AE6"/>
    <w:rsid w:val="00C915C7"/>
    <w:rsid w:val="00C92914"/>
    <w:rsid w:val="00C936D7"/>
    <w:rsid w:val="00C93CAA"/>
    <w:rsid w:val="00C94874"/>
    <w:rsid w:val="00CA72ED"/>
    <w:rsid w:val="00CB207C"/>
    <w:rsid w:val="00CB273B"/>
    <w:rsid w:val="00CB4716"/>
    <w:rsid w:val="00CC1798"/>
    <w:rsid w:val="00CC2151"/>
    <w:rsid w:val="00CD04AA"/>
    <w:rsid w:val="00CE0FD5"/>
    <w:rsid w:val="00CE5B91"/>
    <w:rsid w:val="00D33B0A"/>
    <w:rsid w:val="00D37523"/>
    <w:rsid w:val="00DB0606"/>
    <w:rsid w:val="00DD0DDC"/>
    <w:rsid w:val="00DD4B31"/>
    <w:rsid w:val="00E01307"/>
    <w:rsid w:val="00E04C95"/>
    <w:rsid w:val="00E347C0"/>
    <w:rsid w:val="00E5533C"/>
    <w:rsid w:val="00E651A3"/>
    <w:rsid w:val="00E675CC"/>
    <w:rsid w:val="00E75EAF"/>
    <w:rsid w:val="00E971B0"/>
    <w:rsid w:val="00ED3F56"/>
    <w:rsid w:val="00EE239D"/>
    <w:rsid w:val="00EE5DC4"/>
    <w:rsid w:val="00F00882"/>
    <w:rsid w:val="00F03D69"/>
    <w:rsid w:val="00F12F22"/>
    <w:rsid w:val="00F643E5"/>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139B"/>
  <w15:chartTrackingRefBased/>
  <w15:docId w15:val="{114B1868-791D-42C2-AE67-09589A90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Strong">
    <w:name w:val="Strong"/>
    <w:basedOn w:val="DefaultParagraphFont"/>
    <w:uiPriority w:val="22"/>
    <w:qFormat/>
    <w:rsid w:val="00C371B3"/>
    <w:rPr>
      <w:b/>
      <w:bCs/>
    </w:r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5"/>
    <w:qFormat/>
    <w:locked/>
    <w:rsid w:val="00C371B3"/>
  </w:style>
  <w:style w:type="character" w:styleId="FollowedHyperlink">
    <w:name w:val="FollowedHyperlink"/>
    <w:basedOn w:val="DefaultParagraphFont"/>
    <w:uiPriority w:val="99"/>
    <w:semiHidden/>
    <w:unhideWhenUsed/>
    <w:rsid w:val="00C371B3"/>
    <w:rPr>
      <w:color w:val="954F72" w:themeColor="followedHyperlink"/>
      <w:u w:val="single"/>
    </w:rPr>
  </w:style>
  <w:style w:type="paragraph" w:styleId="Revision">
    <w:name w:val="Revision"/>
    <w:hidden/>
    <w:uiPriority w:val="99"/>
    <w:semiHidden/>
    <w:rsid w:val="000D071A"/>
  </w:style>
  <w:style w:type="paragraph" w:styleId="NormalWeb">
    <w:name w:val="Normal (Web)"/>
    <w:basedOn w:val="Normal"/>
    <w:uiPriority w:val="99"/>
    <w:semiHidden/>
    <w:unhideWhenUsed/>
    <w:rsid w:val="006C18AF"/>
    <w:pPr>
      <w:spacing w:before="100" w:beforeAutospacing="1" w:after="100" w:afterAutospacing="1"/>
    </w:pPr>
    <w:rPr>
      <w:rFonts w:ascii="Times New Roman" w:eastAsia="Times New Roman" w:hAnsi="Times New Roman" w:cs="Times New Roman"/>
      <w:color w:val="auto"/>
      <w:lang w:eastAsia="en-GB"/>
    </w:rPr>
  </w:style>
  <w:style w:type="paragraph" w:customStyle="1" w:styleId="ListParagraphNumber">
    <w:name w:val="List Paragraph Number"/>
    <w:basedOn w:val="ListParagraph"/>
    <w:qFormat/>
    <w:rsid w:val="00041E86"/>
    <w:pPr>
      <w:numPr>
        <w:numId w:val="25"/>
      </w:numPr>
      <w:spacing w:before="120" w:after="120" w:line="288" w:lineRule="auto"/>
    </w:pPr>
    <w:rPr>
      <w:rFonts w:asciiTheme="minorHAnsi" w:hAnsiTheme="minorHAnsi"/>
      <w:color w:val="auto"/>
      <w:sz w:val="22"/>
      <w:szCs w:val="22"/>
    </w:rPr>
  </w:style>
  <w:style w:type="character" w:customStyle="1" w:styleId="ui-provider">
    <w:name w:val="ui-provider"/>
    <w:basedOn w:val="DefaultParagraphFont"/>
    <w:rsid w:val="0081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pharmacies-gp-practices-and-appliance-contractors/dispensing-contractors-information/manage-your-service-mys/mys-pharma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nhs-pharmacy-contraception-service-tier-1-ongoing-supply-of-oral-contracep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ture.nhs.uk/PharmacyIntegration/view?objectId=299983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Armstrong\Downloads\Short%20document%20template%20-%20July%20202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F7C00DBF84CE5AC52CD6E2FC5403D"/>
        <w:category>
          <w:name w:val="General"/>
          <w:gallery w:val="placeholder"/>
        </w:category>
        <w:types>
          <w:type w:val="bbPlcHdr"/>
        </w:types>
        <w:behaviors>
          <w:behavior w:val="content"/>
        </w:behaviors>
        <w:guid w:val="{6CF78C0C-C73E-42B3-9BB2-8BFBC7410A4A}"/>
      </w:docPartPr>
      <w:docPartBody>
        <w:p w:rsidR="00627C41" w:rsidRDefault="00B75998">
          <w:pPr>
            <w:pStyle w:val="CFDF7C00DBF84CE5AC52CD6E2FC5403D"/>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UbuntuRegular">
    <w:altName w:val="Ubuntu"/>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1"/>
    <w:rsid w:val="00025114"/>
    <w:rsid w:val="00214FE1"/>
    <w:rsid w:val="00245986"/>
    <w:rsid w:val="002D2A5E"/>
    <w:rsid w:val="004215AE"/>
    <w:rsid w:val="00441B2E"/>
    <w:rsid w:val="004637C1"/>
    <w:rsid w:val="00627C41"/>
    <w:rsid w:val="006A66AD"/>
    <w:rsid w:val="00B7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FDF7C00DBF84CE5AC52CD6E2FC5403D">
    <w:name w:val="CFDF7C00DBF84CE5AC52CD6E2FC54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docProps/app.xml><?xml version="1.0" encoding="utf-8"?>
<Properties xmlns="http://schemas.openxmlformats.org/officeDocument/2006/extended-properties" xmlns:vt="http://schemas.openxmlformats.org/officeDocument/2006/docPropsVTypes">
  <Template>Short document template - July 2022 (2)</Template>
  <TotalTime>927</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Armstrong</dc:creator>
  <cp:keywords/>
  <dc:description/>
  <cp:lastModifiedBy>Kirsty Armstrong</cp:lastModifiedBy>
  <cp:revision>20</cp:revision>
  <dcterms:created xsi:type="dcterms:W3CDTF">2023-05-03T16:10:00Z</dcterms:created>
  <dcterms:modified xsi:type="dcterms:W3CDTF">2023-05-09T10:41:00Z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