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63BECBB4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9021C">
              <w:rPr>
                <w:rFonts w:ascii="Arial" w:hAnsi="Arial" w:cs="Arial"/>
              </w:rPr>
              <w:t>26</w:t>
            </w:r>
            <w:r w:rsidR="00D2519A">
              <w:rPr>
                <w:rFonts w:ascii="Arial" w:hAnsi="Arial" w:cs="Arial"/>
              </w:rPr>
              <w:t xml:space="preserve"> Feb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037A73E3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2519A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79021C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B02DC8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VMP ‘&lt;Drug Form&gt;’ coded attribute in </w:t>
        </w:r>
        <w:proofErr w:type="spellStart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dm+d</w:t>
        </w:r>
        <w:proofErr w:type="spellEnd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</w:t>
      </w:r>
      <w:proofErr w:type="spellStart"/>
      <w:r>
        <w:rPr>
          <w:rFonts w:ascii="Arial" w:hAnsi="Arial" w:cs="Arial"/>
          <w:color w:val="000000"/>
          <w:lang w:eastAsia="en-GB"/>
        </w:rPr>
        <w:t>dm+d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Phase 2 drug forms were released in the TRUD extract Monday 15 January </w:t>
      </w:r>
      <w:proofErr w:type="gramStart"/>
      <w:r>
        <w:rPr>
          <w:rFonts w:ascii="Arial" w:hAnsi="Arial" w:cs="Arial"/>
        </w:rPr>
        <w:t>2024,</w:t>
      </w:r>
      <w:proofErr w:type="gramEnd"/>
      <w:r>
        <w:rPr>
          <w:rFonts w:ascii="Arial" w:hAnsi="Arial" w:cs="Arial"/>
        </w:rPr>
        <w:t xml:space="preserve">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2426CE74" w14:textId="77777777" w:rsidR="00411516" w:rsidRDefault="00411516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to the following drug forms are being planned to take place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4E33F75" w14:textId="77777777" w:rsidR="009E6DD3" w:rsidRDefault="009E6DD3" w:rsidP="00411516">
      <w:pPr>
        <w:rPr>
          <w:rFonts w:ascii="Arial" w:hAnsi="Arial" w:cs="Arial"/>
        </w:rPr>
      </w:pPr>
    </w:p>
    <w:p w14:paraId="689E6499" w14:textId="77777777" w:rsidR="009E6DD3" w:rsidRDefault="009E6DD3" w:rsidP="00411516">
      <w:pPr>
        <w:rPr>
          <w:rFonts w:ascii="Arial" w:hAnsi="Arial" w:cs="Arial"/>
        </w:rPr>
      </w:pPr>
    </w:p>
    <w:p w14:paraId="7B20DE80" w14:textId="77777777" w:rsidR="009E6DD3" w:rsidRDefault="009E6DD3" w:rsidP="00411516">
      <w:pPr>
        <w:rPr>
          <w:rFonts w:ascii="Arial" w:hAnsi="Arial" w:cs="Arial"/>
        </w:rPr>
      </w:pPr>
    </w:p>
    <w:p w14:paraId="4F1BD23E" w14:textId="77777777" w:rsidR="009E6DD3" w:rsidRDefault="009E6DD3" w:rsidP="00411516">
      <w:pPr>
        <w:rPr>
          <w:rFonts w:ascii="Arial" w:hAnsi="Arial" w:cs="Arial"/>
        </w:rPr>
      </w:pPr>
    </w:p>
    <w:p w14:paraId="0EECE825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840131B" w:rsidR="0007523B" w:rsidRDefault="0007523B" w:rsidP="0007523B">
            <w:pPr>
              <w:pStyle w:val="nhsd-t-body"/>
              <w:ind w:left="36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 xml:space="preserve">Live in </w:t>
            </w:r>
            <w:proofErr w:type="spellStart"/>
            <w:r w:rsidRPr="0007523B">
              <w:rPr>
                <w:rFonts w:ascii="Arial" w:hAnsi="Arial" w:cs="Arial"/>
              </w:rPr>
              <w:t>dm+d</w:t>
            </w:r>
            <w:proofErr w:type="spellEnd"/>
            <w:r w:rsidRPr="0007523B">
              <w:rPr>
                <w:rFonts w:ascii="Arial" w:hAnsi="Arial" w:cs="Arial"/>
              </w:rPr>
              <w:t xml:space="preserve"> extract 29 January 2024</w:t>
            </w:r>
          </w:p>
        </w:tc>
      </w:tr>
      <w:tr w:rsidR="0007523B" w14:paraId="5E51A569" w14:textId="001D09BA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*Excluding 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AE98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12 February 2024</w:t>
            </w:r>
          </w:p>
          <w:p w14:paraId="1D4BE2F9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034F3790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AND</w:t>
            </w:r>
          </w:p>
          <w:p w14:paraId="11133F45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750AE528" w14:textId="07932082" w:rsidR="0007523B" w:rsidRPr="00074A8C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Remaining changes </w:t>
            </w:r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live in </w:t>
            </w:r>
            <w:proofErr w:type="spellStart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19 February 2024</w:t>
            </w:r>
          </w:p>
        </w:tc>
      </w:tr>
      <w:tr w:rsidR="0007523B" w:rsidRPr="00910315" w14:paraId="08E0DAEF" w14:textId="5DA492F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3C689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  <w:p w14:paraId="0285ACB8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25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E6D7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4DE954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B5EAFB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4A880CA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6059F7DF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76870F5C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3665251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AND </w:t>
            </w:r>
          </w:p>
          <w:p w14:paraId="614D007A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DA6FBF4" w14:textId="621844B3" w:rsidR="0007523B" w:rsidRPr="00074A8C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  <w:highlight w:val="yellow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</w:tc>
      </w:tr>
    </w:tbl>
    <w:p w14:paraId="6569F8C4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222CCDA" w14:textId="4DFDDC55" w:rsidR="0070763F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5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Updating the NHS 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2D7959BC" w:rsidR="008C38FE" w:rsidRDefault="008C38FE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) - NHS Digital</w:t>
        </w:r>
      </w:hyperlink>
    </w:p>
    <w:p w14:paraId="18450326" w14:textId="77777777" w:rsidR="007461D0" w:rsidRDefault="007461D0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</w:p>
    <w:p w14:paraId="700777E1" w14:textId="5D140AC7" w:rsidR="003F7709" w:rsidRPr="003F7709" w:rsidRDefault="003F7709" w:rsidP="003F7709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3F7709">
        <w:rPr>
          <w:rFonts w:ascii="Arial" w:hAnsi="Arial" w:cs="Arial"/>
          <w:color w:val="000000"/>
        </w:rPr>
        <w:t xml:space="preserve">Should you have any specific questions about this work please email: </w:t>
      </w:r>
      <w:hyperlink r:id="rId17" w:tgtFrame="_blank" w:tooltip="mailto:nhsdigital.ukmeds@nhs.net" w:history="1">
        <w:r w:rsidRPr="003F7709">
          <w:rPr>
            <w:rStyle w:val="Hyperlink"/>
            <w:rFonts w:ascii="Arial" w:eastAsia="Times New Roman" w:hAnsi="Arial" w:cs="Arial"/>
          </w:rPr>
          <w:t>nhsdigital.ukmeds@nhs.net</w:t>
        </w:r>
      </w:hyperlink>
    </w:p>
    <w:p w14:paraId="274AB323" w14:textId="77777777" w:rsidR="000A6B75" w:rsidRDefault="000A6B75" w:rsidP="00261DE8">
      <w:pPr>
        <w:rPr>
          <w:rFonts w:ascii="Arial" w:eastAsia="Times New Roman" w:hAnsi="Arial" w:cs="Arial"/>
        </w:rPr>
      </w:pPr>
    </w:p>
    <w:p w14:paraId="25A88C63" w14:textId="77777777" w:rsidR="00281573" w:rsidRPr="00281573" w:rsidRDefault="00281573" w:rsidP="00281573">
      <w:pPr>
        <w:rPr>
          <w:rFonts w:ascii="Arial" w:hAnsi="Arial" w:cs="Arial"/>
          <w:b/>
          <w:bCs/>
          <w:u w:val="single"/>
        </w:rPr>
      </w:pPr>
      <w:r w:rsidRPr="00281573">
        <w:rPr>
          <w:rFonts w:ascii="Arial" w:hAnsi="Arial" w:cs="Arial"/>
          <w:b/>
          <w:bCs/>
          <w:u w:val="single"/>
        </w:rPr>
        <w:t>MHRA Alert: EAN Barcode Error</w:t>
      </w:r>
    </w:p>
    <w:p w14:paraId="6E57E310" w14:textId="77777777" w:rsidR="00281573" w:rsidRDefault="00281573" w:rsidP="00281573">
      <w:pPr>
        <w:rPr>
          <w:rFonts w:ascii="Arial" w:eastAsiaTheme="minorHAnsi" w:hAnsi="Arial" w:cs="Arial"/>
          <w:b/>
          <w:bCs/>
          <w:lang w:val="en-GB"/>
        </w:rPr>
      </w:pPr>
    </w:p>
    <w:p w14:paraId="60DFB2F3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  <w:r w:rsidRPr="00130B3D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130B3D">
        <w:rPr>
          <w:rFonts w:ascii="Arial" w:hAnsi="Arial" w:cs="Arial"/>
          <w:sz w:val="24"/>
          <w:szCs w:val="24"/>
        </w:rPr>
        <w:t>dm+d</w:t>
      </w:r>
      <w:proofErr w:type="spellEnd"/>
      <w:r w:rsidRPr="00130B3D">
        <w:rPr>
          <w:rFonts w:ascii="Arial" w:hAnsi="Arial" w:cs="Arial"/>
          <w:sz w:val="24"/>
          <w:szCs w:val="24"/>
        </w:rPr>
        <w:t xml:space="preserve"> users with an interest in GTIN/EAN codes, please be mindful of keeping up to date with MHRA alerts. On the </w:t>
      </w:r>
      <w:proofErr w:type="gramStart"/>
      <w:r w:rsidRPr="00130B3D">
        <w:rPr>
          <w:rFonts w:ascii="Arial" w:hAnsi="Arial" w:cs="Arial"/>
          <w:sz w:val="24"/>
          <w:szCs w:val="24"/>
        </w:rPr>
        <w:t>30</w:t>
      </w:r>
      <w:r w:rsidRPr="00130B3D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Pr="00130B3D">
        <w:rPr>
          <w:rFonts w:ascii="Arial" w:hAnsi="Arial" w:cs="Arial"/>
          <w:sz w:val="24"/>
          <w:szCs w:val="24"/>
        </w:rPr>
        <w:t xml:space="preserve"> January 2024 the MHRA issued an alert regarding certain batches of Pantoprazole 40 mg Gastro-Resistant Tablets distributed by Crescent Pharma Limited. When scanned, the EAN barcode identifies the product as Bicalutamide 150 mg Tablets. The GTIN code printed on the pack is correct. </w:t>
      </w:r>
    </w:p>
    <w:p w14:paraId="00E0FF5B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</w:p>
    <w:p w14:paraId="52B0E8D3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  <w:r w:rsidRPr="00130B3D">
        <w:rPr>
          <w:rFonts w:ascii="Arial" w:hAnsi="Arial" w:cs="Arial"/>
          <w:sz w:val="24"/>
          <w:szCs w:val="24"/>
        </w:rPr>
        <w:t xml:space="preserve">Please see the </w:t>
      </w:r>
      <w:hyperlink r:id="rId18" w:history="1">
        <w:r w:rsidRPr="00130B3D">
          <w:rPr>
            <w:rStyle w:val="Hyperlink"/>
            <w:rFonts w:ascii="Arial" w:hAnsi="Arial" w:cs="Arial"/>
            <w:sz w:val="24"/>
            <w:szCs w:val="24"/>
          </w:rPr>
          <w:t>MHRA Pantoprazole EAN barcode error alert</w:t>
        </w:r>
      </w:hyperlink>
      <w:r w:rsidRPr="00130B3D">
        <w:rPr>
          <w:rFonts w:ascii="Arial" w:hAnsi="Arial" w:cs="Arial"/>
          <w:sz w:val="24"/>
          <w:szCs w:val="24"/>
        </w:rPr>
        <w:t xml:space="preserve"> for more information.</w:t>
      </w:r>
    </w:p>
    <w:p w14:paraId="67E0CB48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</w:p>
    <w:p w14:paraId="35E36C4A" w14:textId="13D237C9" w:rsidR="00130B3D" w:rsidRDefault="00130B3D" w:rsidP="00130B3D">
      <w:pPr>
        <w:rPr>
          <w:rFonts w:ascii="Arial" w:hAnsi="Arial" w:cs="Arial"/>
        </w:rPr>
      </w:pPr>
      <w:r w:rsidRPr="00130B3D">
        <w:rPr>
          <w:rStyle w:val="ui-provider"/>
          <w:rFonts w:ascii="Arial" w:hAnsi="Arial" w:cs="Arial"/>
        </w:rPr>
        <w:t>The GTIN (</w:t>
      </w:r>
      <w:r w:rsidRPr="00130B3D">
        <w:rPr>
          <w:rFonts w:ascii="Arial" w:hAnsi="Arial" w:cs="Arial"/>
        </w:rPr>
        <w:t xml:space="preserve">5017123283130) </w:t>
      </w:r>
      <w:r w:rsidRPr="00130B3D">
        <w:rPr>
          <w:rStyle w:val="ui-provider"/>
          <w:rFonts w:ascii="Arial" w:hAnsi="Arial" w:cs="Arial"/>
        </w:rPr>
        <w:t xml:space="preserve">for Bicalutamide 150mg tablets (Crescent Pharma </w:t>
      </w:r>
      <w:r>
        <w:rPr>
          <w:rStyle w:val="ui-provider"/>
          <w:rFonts w:ascii="Arial" w:hAnsi="Arial" w:cs="Arial"/>
        </w:rPr>
        <w:t>Ltd) – 28 tablet</w:t>
      </w:r>
      <w:r w:rsidR="0094438B">
        <w:rPr>
          <w:rStyle w:val="ui-provider"/>
          <w:rFonts w:ascii="Arial" w:hAnsi="Arial" w:cs="Arial"/>
        </w:rPr>
        <w:t xml:space="preserve"> pack</w:t>
      </w:r>
      <w:r>
        <w:rPr>
          <w:rStyle w:val="ui-provider"/>
          <w:rFonts w:ascii="Arial" w:hAnsi="Arial" w:cs="Arial"/>
        </w:rPr>
        <w:t xml:space="preserve"> has temporarily been ended on </w:t>
      </w:r>
      <w:proofErr w:type="spellStart"/>
      <w:r>
        <w:rPr>
          <w:rStyle w:val="ui-provider"/>
          <w:rFonts w:ascii="Arial" w:hAnsi="Arial" w:cs="Arial"/>
        </w:rPr>
        <w:t>dm+d</w:t>
      </w:r>
      <w:proofErr w:type="spellEnd"/>
      <w:r>
        <w:rPr>
          <w:rStyle w:val="ui-provider"/>
          <w:rFonts w:ascii="Arial" w:hAnsi="Arial" w:cs="Arial"/>
        </w:rPr>
        <w:t xml:space="preserve"> as a precautionary measure.</w:t>
      </w:r>
    </w:p>
    <w:p w14:paraId="42FA2E9D" w14:textId="77777777" w:rsidR="0060563F" w:rsidRDefault="0060563F" w:rsidP="005036AF">
      <w:pPr>
        <w:rPr>
          <w:rFonts w:ascii="Arial" w:hAnsi="Arial" w:cs="Arial"/>
          <w:b/>
          <w:bCs/>
          <w:u w:val="single"/>
        </w:rPr>
      </w:pPr>
    </w:p>
    <w:p w14:paraId="0DEA1D8C" w14:textId="12DB04BF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 xml:space="preserve">pdate -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VMPP/AMPP Pack Sizes to be Updated to Reflect the Volumes of Water added for </w:t>
      </w:r>
      <w:proofErr w:type="gramStart"/>
      <w:r>
        <w:rPr>
          <w:rFonts w:ascii="Arial" w:hAnsi="Arial" w:cs="Arial"/>
          <w:b/>
          <w:bCs/>
          <w:u w:val="single"/>
        </w:rPr>
        <w:t>Reconstitution</w:t>
      </w:r>
      <w:proofErr w:type="gramEnd"/>
    </w:p>
    <w:p w14:paraId="697C2DBE" w14:textId="77777777" w:rsidR="005036AF" w:rsidRDefault="005036AF" w:rsidP="005036AF"/>
    <w:p w14:paraId="5BF3C077" w14:textId="52CFA789" w:rsidR="005036AF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 xml:space="preserve">ssue has been raised regarding concerns that the volumes listed in the Drug Tariff and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for Xarelto 1mg/ml granules for oral suspension do not reflect the actual usable volumes of the suspension after reconstitution which are not defined in the SmPC and packaging.</w:t>
      </w:r>
    </w:p>
    <w:p w14:paraId="312B8B65" w14:textId="77777777" w:rsidR="005036AF" w:rsidRDefault="005036AF" w:rsidP="005036AF">
      <w:pPr>
        <w:rPr>
          <w:rFonts w:ascii="Arial" w:hAnsi="Arial" w:cs="Arial"/>
        </w:rPr>
      </w:pPr>
    </w:p>
    <w:p w14:paraId="6E8F6653" w14:textId="77777777" w:rsidR="005036AF" w:rsidRPr="000F191A" w:rsidRDefault="005036AF" w:rsidP="005036AF">
      <w:pPr>
        <w:rPr>
          <w:rFonts w:ascii="Arial" w:eastAsiaTheme="minorHAnsi" w:hAnsi="Arial" w:cs="Arial"/>
        </w:rPr>
      </w:pPr>
      <w:r w:rsidRPr="000F191A">
        <w:rPr>
          <w:rFonts w:ascii="Arial" w:hAnsi="Arial" w:cs="Arial"/>
        </w:rPr>
        <w:t xml:space="preserve">The </w:t>
      </w:r>
      <w:proofErr w:type="spellStart"/>
      <w:r w:rsidRPr="000F191A">
        <w:rPr>
          <w:rFonts w:ascii="Arial" w:hAnsi="Arial" w:cs="Arial"/>
        </w:rPr>
        <w:t>dm+d</w:t>
      </w:r>
      <w:proofErr w:type="spellEnd"/>
      <w:r w:rsidRPr="000F191A">
        <w:rPr>
          <w:rFonts w:ascii="Arial" w:hAnsi="Arial" w:cs="Arial"/>
        </w:rPr>
        <w:t xml:space="preserve">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29B12EDD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we will shortly be updating the pack sizes in </w:t>
      </w:r>
      <w:proofErr w:type="spellStart"/>
      <w:r w:rsidR="005036AF" w:rsidRPr="0058341A">
        <w:rPr>
          <w:rFonts w:ascii="Arial" w:hAnsi="Arial" w:cs="Arial"/>
        </w:rPr>
        <w:t>dm+d</w:t>
      </w:r>
      <w:proofErr w:type="spellEnd"/>
      <w:r w:rsidR="005036AF" w:rsidRPr="0058341A">
        <w:rPr>
          <w:rFonts w:ascii="Arial" w:hAnsi="Arial" w:cs="Arial"/>
        </w:rPr>
        <w:t xml:space="preserve"> to reflect the volumes of water added for reconstitution (rather than the bottle sizes) as follows:</w:t>
      </w: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6903C8C1" w14:textId="77777777" w:rsidR="0070763F" w:rsidRDefault="0070763F" w:rsidP="005036AF">
      <w:pPr>
        <w:rPr>
          <w:rFonts w:ascii="Arial" w:hAnsi="Arial" w:cs="Arial"/>
          <w:lang w:val="en-GB"/>
          <w14:ligatures w14:val="standardContextual"/>
        </w:rPr>
      </w:pP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77777777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1477A9CE" w14:textId="77777777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9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6C9031EF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787E8387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3640617C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1FA0EEEE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3EB3B8BB" w14:textId="77777777" w:rsidR="00B02DC8" w:rsidRDefault="00B02DC8" w:rsidP="004031E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</w:p>
    <w:p w14:paraId="34E2878C" w14:textId="56BD7EBB" w:rsidR="004031EB" w:rsidRPr="0091366C" w:rsidRDefault="004031EB" w:rsidP="004031EB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val="en-GB" w:eastAsia="en-GB"/>
        </w:rPr>
      </w:pPr>
      <w:r w:rsidRPr="0091366C">
        <w:rPr>
          <w:rStyle w:val="Strong"/>
          <w:rFonts w:ascii="Arial" w:hAnsi="Arial" w:cs="Arial"/>
          <w:u w:val="single"/>
        </w:rPr>
        <w:t xml:space="preserve">Price Change: Ongentys 50mg capsules (BIAL Pharma UK Ltd) – 30 </w:t>
      </w:r>
      <w:proofErr w:type="gramStart"/>
      <w:r w:rsidRPr="0091366C">
        <w:rPr>
          <w:rStyle w:val="Strong"/>
          <w:rFonts w:ascii="Arial" w:hAnsi="Arial" w:cs="Arial"/>
          <w:u w:val="single"/>
        </w:rPr>
        <w:t>capsule</w:t>
      </w:r>
      <w:proofErr w:type="gramEnd"/>
    </w:p>
    <w:p w14:paraId="7176D189" w14:textId="77777777" w:rsidR="004031EB" w:rsidRPr="0091366C" w:rsidRDefault="004031EB" w:rsidP="004031EB">
      <w:pPr>
        <w:rPr>
          <w:rFonts w:ascii="Arial" w:hAnsi="Arial" w:cs="Arial"/>
        </w:rPr>
      </w:pPr>
    </w:p>
    <w:p w14:paraId="76516024" w14:textId="77777777" w:rsidR="004031EB" w:rsidRPr="0091366C" w:rsidRDefault="004031EB" w:rsidP="004031EB">
      <w:pPr>
        <w:rPr>
          <w:rStyle w:val="ui-provider"/>
          <w:rFonts w:ascii="Arial" w:hAnsi="Arial" w:cs="Arial"/>
        </w:rPr>
      </w:pPr>
      <w:r w:rsidRPr="0091366C">
        <w:rPr>
          <w:rStyle w:val="ui-provider"/>
          <w:rFonts w:ascii="Arial" w:hAnsi="Arial" w:cs="Arial"/>
        </w:rPr>
        <w:t>The price of Ongentys (</w:t>
      </w:r>
      <w:proofErr w:type="spellStart"/>
      <w:r w:rsidRPr="0091366C">
        <w:rPr>
          <w:rStyle w:val="ui-provider"/>
          <w:rFonts w:ascii="Arial" w:hAnsi="Arial" w:cs="Arial"/>
        </w:rPr>
        <w:t>Opicapone</w:t>
      </w:r>
      <w:proofErr w:type="spellEnd"/>
      <w:r w:rsidRPr="0091366C">
        <w:rPr>
          <w:rStyle w:val="ui-provider"/>
          <w:rFonts w:ascii="Arial" w:hAnsi="Arial" w:cs="Arial"/>
        </w:rPr>
        <w:t xml:space="preserve">) 50mg capsules (BIAL Pharma UK Ltd) – 30 capsule pack has been updated to 5900p in </w:t>
      </w:r>
      <w:proofErr w:type="spellStart"/>
      <w:r w:rsidRPr="0091366C">
        <w:rPr>
          <w:rStyle w:val="ui-provider"/>
          <w:rFonts w:ascii="Arial" w:hAnsi="Arial" w:cs="Arial"/>
        </w:rPr>
        <w:t>dm+d</w:t>
      </w:r>
      <w:proofErr w:type="spellEnd"/>
      <w:r w:rsidRPr="0091366C">
        <w:rPr>
          <w:rStyle w:val="ui-provider"/>
          <w:rFonts w:ascii="Arial" w:hAnsi="Arial" w:cs="Arial"/>
        </w:rPr>
        <w:t xml:space="preserve"> in January 2024. Reimbursement for this will be in-line with the correct timetable. </w:t>
      </w:r>
    </w:p>
    <w:p w14:paraId="2AE22A28" w14:textId="77777777" w:rsidR="004031EB" w:rsidRPr="0091366C" w:rsidRDefault="004031EB" w:rsidP="004031EB">
      <w:pPr>
        <w:rPr>
          <w:rStyle w:val="ui-provider"/>
          <w:rFonts w:ascii="Arial" w:hAnsi="Arial" w:cs="Arial"/>
        </w:rPr>
      </w:pPr>
      <w:r w:rsidRPr="0091366C">
        <w:rPr>
          <w:rStyle w:val="ui-provider"/>
          <w:rFonts w:ascii="Arial" w:hAnsi="Arial" w:cs="Arial"/>
        </w:rPr>
        <w:t xml:space="preserve">We did miss the February NHS England and Wales Drug Tariff cut-off </w:t>
      </w:r>
      <w:proofErr w:type="gramStart"/>
      <w:r w:rsidRPr="0091366C">
        <w:rPr>
          <w:rStyle w:val="ui-provider"/>
          <w:rFonts w:ascii="Arial" w:hAnsi="Arial" w:cs="Arial"/>
        </w:rPr>
        <w:t>date</w:t>
      </w:r>
      <w:proofErr w:type="gramEnd"/>
      <w:r w:rsidRPr="0091366C">
        <w:rPr>
          <w:rStyle w:val="ui-provider"/>
          <w:rFonts w:ascii="Arial" w:hAnsi="Arial" w:cs="Arial"/>
        </w:rPr>
        <w:t xml:space="preserve"> but the price update will be evident in the March 2024 NHS England and Wales Drug Tariff.</w:t>
      </w:r>
    </w:p>
    <w:p w14:paraId="370FDCFB" w14:textId="77777777" w:rsidR="004031EB" w:rsidRDefault="004031EB" w:rsidP="00B376A9">
      <w:pPr>
        <w:rPr>
          <w:rFonts w:ascii="Arial" w:hAnsi="Arial" w:cs="Arial"/>
          <w:b/>
          <w:bCs/>
          <w:u w:val="single"/>
        </w:rPr>
      </w:pPr>
    </w:p>
    <w:p w14:paraId="0E6E348C" w14:textId="77777777" w:rsidR="004031EB" w:rsidRDefault="004031EB" w:rsidP="00B376A9">
      <w:pPr>
        <w:rPr>
          <w:rFonts w:ascii="Arial" w:hAnsi="Arial" w:cs="Arial"/>
          <w:b/>
          <w:bCs/>
          <w:u w:val="single"/>
        </w:rPr>
      </w:pPr>
    </w:p>
    <w:p w14:paraId="3A9589AC" w14:textId="77777777" w:rsidR="00B02DC8" w:rsidRDefault="00B02DC8" w:rsidP="00B376A9">
      <w:pPr>
        <w:rPr>
          <w:rFonts w:ascii="Arial" w:hAnsi="Arial" w:cs="Arial"/>
          <w:b/>
          <w:bCs/>
          <w:u w:val="single"/>
        </w:rPr>
      </w:pPr>
    </w:p>
    <w:p w14:paraId="3CA8B4BF" w14:textId="0FC2ADE3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1A2F62">
        <w:rPr>
          <w:rFonts w:ascii="Arial" w:hAnsi="Arial" w:cs="Arial"/>
          <w:b/>
          <w:bCs/>
          <w:u w:val="single"/>
        </w:rPr>
        <w:t>dm+d</w:t>
      </w:r>
      <w:proofErr w:type="spellEnd"/>
      <w:r w:rsidRPr="001A2F62">
        <w:rPr>
          <w:rFonts w:ascii="Arial" w:hAnsi="Arial" w:cs="Arial"/>
          <w:b/>
          <w:bCs/>
          <w:u w:val="single"/>
        </w:rPr>
        <w:t xml:space="preserve">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B376A9">
        <w:rPr>
          <w:rFonts w:ascii="Arial" w:hAnsi="Arial" w:cs="Arial"/>
        </w:rPr>
        <w:t>dm+d</w:t>
      </w:r>
      <w:proofErr w:type="spellEnd"/>
      <w:r w:rsidRPr="00B376A9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0D914168" w14:textId="77777777" w:rsid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20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2108D6F0" w14:textId="77777777" w:rsidR="00C77711" w:rsidRDefault="00C77711" w:rsidP="00C77711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4CB4E4E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362AA8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F56AC9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6C6470C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9C3DC4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4D7231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C0790D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40D79AD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401203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07B895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1D420B0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D9BDA39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06ED44E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B335AD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77AB9D6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2E58CB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CEF97A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548E01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AA82C6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964A54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7124B41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91A027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D5575E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526B2A3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818387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4696FE6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FE54A2C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F7FF6BD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D80698F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D24002D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06E926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C492C59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D320ED3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6A06A9D" w14:textId="77777777" w:rsidR="00B02DC8" w:rsidRDefault="00B02DC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146F8DD2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19E6FE84" w14:textId="77777777" w:rsidTr="0067279D">
        <w:trPr>
          <w:trHeight w:val="258"/>
        </w:trPr>
        <w:tc>
          <w:tcPr>
            <w:tcW w:w="3964" w:type="dxa"/>
          </w:tcPr>
          <w:p w14:paraId="69788A22" w14:textId="5817BCB5" w:rsidR="00BF2EC3" w:rsidRDefault="004C71A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20mg capsules</w:t>
            </w:r>
          </w:p>
        </w:tc>
        <w:tc>
          <w:tcPr>
            <w:tcW w:w="2268" w:type="dxa"/>
          </w:tcPr>
          <w:p w14:paraId="50582E0A" w14:textId="2B78E7B0" w:rsidR="00BF2EC3" w:rsidRDefault="00BD7B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42640311000001103</w:t>
            </w:r>
          </w:p>
        </w:tc>
        <w:tc>
          <w:tcPr>
            <w:tcW w:w="2127" w:type="dxa"/>
          </w:tcPr>
          <w:p w14:paraId="61EB20DA" w14:textId="3F16ED2F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5848A1" w14:textId="397BEC01" w:rsidR="00BF2EC3" w:rsidRDefault="00B82F4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F93">
              <w:rPr>
                <w:rFonts w:ascii="Arial" w:hAnsi="Arial" w:cs="Arial"/>
                <w:sz w:val="20"/>
                <w:szCs w:val="20"/>
              </w:rPr>
              <w:t>19/02/2024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9AABA96" w14:textId="77777777" w:rsidTr="0067279D">
        <w:trPr>
          <w:trHeight w:val="258"/>
        </w:trPr>
        <w:tc>
          <w:tcPr>
            <w:tcW w:w="3964" w:type="dxa"/>
          </w:tcPr>
          <w:p w14:paraId="74D6F9F7" w14:textId="13CA8A83" w:rsidR="00BF2EC3" w:rsidRDefault="002C63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60mg/ml oral suspension sugar free</w:t>
            </w:r>
          </w:p>
        </w:tc>
        <w:tc>
          <w:tcPr>
            <w:tcW w:w="2268" w:type="dxa"/>
          </w:tcPr>
          <w:p w14:paraId="76405F3B" w14:textId="00C8BF8B" w:rsidR="00BF2EC3" w:rsidRDefault="0003169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42640911000001102</w:t>
            </w:r>
          </w:p>
        </w:tc>
        <w:tc>
          <w:tcPr>
            <w:tcW w:w="2127" w:type="dxa"/>
          </w:tcPr>
          <w:p w14:paraId="1E9246DB" w14:textId="3DEA8997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6CB5131A" w14:textId="5625FFA6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786CBAC" w14:textId="77777777" w:rsidTr="0067279D">
        <w:trPr>
          <w:trHeight w:val="258"/>
        </w:trPr>
        <w:tc>
          <w:tcPr>
            <w:tcW w:w="3964" w:type="dxa"/>
          </w:tcPr>
          <w:p w14:paraId="15E2552D" w14:textId="0DA598BC" w:rsidR="00BF2EC3" w:rsidRDefault="00961E3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150mg tablets</w:t>
            </w:r>
          </w:p>
        </w:tc>
        <w:tc>
          <w:tcPr>
            <w:tcW w:w="2268" w:type="dxa"/>
          </w:tcPr>
          <w:p w14:paraId="26EA5C6B" w14:textId="42AD5C75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42641111000001106</w:t>
            </w:r>
          </w:p>
        </w:tc>
        <w:tc>
          <w:tcPr>
            <w:tcW w:w="2127" w:type="dxa"/>
          </w:tcPr>
          <w:p w14:paraId="07E829C6" w14:textId="52ED6328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974D8B" w14:textId="5CFA695A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0FEAE8E9" w14:textId="77777777" w:rsidTr="0067279D">
        <w:trPr>
          <w:trHeight w:val="258"/>
        </w:trPr>
        <w:tc>
          <w:tcPr>
            <w:tcW w:w="3964" w:type="dxa"/>
          </w:tcPr>
          <w:p w14:paraId="27651973" w14:textId="0FBF0632" w:rsidR="00BF2EC3" w:rsidRDefault="00D757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Nadolol 80mg tablets</w:t>
            </w:r>
          </w:p>
        </w:tc>
        <w:tc>
          <w:tcPr>
            <w:tcW w:w="2268" w:type="dxa"/>
          </w:tcPr>
          <w:p w14:paraId="6C8E21EC" w14:textId="16E0A156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42641311000001108</w:t>
            </w:r>
          </w:p>
        </w:tc>
        <w:tc>
          <w:tcPr>
            <w:tcW w:w="2127" w:type="dxa"/>
          </w:tcPr>
          <w:p w14:paraId="23B85013" w14:textId="41E344C9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E4ADC2" w14:textId="2B84F7B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12B4D697" w14:textId="77777777" w:rsidTr="0067279D">
        <w:trPr>
          <w:trHeight w:val="258"/>
        </w:trPr>
        <w:tc>
          <w:tcPr>
            <w:tcW w:w="3964" w:type="dxa"/>
          </w:tcPr>
          <w:p w14:paraId="13A9F04B" w14:textId="57AF3FA0" w:rsidR="00BF2EC3" w:rsidRDefault="003A5A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</w:t>
            </w:r>
            <w:r w:rsidR="00E544D2">
              <w:rPr>
                <w:rFonts w:ascii="Arial" w:hAnsi="Arial" w:cs="Arial"/>
                <w:sz w:val="20"/>
                <w:szCs w:val="20"/>
              </w:rPr>
              <w:t xml:space="preserve">sphate </w:t>
            </w:r>
            <w:proofErr w:type="spellStart"/>
            <w:r w:rsidR="00E544D2">
              <w:rPr>
                <w:rFonts w:ascii="Arial" w:hAnsi="Arial" w:cs="Arial"/>
                <w:sz w:val="20"/>
                <w:szCs w:val="20"/>
              </w:rPr>
              <w:t>Phebra</w:t>
            </w:r>
            <w:proofErr w:type="spellEnd"/>
            <w:r w:rsidR="00E544D2">
              <w:rPr>
                <w:rFonts w:ascii="Arial" w:hAnsi="Arial" w:cs="Arial"/>
                <w:sz w:val="20"/>
                <w:szCs w:val="20"/>
              </w:rPr>
              <w:t xml:space="preserve"> effervescent tablets</w:t>
            </w:r>
          </w:p>
        </w:tc>
        <w:tc>
          <w:tcPr>
            <w:tcW w:w="2268" w:type="dxa"/>
          </w:tcPr>
          <w:p w14:paraId="79742C55" w14:textId="67D7EC93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42641611000001103</w:t>
            </w:r>
          </w:p>
        </w:tc>
        <w:tc>
          <w:tcPr>
            <w:tcW w:w="2127" w:type="dxa"/>
          </w:tcPr>
          <w:p w14:paraId="78D5B6D5" w14:textId="42C4A9EB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D3F042" w14:textId="78062D65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F6938" w:rsidRPr="00271D16" w14:paraId="498A960A" w14:textId="77777777" w:rsidTr="0067279D">
        <w:trPr>
          <w:trHeight w:val="258"/>
        </w:trPr>
        <w:tc>
          <w:tcPr>
            <w:tcW w:w="3964" w:type="dxa"/>
          </w:tcPr>
          <w:p w14:paraId="3B34D24F" w14:textId="79B7A3C5" w:rsidR="00FF6938" w:rsidRDefault="001B273A" w:rsidP="001B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5mg/2.5ml nebulizer liquid unit dose vials</w:t>
            </w:r>
          </w:p>
        </w:tc>
        <w:tc>
          <w:tcPr>
            <w:tcW w:w="2268" w:type="dxa"/>
          </w:tcPr>
          <w:p w14:paraId="7474F811" w14:textId="1053207C" w:rsidR="00FF6938" w:rsidRDefault="005C3E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465D8D13" w14:textId="609101FD" w:rsidR="00FF6938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DF9F722" w14:textId="1E811758" w:rsidR="00FF6938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bookmarkEnd w:id="0"/>
    </w:tbl>
    <w:p w14:paraId="7E9CFC15" w14:textId="77777777" w:rsidR="00B772E4" w:rsidRDefault="00B772E4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938FA90" w14:textId="61AC2898" w:rsidR="002C2F48" w:rsidRPr="00A96D90" w:rsidRDefault="002C241B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0E002602" w14:textId="4E1DD460" w:rsidR="00A96D90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2A6CE5" w:rsidRPr="002A6CE5">
        <w:rPr>
          <w:rFonts w:ascii="Arial" w:hAnsi="Arial" w:cs="Arial"/>
        </w:rPr>
        <w:t>.</w:t>
      </w:r>
    </w:p>
    <w:p w14:paraId="7022C580" w14:textId="77777777" w:rsidR="00A96D90" w:rsidRDefault="00A96D9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C7034E6" w14:textId="77777777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6428737" w14:textId="5F901428" w:rsidR="0030361F" w:rsidRDefault="0045045E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following concepts will be invalidated mid-</w:t>
      </w:r>
      <w:proofErr w:type="spellStart"/>
      <w:r>
        <w:rPr>
          <w:rFonts w:ascii="Arial" w:eastAsia="Times New Roman" w:hAnsi="Arial" w:cs="Arial"/>
          <w:bCs/>
        </w:rPr>
        <w:t>March.</w:t>
      </w:r>
      <w:r w:rsidR="00997E93">
        <w:rPr>
          <w:rFonts w:ascii="Arial" w:eastAsia="Times New Roman" w:hAnsi="Arial" w:cs="Arial"/>
          <w:bCs/>
        </w:rPr>
        <w:t>These</w:t>
      </w:r>
      <w:proofErr w:type="spellEnd"/>
      <w:r w:rsidR="00997E93">
        <w:rPr>
          <w:rFonts w:ascii="Arial" w:eastAsia="Times New Roman" w:hAnsi="Arial" w:cs="Arial"/>
          <w:bCs/>
        </w:rPr>
        <w:t xml:space="preserve"> products were added erroneously. The company have presented new information</w:t>
      </w:r>
      <w:r w:rsidR="007C086D">
        <w:rPr>
          <w:rFonts w:ascii="Arial" w:eastAsia="Times New Roman" w:hAnsi="Arial" w:cs="Arial"/>
          <w:bCs/>
        </w:rPr>
        <w:t xml:space="preserve"> here resulting in the</w:t>
      </w:r>
      <w:r w:rsidR="00A431D2">
        <w:rPr>
          <w:rFonts w:ascii="Arial" w:eastAsia="Times New Roman" w:hAnsi="Arial" w:cs="Arial"/>
          <w:bCs/>
        </w:rPr>
        <w:t>se</w:t>
      </w:r>
      <w:r w:rsidR="007C086D">
        <w:rPr>
          <w:rFonts w:ascii="Arial" w:eastAsia="Times New Roman" w:hAnsi="Arial" w:cs="Arial"/>
          <w:bCs/>
        </w:rPr>
        <w:t xml:space="preserve"> product</w:t>
      </w:r>
      <w:r w:rsidR="00BE6EEA">
        <w:rPr>
          <w:rFonts w:ascii="Arial" w:eastAsia="Times New Roman" w:hAnsi="Arial" w:cs="Arial"/>
          <w:bCs/>
        </w:rPr>
        <w:t>s</w:t>
      </w:r>
      <w:r w:rsidR="007C086D">
        <w:rPr>
          <w:rFonts w:ascii="Arial" w:eastAsia="Times New Roman" w:hAnsi="Arial" w:cs="Arial"/>
          <w:bCs/>
        </w:rPr>
        <w:t xml:space="preserve"> now having a ‘branding’ and therefore they have had to be reauthored.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03ECF3FA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AA8B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7A26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38CAD43F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6E1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 effervescent granules sachets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A7D8" w14:textId="223AAA5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</w:t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AEB6B6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95D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38897111000001108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4E1" w14:textId="0B0B924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9194BA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9206" w14:textId="0A01098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E119" w14:textId="0F88A84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C7C3D4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42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3249811000001107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9439" w14:textId="5033A63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13E2E80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0B5" w14:textId="76664D1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5283" w14:textId="0D9E391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2314A8C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C63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B3B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42637811000001105</w:t>
            </w:r>
          </w:p>
        </w:tc>
      </w:tr>
      <w:tr w:rsidR="0045045E" w:rsidRPr="0045045E" w14:paraId="71F5D0ED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075" w14:textId="64D6BE7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745C" w14:textId="1D5650F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</w:tr>
      <w:tr w:rsidR="0045045E" w:rsidRPr="0045045E" w14:paraId="1D56C203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F65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37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42637911000001100</w:t>
            </w:r>
          </w:p>
        </w:tc>
      </w:tr>
    </w:tbl>
    <w:p w14:paraId="245DC1C3" w14:textId="77777777" w:rsidR="0045045E" w:rsidRPr="0045045E" w:rsidRDefault="0045045E" w:rsidP="0045045E">
      <w:pPr>
        <w:rPr>
          <w:rFonts w:ascii="Calibri" w:eastAsia="Calibri" w:hAnsi="Calibri" w:cs="Calibri"/>
          <w:sz w:val="22"/>
          <w:szCs w:val="22"/>
          <w:lang w:val="en-GB"/>
          <w14:ligatures w14:val="standardContextu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7254E3AB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1A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DED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7E8434C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1EF7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3.5g/dose effervescent granules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CFB6" w14:textId="1E981B9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</w:t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5DD178F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E6CC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3776211000001106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F54D" w14:textId="1DB6463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0A6FA36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8E72" w14:textId="51976D7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88C6" w14:textId="35B415B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C0CCA2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9AC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5766" w14:textId="688F1F5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436FFA11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36A7" w14:textId="1919D0CC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8CE4" w14:textId="32B67E6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1DE16BA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45F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6B1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42638011000001103</w:t>
            </w:r>
          </w:p>
        </w:tc>
      </w:tr>
      <w:tr w:rsidR="0045045E" w:rsidRPr="0045045E" w14:paraId="219C5D62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B964" w14:textId="1F6FE35E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098" w14:textId="245DBC6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</w:tr>
      <w:tr w:rsidR="0045045E" w:rsidRPr="0045045E" w14:paraId="31600F6E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3D5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42592011000001100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F3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42638111000001102</w:t>
            </w:r>
          </w:p>
        </w:tc>
      </w:tr>
    </w:tbl>
    <w:p w14:paraId="3D82AB6F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0195423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1F03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196C" w14:textId="77777777" w:rsidR="001F039C" w:rsidRDefault="001F039C">
      <w:r>
        <w:separator/>
      </w:r>
    </w:p>
  </w:endnote>
  <w:endnote w:type="continuationSeparator" w:id="0">
    <w:p w14:paraId="2CE00F36" w14:textId="77777777" w:rsidR="001F039C" w:rsidRDefault="001F039C">
      <w:r>
        <w:continuationSeparator/>
      </w:r>
    </w:p>
  </w:endnote>
  <w:endnote w:type="continuationNotice" w:id="1">
    <w:p w14:paraId="646D9A76" w14:textId="77777777" w:rsidR="001F039C" w:rsidRDefault="001F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2C2A" w14:textId="77777777" w:rsidR="001F039C" w:rsidRDefault="001F039C">
      <w:r>
        <w:separator/>
      </w:r>
    </w:p>
  </w:footnote>
  <w:footnote w:type="continuationSeparator" w:id="0">
    <w:p w14:paraId="655E507C" w14:textId="77777777" w:rsidR="001F039C" w:rsidRDefault="001F039C">
      <w:r>
        <w:continuationSeparator/>
      </w:r>
    </w:p>
  </w:footnote>
  <w:footnote w:type="continuationNotice" w:id="1">
    <w:p w14:paraId="0A71C077" w14:textId="77777777" w:rsidR="001F039C" w:rsidRDefault="001F0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8"/>
  </w:num>
  <w:num w:numId="2" w16cid:durableId="2019499158">
    <w:abstractNumId w:val="29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9"/>
  </w:num>
  <w:num w:numId="6" w16cid:durableId="662321439">
    <w:abstractNumId w:val="31"/>
  </w:num>
  <w:num w:numId="7" w16cid:durableId="471563972">
    <w:abstractNumId w:val="23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4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27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0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2"/>
  </w:num>
  <w:num w:numId="30" w16cid:durableId="226186590">
    <w:abstractNumId w:val="22"/>
  </w:num>
  <w:num w:numId="31" w16cid:durableId="1768886185">
    <w:abstractNumId w:val="17"/>
  </w:num>
  <w:num w:numId="32" w16cid:durableId="1147287724">
    <w:abstractNumId w:val="20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1"/>
  </w:num>
  <w:num w:numId="36" w16cid:durableId="34503721">
    <w:abstractNumId w:val="26"/>
  </w:num>
  <w:num w:numId="37" w16cid:durableId="993604287">
    <w:abstractNumId w:val="16"/>
  </w:num>
  <w:num w:numId="38" w16cid:durableId="1003900043">
    <w:abstractNumId w:val="25"/>
  </w:num>
  <w:num w:numId="39" w16cid:durableId="1025981712">
    <w:abstractNumId w:val="28"/>
  </w:num>
  <w:num w:numId="40" w16cid:durableId="58526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4760"/>
    <w:rsid w:val="00004A87"/>
    <w:rsid w:val="0000571F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169A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323"/>
    <w:rsid w:val="00136415"/>
    <w:rsid w:val="00140884"/>
    <w:rsid w:val="001408D8"/>
    <w:rsid w:val="001417B0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085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A27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3F7709"/>
    <w:rsid w:val="00401D31"/>
    <w:rsid w:val="00401EE7"/>
    <w:rsid w:val="00401FDB"/>
    <w:rsid w:val="004031E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45E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C71AD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450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A2F"/>
    <w:rsid w:val="005C0C5B"/>
    <w:rsid w:val="005C3E0E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2E74"/>
    <w:rsid w:val="00603A48"/>
    <w:rsid w:val="006053B0"/>
    <w:rsid w:val="0060563F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3F6E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3D8B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61D0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450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86D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7BDF"/>
    <w:rsid w:val="009200A6"/>
    <w:rsid w:val="00920478"/>
    <w:rsid w:val="00920DF2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60652"/>
    <w:rsid w:val="0096082D"/>
    <w:rsid w:val="0096089A"/>
    <w:rsid w:val="00961E33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5736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31D2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77B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2DC8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1EB6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2F4E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CD1"/>
    <w:rsid w:val="00BE3B41"/>
    <w:rsid w:val="00BE6EEA"/>
    <w:rsid w:val="00BE7434"/>
    <w:rsid w:val="00BE74AA"/>
    <w:rsid w:val="00BF094D"/>
    <w:rsid w:val="00BF0FA3"/>
    <w:rsid w:val="00BF2EC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9F0"/>
    <w:rsid w:val="00CF1813"/>
    <w:rsid w:val="00CF1852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2CB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54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47B0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37815293-B5A8-4D5C-A303-2DBA80AD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0" Type="http://schemas.openxmlformats.org/officeDocument/2006/relationships/hyperlink" Target="mailto:medicinestandards@nhs.ne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dmdenquiries@nhsbsa.nhs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12173</CharactersWithSpaces>
  <SharedDoc>false</SharedDoc>
  <HLinks>
    <vt:vector size="60" baseType="variant">
      <vt:variant>
        <vt:i4>2949190</vt:i4>
      </vt:variant>
      <vt:variant>
        <vt:i4>27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7143499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</vt:lpwstr>
      </vt:variant>
      <vt:variant>
        <vt:lpwstr/>
      </vt:variant>
      <vt:variant>
        <vt:i4>4849702</vt:i4>
      </vt:variant>
      <vt:variant>
        <vt:i4>15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2024-02-15T18:32:00Z</cp:lastPrinted>
  <dcterms:created xsi:type="dcterms:W3CDTF">2024-02-22T12:15:00Z</dcterms:created>
  <dcterms:modified xsi:type="dcterms:W3CDTF">2024-02-22T12:15:00Z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