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45AA836A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CB4A27">
              <w:rPr>
                <w:rFonts w:ascii="Arial" w:hAnsi="Arial" w:cs="Arial"/>
              </w:rPr>
              <w:t>11</w:t>
            </w:r>
            <w:r w:rsidR="00D2519A">
              <w:rPr>
                <w:rFonts w:ascii="Arial" w:hAnsi="Arial" w:cs="Arial"/>
              </w:rPr>
              <w:t xml:space="preserve"> </w:t>
            </w:r>
            <w:r w:rsidR="001D71E3">
              <w:rPr>
                <w:rFonts w:ascii="Arial" w:hAnsi="Arial" w:cs="Arial"/>
              </w:rPr>
              <w:t>Mar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757E52FC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1D71E3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</w:t>
      </w:r>
      <w:r w:rsidR="00CB4A27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000000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>The new Phase 2 drug forms were released in the TRUD extract Monday 15 January 2024,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  <w:rFonts w:ascii="Arial" w:hAnsi="Arial" w:cs="Arial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7EE0277C" w14:textId="77777777" w:rsidR="004F00B0" w:rsidRDefault="004F00B0" w:rsidP="00411516">
      <w:pPr>
        <w:rPr>
          <w:rStyle w:val="ui-provider"/>
          <w:rFonts w:ascii="Arial" w:hAnsi="Arial" w:cs="Arial"/>
        </w:rPr>
      </w:pPr>
    </w:p>
    <w:p w14:paraId="5D68E952" w14:textId="77777777" w:rsidR="005E2599" w:rsidRDefault="005E2599" w:rsidP="005E2599">
      <w:pPr>
        <w:rPr>
          <w:rStyle w:val="ui-provider"/>
          <w:rFonts w:eastAsiaTheme="minorHAnsi"/>
          <w:sz w:val="22"/>
          <w:szCs w:val="22"/>
        </w:rPr>
      </w:pPr>
      <w:r w:rsidRPr="005E2599">
        <w:rPr>
          <w:rStyle w:val="ui-provider"/>
          <w:rFonts w:ascii="Arial" w:hAnsi="Arial" w:cs="Arial"/>
        </w:rPr>
        <w:t>Please note that information about changes in Phase 2 to the existing forms of ‘</w:t>
      </w:r>
      <w:proofErr w:type="spellStart"/>
      <w:r w:rsidRPr="005E2599">
        <w:rPr>
          <w:rStyle w:val="ui-provider"/>
          <w:rFonts w:ascii="Arial" w:hAnsi="Arial" w:cs="Arial"/>
        </w:rPr>
        <w:t>Gastroenteral</w:t>
      </w:r>
      <w:proofErr w:type="spellEnd"/>
      <w:r w:rsidRPr="005E2599">
        <w:rPr>
          <w:rStyle w:val="ui-provider"/>
          <w:rFonts w:ascii="Arial" w:hAnsi="Arial" w:cs="Arial"/>
        </w:rPr>
        <w:t xml:space="preserve"> liquid’ and ‘Powder for </w:t>
      </w:r>
      <w:proofErr w:type="spellStart"/>
      <w:r w:rsidRPr="005E2599">
        <w:rPr>
          <w:rStyle w:val="ui-provider"/>
          <w:rFonts w:ascii="Arial" w:hAnsi="Arial" w:cs="Arial"/>
        </w:rPr>
        <w:t>gastroenteral</w:t>
      </w:r>
      <w:proofErr w:type="spellEnd"/>
      <w:r w:rsidRPr="005E2599">
        <w:rPr>
          <w:rStyle w:val="ui-provider"/>
          <w:rFonts w:ascii="Arial" w:hAnsi="Arial" w:cs="Arial"/>
        </w:rPr>
        <w:t xml:space="preserve"> liquid’ has been added under ‘</w:t>
      </w:r>
      <w:r w:rsidRPr="005E2599">
        <w:rPr>
          <w:rStyle w:val="ui-provider"/>
          <w:rFonts w:ascii="Arial" w:hAnsi="Arial" w:cs="Arial"/>
          <w:b/>
          <w:bCs/>
        </w:rPr>
        <w:t>Quarter 1 2024</w:t>
      </w:r>
      <w:r w:rsidRPr="005E2599">
        <w:rPr>
          <w:rStyle w:val="ui-provider"/>
          <w:rFonts w:ascii="Arial" w:hAnsi="Arial" w:cs="Arial"/>
        </w:rPr>
        <w:t>’ of ‘the ‘</w:t>
      </w:r>
      <w:hyperlink r:id="rId15" w:anchor="timeframes" w:history="1">
        <w:r w:rsidRPr="005E2599">
          <w:rPr>
            <w:rStyle w:val="Hyperlink"/>
            <w:rFonts w:ascii="Arial" w:hAnsi="Arial" w:cs="Arial"/>
          </w:rPr>
          <w:t>Timeframes</w:t>
        </w:r>
      </w:hyperlink>
      <w:r w:rsidRPr="005E2599">
        <w:rPr>
          <w:rStyle w:val="ui-provider"/>
          <w:rFonts w:ascii="Arial" w:hAnsi="Arial" w:cs="Arial"/>
        </w:rPr>
        <w:t>’ section of our webpage</w:t>
      </w:r>
    </w:p>
    <w:p w14:paraId="56B298E9" w14:textId="77777777" w:rsidR="004F00B0" w:rsidRDefault="004F00B0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5FEC2B79" w14:textId="77777777" w:rsidR="005E2599" w:rsidRDefault="005E2599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3D6D4F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3D6D4F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0D79E0C" w:rsidR="0007523B" w:rsidRDefault="0007523B" w:rsidP="00915F42">
            <w:pPr>
              <w:pStyle w:val="nhsd-t-body"/>
              <w:ind w:left="72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3D6D4F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3D85B5A8" w:rsidR="007B3450" w:rsidRPr="007B3450" w:rsidRDefault="007B3450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77777777" w:rsidR="007B3450" w:rsidRPr="007B3450" w:rsidRDefault="007B3450" w:rsidP="003B79D7">
            <w:pPr>
              <w:shd w:val="clear" w:color="auto" w:fill="FFFFFF"/>
              <w:jc w:val="center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07932082" w:rsidR="0007523B" w:rsidRPr="00074A8C" w:rsidRDefault="007B3450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</w:t>
            </w:r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live in </w:t>
            </w:r>
            <w:proofErr w:type="spellStart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19 February 2024</w:t>
            </w:r>
          </w:p>
        </w:tc>
      </w:tr>
      <w:tr w:rsidR="0007523B" w:rsidRPr="00910315" w14:paraId="08E0DAEF" w14:textId="5DA492F7" w:rsidTr="003D6D4F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922AF" w14:textId="77777777" w:rsidR="00956B33" w:rsidRPr="00956B33" w:rsidRDefault="00956B33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Theme="minorHAnsi" w:hAnsi="Arial" w:cs="Arial"/>
                <w:b w:val="0"/>
                <w:bCs w:val="0"/>
                <w:color w:val="3F525F"/>
              </w:rPr>
            </w:pPr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extract 11 March 2024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B5EAFB9" w14:textId="77777777" w:rsidR="001417B0" w:rsidRPr="003B79D7" w:rsidRDefault="001417B0" w:rsidP="00CE753E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3B79D7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4A880CA5" w14:textId="77777777" w:rsidR="001417B0" w:rsidRPr="001417B0" w:rsidRDefault="001417B0" w:rsidP="00CE753E">
            <w:pPr>
              <w:pStyle w:val="ListParagraph"/>
              <w:shd w:val="clear" w:color="auto" w:fill="FFFFFF"/>
              <w:ind w:left="144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6059F7DF" w14:textId="77777777" w:rsidR="001417B0" w:rsidRPr="003B79D7" w:rsidRDefault="001417B0" w:rsidP="00CE753E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3B79D7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76870F5C" w14:textId="77777777" w:rsidR="001417B0" w:rsidRPr="001417B0" w:rsidRDefault="001417B0" w:rsidP="00CE753E">
            <w:pPr>
              <w:pStyle w:val="ListParagraph"/>
              <w:shd w:val="clear" w:color="auto" w:fill="FFFFFF"/>
              <w:ind w:left="144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36652519" w14:textId="15085785" w:rsidR="001417B0" w:rsidRPr="003B79D7" w:rsidRDefault="001417B0" w:rsidP="00CE753E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3B79D7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614D007A" w14:textId="77777777" w:rsidR="001417B0" w:rsidRPr="001417B0" w:rsidRDefault="001417B0" w:rsidP="00CE753E">
            <w:pPr>
              <w:pStyle w:val="ListParagraph"/>
              <w:shd w:val="clear" w:color="auto" w:fill="FFFFFF"/>
              <w:ind w:left="144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DA6FBF4" w14:textId="621844B3" w:rsidR="0007523B" w:rsidRPr="003B79D7" w:rsidRDefault="001417B0" w:rsidP="00CE753E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  <w:r w:rsidRPr="003B79D7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</w:tc>
      </w:tr>
    </w:tbl>
    <w:p w14:paraId="2803EA60" w14:textId="77777777" w:rsidR="00477D64" w:rsidRDefault="00477D64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0A77910A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0B4DE403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7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350B1014" w14:textId="77777777" w:rsidR="00477D64" w:rsidRDefault="00477D64" w:rsidP="003F7709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700777E1" w14:textId="09CDBE52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8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67F159BB" w14:textId="77777777" w:rsidR="0098426C" w:rsidRDefault="0098426C" w:rsidP="005036AF">
      <w:pPr>
        <w:rPr>
          <w:rFonts w:ascii="Arial" w:hAnsi="Arial" w:cs="Arial"/>
          <w:b/>
          <w:bCs/>
          <w:u w:val="single"/>
        </w:rPr>
      </w:pPr>
    </w:p>
    <w:p w14:paraId="2548DC10" w14:textId="77777777" w:rsidR="00494CCF" w:rsidRDefault="00494CCF" w:rsidP="005036AF">
      <w:pPr>
        <w:rPr>
          <w:rFonts w:ascii="Arial" w:hAnsi="Arial" w:cs="Arial"/>
          <w:b/>
          <w:bCs/>
          <w:u w:val="single"/>
        </w:rPr>
      </w:pPr>
    </w:p>
    <w:p w14:paraId="0DEA1D8C" w14:textId="792BEDA5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Reconstitution</w:t>
      </w:r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lastRenderedPageBreak/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9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06093597" w14:textId="77777777" w:rsidR="00582B1F" w:rsidRDefault="00582B1F" w:rsidP="00B376A9">
      <w:pPr>
        <w:rPr>
          <w:rFonts w:ascii="Arial" w:hAnsi="Arial" w:cs="Arial"/>
          <w:b/>
          <w:bCs/>
          <w:u w:val="single"/>
        </w:rPr>
      </w:pPr>
    </w:p>
    <w:p w14:paraId="3CA8B4BF" w14:textId="3F4716F4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20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54D545" w14:textId="77777777" w:rsidR="00582B1F" w:rsidRDefault="00582B1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894F3AB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19E6FE84" w14:textId="77777777" w:rsidTr="0067279D">
        <w:trPr>
          <w:trHeight w:val="258"/>
        </w:trPr>
        <w:tc>
          <w:tcPr>
            <w:tcW w:w="3964" w:type="dxa"/>
          </w:tcPr>
          <w:p w14:paraId="69788A22" w14:textId="5817BCB5" w:rsidR="00BF2EC3" w:rsidRDefault="004C71A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20mg capsules</w:t>
            </w:r>
          </w:p>
        </w:tc>
        <w:tc>
          <w:tcPr>
            <w:tcW w:w="2268" w:type="dxa"/>
          </w:tcPr>
          <w:p w14:paraId="50582E0A" w14:textId="2B78E7B0" w:rsidR="00BF2EC3" w:rsidRDefault="00BD7B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42640311000001103</w:t>
            </w:r>
          </w:p>
        </w:tc>
        <w:tc>
          <w:tcPr>
            <w:tcW w:w="2127" w:type="dxa"/>
          </w:tcPr>
          <w:p w14:paraId="61EB20DA" w14:textId="3F16ED2F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5848A1" w14:textId="397BEC01" w:rsidR="00BF2EC3" w:rsidRDefault="00B82F4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93">
              <w:rPr>
                <w:rFonts w:ascii="Arial" w:hAnsi="Arial" w:cs="Arial"/>
                <w:sz w:val="20"/>
                <w:szCs w:val="20"/>
              </w:rPr>
              <w:t>19/02/2024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9AABA96" w14:textId="77777777" w:rsidTr="0067279D">
        <w:trPr>
          <w:trHeight w:val="258"/>
        </w:trPr>
        <w:tc>
          <w:tcPr>
            <w:tcW w:w="3964" w:type="dxa"/>
          </w:tcPr>
          <w:p w14:paraId="74D6F9F7" w14:textId="13CA8A83" w:rsidR="00BF2EC3" w:rsidRDefault="002C63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60mg/ml oral suspension sugar free</w:t>
            </w:r>
          </w:p>
        </w:tc>
        <w:tc>
          <w:tcPr>
            <w:tcW w:w="2268" w:type="dxa"/>
          </w:tcPr>
          <w:p w14:paraId="76405F3B" w14:textId="00C8BF8B" w:rsidR="00BF2EC3" w:rsidRDefault="0003169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42640911000001102</w:t>
            </w:r>
          </w:p>
        </w:tc>
        <w:tc>
          <w:tcPr>
            <w:tcW w:w="2127" w:type="dxa"/>
          </w:tcPr>
          <w:p w14:paraId="1E9246DB" w14:textId="3DEA8997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6CB5131A" w14:textId="5625FFA6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786CBAC" w14:textId="77777777" w:rsidTr="0067279D">
        <w:trPr>
          <w:trHeight w:val="258"/>
        </w:trPr>
        <w:tc>
          <w:tcPr>
            <w:tcW w:w="3964" w:type="dxa"/>
          </w:tcPr>
          <w:p w14:paraId="15E2552D" w14:textId="0DA598BC" w:rsidR="00BF2EC3" w:rsidRDefault="00961E3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150mg tablets</w:t>
            </w:r>
          </w:p>
        </w:tc>
        <w:tc>
          <w:tcPr>
            <w:tcW w:w="2268" w:type="dxa"/>
          </w:tcPr>
          <w:p w14:paraId="26EA5C6B" w14:textId="42AD5C75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42641111000001106</w:t>
            </w:r>
          </w:p>
        </w:tc>
        <w:tc>
          <w:tcPr>
            <w:tcW w:w="2127" w:type="dxa"/>
          </w:tcPr>
          <w:p w14:paraId="07E829C6" w14:textId="52ED6328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974D8B" w14:textId="5CFA695A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0FEAE8E9" w14:textId="77777777" w:rsidTr="0067279D">
        <w:trPr>
          <w:trHeight w:val="258"/>
        </w:trPr>
        <w:tc>
          <w:tcPr>
            <w:tcW w:w="3964" w:type="dxa"/>
          </w:tcPr>
          <w:p w14:paraId="27651973" w14:textId="0FBF0632" w:rsidR="00BF2EC3" w:rsidRDefault="00D757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Nadolol 80mg tablets</w:t>
            </w:r>
          </w:p>
        </w:tc>
        <w:tc>
          <w:tcPr>
            <w:tcW w:w="2268" w:type="dxa"/>
          </w:tcPr>
          <w:p w14:paraId="6C8E21EC" w14:textId="16E0A156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42641311000001108</w:t>
            </w:r>
          </w:p>
        </w:tc>
        <w:tc>
          <w:tcPr>
            <w:tcW w:w="2127" w:type="dxa"/>
          </w:tcPr>
          <w:p w14:paraId="23B85013" w14:textId="41E344C9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E4ADC2" w14:textId="2B84F7B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12B4D697" w14:textId="77777777" w:rsidTr="0067279D">
        <w:trPr>
          <w:trHeight w:val="258"/>
        </w:trPr>
        <w:tc>
          <w:tcPr>
            <w:tcW w:w="3964" w:type="dxa"/>
          </w:tcPr>
          <w:p w14:paraId="13A9F04B" w14:textId="57AF3FA0" w:rsidR="00BF2EC3" w:rsidRDefault="003A5A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</w:t>
            </w:r>
            <w:r w:rsidR="00E544D2">
              <w:rPr>
                <w:rFonts w:ascii="Arial" w:hAnsi="Arial" w:cs="Arial"/>
                <w:sz w:val="20"/>
                <w:szCs w:val="20"/>
              </w:rPr>
              <w:t xml:space="preserve">sphate </w:t>
            </w:r>
            <w:proofErr w:type="spellStart"/>
            <w:r w:rsidR="00E544D2">
              <w:rPr>
                <w:rFonts w:ascii="Arial" w:hAnsi="Arial" w:cs="Arial"/>
                <w:sz w:val="20"/>
                <w:szCs w:val="20"/>
              </w:rPr>
              <w:t>Phebra</w:t>
            </w:r>
            <w:proofErr w:type="spellEnd"/>
            <w:r w:rsidR="00E544D2">
              <w:rPr>
                <w:rFonts w:ascii="Arial" w:hAnsi="Arial" w:cs="Arial"/>
                <w:sz w:val="20"/>
                <w:szCs w:val="20"/>
              </w:rPr>
              <w:t xml:space="preserve"> effervescent tablets</w:t>
            </w:r>
          </w:p>
        </w:tc>
        <w:tc>
          <w:tcPr>
            <w:tcW w:w="2268" w:type="dxa"/>
          </w:tcPr>
          <w:p w14:paraId="79742C55" w14:textId="67D7EC93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42641611000001103</w:t>
            </w:r>
          </w:p>
        </w:tc>
        <w:tc>
          <w:tcPr>
            <w:tcW w:w="2127" w:type="dxa"/>
          </w:tcPr>
          <w:p w14:paraId="78D5B6D5" w14:textId="42C4A9EB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D3F042" w14:textId="78062D65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F6938" w:rsidRPr="00271D16" w14:paraId="498A960A" w14:textId="77777777" w:rsidTr="0067279D">
        <w:trPr>
          <w:trHeight w:val="258"/>
        </w:trPr>
        <w:tc>
          <w:tcPr>
            <w:tcW w:w="3964" w:type="dxa"/>
          </w:tcPr>
          <w:p w14:paraId="3B34D24F" w14:textId="79B7A3C5" w:rsidR="00FF6938" w:rsidRDefault="001B273A" w:rsidP="001B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5mg/2.5ml nebulizer liquid unit dose vials</w:t>
            </w:r>
          </w:p>
        </w:tc>
        <w:tc>
          <w:tcPr>
            <w:tcW w:w="2268" w:type="dxa"/>
          </w:tcPr>
          <w:p w14:paraId="7474F811" w14:textId="1053207C" w:rsidR="00FF6938" w:rsidRDefault="005C3E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465D8D13" w14:textId="609101FD" w:rsidR="00FF6938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DF9F722" w14:textId="1E811758" w:rsidR="00FF6938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bookmarkEnd w:id="0"/>
    </w:tbl>
    <w:p w14:paraId="285FAE95" w14:textId="77777777" w:rsidR="00477D64" w:rsidRDefault="00477D64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938FA90" w14:textId="1C133833" w:rsidR="002C2F48" w:rsidRPr="00A96D90" w:rsidRDefault="002C241B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E002602" w14:textId="4E1DD460" w:rsidR="00A96D90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2A6CE5" w:rsidRPr="002A6CE5">
        <w:rPr>
          <w:rFonts w:ascii="Arial" w:hAnsi="Arial" w:cs="Arial"/>
        </w:rPr>
        <w:t>.</w:t>
      </w:r>
    </w:p>
    <w:p w14:paraId="7022C580" w14:textId="77777777" w:rsidR="00A96D90" w:rsidRDefault="00A96D9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683F0FF6" w:rsidR="0030361F" w:rsidRDefault="0045045E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following concepts will be invalidated mid-</w:t>
      </w:r>
      <w:r w:rsidR="00494CCF">
        <w:rPr>
          <w:rFonts w:ascii="Arial" w:eastAsia="Times New Roman" w:hAnsi="Arial" w:cs="Arial"/>
          <w:bCs/>
        </w:rPr>
        <w:t>March. These</w:t>
      </w:r>
      <w:r w:rsidR="00997E93">
        <w:rPr>
          <w:rFonts w:ascii="Arial" w:eastAsia="Times New Roman" w:hAnsi="Arial" w:cs="Arial"/>
          <w:bCs/>
        </w:rPr>
        <w:t xml:space="preserve"> products were added erroneously. The company have presented new information</w:t>
      </w:r>
      <w:r w:rsidR="007C086D">
        <w:rPr>
          <w:rFonts w:ascii="Arial" w:eastAsia="Times New Roman" w:hAnsi="Arial" w:cs="Arial"/>
          <w:bCs/>
        </w:rPr>
        <w:t xml:space="preserve"> here resulting in the</w:t>
      </w:r>
      <w:r w:rsidR="00A431D2">
        <w:rPr>
          <w:rFonts w:ascii="Arial" w:eastAsia="Times New Roman" w:hAnsi="Arial" w:cs="Arial"/>
          <w:bCs/>
        </w:rPr>
        <w:t>se</w:t>
      </w:r>
      <w:r w:rsidR="007C086D">
        <w:rPr>
          <w:rFonts w:ascii="Arial" w:eastAsia="Times New Roman" w:hAnsi="Arial" w:cs="Arial"/>
          <w:bCs/>
        </w:rPr>
        <w:t xml:space="preserve"> product</w:t>
      </w:r>
      <w:r w:rsidR="00BE6EEA">
        <w:rPr>
          <w:rFonts w:ascii="Arial" w:eastAsia="Times New Roman" w:hAnsi="Arial" w:cs="Arial"/>
          <w:bCs/>
        </w:rPr>
        <w:t>s</w:t>
      </w:r>
      <w:r w:rsidR="007C086D">
        <w:rPr>
          <w:rFonts w:ascii="Arial" w:eastAsia="Times New Roman" w:hAnsi="Arial" w:cs="Arial"/>
          <w:bCs/>
        </w:rPr>
        <w:t xml:space="preserve"> now having a ‘branding’ and therefore they have had to be reauthored.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03ECF3FA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AA8B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A26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38CAD43F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E1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 effervescent granules sachets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7D8" w14:textId="223AAA5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</w:t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AEB6B6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95D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38897111000001108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4E1" w14:textId="0B0B924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9194BA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9206" w14:textId="0A01098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119" w14:textId="0F88A84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C7C3D4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42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3249811000001107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439" w14:textId="5033A63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13E2E80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0B5" w14:textId="76664D1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283" w14:textId="0D9E391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2314A8C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63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B3B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42637811000001105</w:t>
            </w:r>
          </w:p>
        </w:tc>
      </w:tr>
      <w:tr w:rsidR="0045045E" w:rsidRPr="0045045E" w14:paraId="71F5D0ED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075" w14:textId="64D6BE7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45C" w14:textId="1D5650F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</w:tr>
      <w:tr w:rsidR="0045045E" w:rsidRPr="0045045E" w14:paraId="1D56C203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F65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37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42637911000001100</w:t>
            </w:r>
          </w:p>
        </w:tc>
      </w:tr>
    </w:tbl>
    <w:p w14:paraId="245DC1C3" w14:textId="77777777" w:rsidR="0045045E" w:rsidRPr="0045045E" w:rsidRDefault="0045045E" w:rsidP="0045045E">
      <w:pPr>
        <w:rPr>
          <w:rFonts w:ascii="Calibri" w:eastAsia="Calibri" w:hAnsi="Calibri" w:cs="Calibri"/>
          <w:sz w:val="22"/>
          <w:szCs w:val="22"/>
          <w:lang w:val="en-GB"/>
          <w14:ligatures w14:val="standardContextu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7254E3AB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1A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ED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7E8434C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EF7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3.5g/dose effervescent granules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CFB6" w14:textId="1E981B9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</w:t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5DD178F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E6CC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3776211000001106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54D" w14:textId="1DB6463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0A6FA36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E72" w14:textId="51976D7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88C6" w14:textId="35B415B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C0CCA2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AC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766" w14:textId="688F1F5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436FFA11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36A7" w14:textId="1919D0CC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8CE4" w14:textId="32B67E6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1DE16BA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45F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6B1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42638011000001103</w:t>
            </w:r>
          </w:p>
        </w:tc>
      </w:tr>
      <w:tr w:rsidR="0045045E" w:rsidRPr="0045045E" w14:paraId="219C5D62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964" w14:textId="1F6FE35E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098" w14:textId="245DBC6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</w:tr>
      <w:tr w:rsidR="0045045E" w:rsidRPr="0045045E" w14:paraId="31600F6E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D5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42592011000001100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3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42638111000001102</w:t>
            </w:r>
          </w:p>
        </w:tc>
      </w:tr>
    </w:tbl>
    <w:p w14:paraId="3D82AB6F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0195423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C05F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80DC" w14:textId="77777777" w:rsidR="00C05FA3" w:rsidRDefault="00C05FA3">
      <w:r>
        <w:separator/>
      </w:r>
    </w:p>
  </w:endnote>
  <w:endnote w:type="continuationSeparator" w:id="0">
    <w:p w14:paraId="1A864286" w14:textId="77777777" w:rsidR="00C05FA3" w:rsidRDefault="00C05FA3">
      <w:r>
        <w:continuationSeparator/>
      </w:r>
    </w:p>
  </w:endnote>
  <w:endnote w:type="continuationNotice" w:id="1">
    <w:p w14:paraId="057E76CF" w14:textId="77777777" w:rsidR="00C05FA3" w:rsidRDefault="00C05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8ED7" w14:textId="77777777" w:rsidR="00C05FA3" w:rsidRDefault="00C05FA3">
      <w:r>
        <w:separator/>
      </w:r>
    </w:p>
  </w:footnote>
  <w:footnote w:type="continuationSeparator" w:id="0">
    <w:p w14:paraId="5B62F76B" w14:textId="77777777" w:rsidR="00C05FA3" w:rsidRDefault="00C05FA3">
      <w:r>
        <w:continuationSeparator/>
      </w:r>
    </w:p>
  </w:footnote>
  <w:footnote w:type="continuationNotice" w:id="1">
    <w:p w14:paraId="5B54C8D1" w14:textId="77777777" w:rsidR="00C05FA3" w:rsidRDefault="00C05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FC6"/>
    <w:rsid w:val="00004760"/>
    <w:rsid w:val="00004A87"/>
    <w:rsid w:val="0000571F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169A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36415"/>
    <w:rsid w:val="00140884"/>
    <w:rsid w:val="001408D8"/>
    <w:rsid w:val="001417B0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D71E3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A27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45E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D64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4CCF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C71AD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450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1F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A2F"/>
    <w:rsid w:val="005C0C5B"/>
    <w:rsid w:val="005C3E0E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599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2E74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3F6E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042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86D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5F42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56B33"/>
    <w:rsid w:val="00960652"/>
    <w:rsid w:val="0096082D"/>
    <w:rsid w:val="0096089A"/>
    <w:rsid w:val="00961E33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31D2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77B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2DC8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2F4E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CD1"/>
    <w:rsid w:val="00BE3B41"/>
    <w:rsid w:val="00BE6EEA"/>
    <w:rsid w:val="00BE7434"/>
    <w:rsid w:val="00BE74AA"/>
    <w:rsid w:val="00BF094D"/>
    <w:rsid w:val="00BF0FA3"/>
    <w:rsid w:val="00BF2EC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53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2CB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54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47B0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D4E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37815293-B5A8-4D5C-A303-2DBA80A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nhsdigital.ukmeds@nhs.ne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0" Type="http://schemas.openxmlformats.org/officeDocument/2006/relationships/hyperlink" Target="mailto:medicinestandards@nhs.ne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dmdenquiries@nhsbsa.nh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12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11224</CharactersWithSpaces>
  <SharedDoc>false</SharedDoc>
  <HLinks>
    <vt:vector size="60" baseType="variant">
      <vt:variant>
        <vt:i4>2949190</vt:i4>
      </vt:variant>
      <vt:variant>
        <vt:i4>27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7143499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18</cp:revision>
  <cp:lastPrinted>2024-02-15T18:32:00Z</cp:lastPrinted>
  <dcterms:created xsi:type="dcterms:W3CDTF">2024-02-29T07:40:00Z</dcterms:created>
  <dcterms:modified xsi:type="dcterms:W3CDTF">2024-03-07T07:30:00Z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