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4E463" w14:textId="77777777" w:rsidR="006270AC" w:rsidRPr="006270AC" w:rsidRDefault="006270AC" w:rsidP="00B6361D">
      <w:pPr>
        <w:pStyle w:val="BodyText"/>
        <w:ind w:left="426"/>
        <w:rPr>
          <w:b/>
          <w:color w:val="FFFFFF" w:themeColor="background1"/>
          <w:sz w:val="24"/>
          <w:szCs w:val="24"/>
        </w:rPr>
      </w:pPr>
      <w:r w:rsidRPr="006270AC">
        <w:rPr>
          <w:noProof/>
          <w:sz w:val="8"/>
          <w:szCs w:val="8"/>
        </w:rPr>
        <w:drawing>
          <wp:anchor distT="0" distB="0" distL="114300" distR="114300" simplePos="0" relativeHeight="251662336" behindDoc="1" locked="0" layoutInCell="1" allowOverlap="1" wp14:anchorId="55359A8F" wp14:editId="1691CEAA">
            <wp:simplePos x="0" y="0"/>
            <wp:positionH relativeFrom="page">
              <wp:align>left</wp:align>
            </wp:positionH>
            <wp:positionV relativeFrom="margin">
              <wp:posOffset>-450850</wp:posOffset>
            </wp:positionV>
            <wp:extent cx="7551420" cy="1704975"/>
            <wp:effectExtent l="0" t="0" r="0" b="9525"/>
            <wp:wrapSquare wrapText="bothSides"/>
            <wp:docPr id="2125811226" name="Picture 2125811226" descr="NHSB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811226" name="Picture 2125811226" descr="NHSBSA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51420"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1A567C" w:rsidRPr="006270AC">
        <w:rPr>
          <w:noProof/>
          <w:color w:val="FFFFFF" w:themeColor="background1"/>
          <w:sz w:val="20"/>
          <w:szCs w:val="20"/>
        </w:rPr>
        <mc:AlternateContent>
          <mc:Choice Requires="wps">
            <w:drawing>
              <wp:anchor distT="0" distB="0" distL="114300" distR="114300" simplePos="0" relativeHeight="251660288" behindDoc="1" locked="0" layoutInCell="1" allowOverlap="1" wp14:anchorId="32A057A3" wp14:editId="3BB173ED">
                <wp:simplePos x="0" y="0"/>
                <wp:positionH relativeFrom="column">
                  <wp:posOffset>268605</wp:posOffset>
                </wp:positionH>
                <wp:positionV relativeFrom="paragraph">
                  <wp:posOffset>1386205</wp:posOffset>
                </wp:positionV>
                <wp:extent cx="2499545" cy="491924"/>
                <wp:effectExtent l="0" t="0" r="0" b="3810"/>
                <wp:wrapNone/>
                <wp:docPr id="5" name="Rectangle 1"/>
                <wp:cNvGraphicFramePr/>
                <a:graphic xmlns:a="http://schemas.openxmlformats.org/drawingml/2006/main">
                  <a:graphicData uri="http://schemas.microsoft.com/office/word/2010/wordprocessingShape">
                    <wps:wsp>
                      <wps:cNvSpPr/>
                      <wps:spPr>
                        <a:xfrm>
                          <a:off x="0" y="0"/>
                          <a:ext cx="2499545" cy="491924"/>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920EDA" id="Rectangle 1" o:spid="_x0000_s1026" style="position:absolute;margin-left:21.15pt;margin-top:109.15pt;width:196.8pt;height:38.7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" fillcolor="#005eb8" stroked="f" strokeweight="2pt"/>
            </w:pict>
          </mc:Fallback>
        </mc:AlternateContent>
      </w:r>
      <w:r w:rsidR="00E56D24" w:rsidRPr="006270AC">
        <w:rPr>
          <w:b/>
          <w:color w:val="FFFFFF" w:themeColor="background1"/>
          <w:sz w:val="24"/>
          <w:szCs w:val="24"/>
        </w:rPr>
        <w:t xml:space="preserve"> </w:t>
      </w:r>
    </w:p>
    <w:p w14:paraId="2B42664F" w14:textId="316B0D50" w:rsidR="00093952" w:rsidRPr="00E56D24" w:rsidRDefault="006270AC" w:rsidP="00B6361D">
      <w:pPr>
        <w:pStyle w:val="BodyText"/>
        <w:ind w:left="426"/>
        <w:rPr>
          <w:b/>
          <w:color w:val="FFFFFF" w:themeColor="background1"/>
          <w:sz w:val="52"/>
          <w:szCs w:val="52"/>
        </w:rPr>
      </w:pPr>
      <w:r>
        <w:rPr>
          <w:b/>
          <w:color w:val="FFFFFF" w:themeColor="background1"/>
          <w:sz w:val="52"/>
          <w:szCs w:val="52"/>
        </w:rPr>
        <w:t xml:space="preserve"> </w:t>
      </w:r>
      <w:r w:rsidR="00FD6FCB" w:rsidRPr="00E56D24">
        <w:rPr>
          <w:b/>
          <w:color w:val="FFFFFF" w:themeColor="background1"/>
          <w:sz w:val="52"/>
          <w:szCs w:val="52"/>
        </w:rPr>
        <w:t>NHS Pensions</w:t>
      </w:r>
    </w:p>
    <w:p w14:paraId="409C89FC" w14:textId="605A3706" w:rsidR="001A567C" w:rsidRDefault="001A567C" w:rsidP="00E56D24">
      <w:pPr>
        <w:pStyle w:val="BodyText"/>
        <w:rPr>
          <w:b/>
          <w:sz w:val="28"/>
          <w:szCs w:val="28"/>
        </w:rPr>
      </w:pPr>
    </w:p>
    <w:p w14:paraId="0B457446" w14:textId="75798385" w:rsidR="001317E5" w:rsidRPr="00FD6FCB" w:rsidRDefault="00FD6FCB" w:rsidP="00B6361D">
      <w:pPr>
        <w:pStyle w:val="BodyText"/>
        <w:ind w:left="426"/>
        <w:rPr>
          <w:rFonts w:ascii="Times New Roman"/>
          <w:b/>
          <w:sz w:val="28"/>
          <w:szCs w:val="28"/>
        </w:rPr>
      </w:pPr>
      <w:r w:rsidRPr="00FD6FCB">
        <w:rPr>
          <w:b/>
          <w:sz w:val="28"/>
          <w:szCs w:val="28"/>
        </w:rPr>
        <w:t xml:space="preserve">Schedule of charges for pensions on divorce or the dissolution of a civil partnership </w:t>
      </w:r>
    </w:p>
    <w:p w14:paraId="028A4BB1" w14:textId="77777777" w:rsidR="001317E5" w:rsidRDefault="00FD6FCB" w:rsidP="00B6361D">
      <w:pPr>
        <w:spacing w:before="252"/>
        <w:ind w:left="386"/>
        <w:rPr>
          <w:b/>
        </w:rPr>
      </w:pPr>
      <w:r>
        <w:rPr>
          <w:b/>
        </w:rPr>
        <w:t>Background</w:t>
      </w:r>
    </w:p>
    <w:p w14:paraId="0E8689DD" w14:textId="77777777" w:rsidR="001317E5" w:rsidRPr="00A56542" w:rsidRDefault="001317E5" w:rsidP="00B6361D">
      <w:pPr>
        <w:pStyle w:val="BodyText"/>
        <w:spacing w:before="3"/>
        <w:rPr>
          <w:b/>
          <w:sz w:val="16"/>
        </w:rPr>
      </w:pPr>
    </w:p>
    <w:p w14:paraId="5A639E7B" w14:textId="18D38FFA" w:rsidR="001317E5" w:rsidRDefault="00FD6FCB" w:rsidP="00B6361D">
      <w:pPr>
        <w:pStyle w:val="BodyText"/>
        <w:ind w:left="386" w:right="88"/>
      </w:pPr>
      <w:r>
        <w:t xml:space="preserve">As part of the divorce or dissolution process the assets of the marriage or civil partnership, including the value of pension benefits, are identified. An agreement is </w:t>
      </w:r>
      <w:r w:rsidR="007C5BDA">
        <w:t>reached,</w:t>
      </w:r>
      <w:r>
        <w:t xml:space="preserve"> and an Order made by the court on how these assets, or the value of these assets, are to be shared.</w:t>
      </w:r>
    </w:p>
    <w:p w14:paraId="3AC3B232" w14:textId="77777777" w:rsidR="001317E5" w:rsidRPr="00A56542" w:rsidRDefault="001317E5" w:rsidP="00B6361D">
      <w:pPr>
        <w:pStyle w:val="BodyText"/>
        <w:spacing w:before="5"/>
        <w:ind w:right="88"/>
        <w:rPr>
          <w:sz w:val="16"/>
        </w:rPr>
      </w:pPr>
    </w:p>
    <w:p w14:paraId="0097F605" w14:textId="0FFE1E4F" w:rsidR="001317E5" w:rsidRDefault="00FD6FCB" w:rsidP="00B6361D">
      <w:pPr>
        <w:pStyle w:val="BodyText"/>
        <w:spacing w:before="1"/>
        <w:ind w:left="386" w:right="88"/>
      </w:pPr>
      <w:r>
        <w:t xml:space="preserve">The value of pension benefits may be offset against the value of other financial assets in the </w:t>
      </w:r>
      <w:r w:rsidR="00821209">
        <w:t>settlement,</w:t>
      </w:r>
      <w:r>
        <w:t xml:space="preserve"> or the court may decide the pension is shared or earmarked.</w:t>
      </w:r>
    </w:p>
    <w:p w14:paraId="60C5C6BA" w14:textId="77777777" w:rsidR="001317E5" w:rsidRPr="00A56542" w:rsidRDefault="001317E5" w:rsidP="00B6361D">
      <w:pPr>
        <w:pStyle w:val="BodyText"/>
        <w:spacing w:before="5"/>
        <w:ind w:right="88"/>
        <w:rPr>
          <w:sz w:val="16"/>
        </w:rPr>
      </w:pPr>
    </w:p>
    <w:p w14:paraId="1E65AE28" w14:textId="2847650F" w:rsidR="001317E5" w:rsidRDefault="00FD6FCB" w:rsidP="00B6361D">
      <w:pPr>
        <w:pStyle w:val="BodyText"/>
        <w:spacing w:before="1"/>
        <w:ind w:left="386" w:right="88"/>
      </w:pPr>
      <w:r>
        <w:t>To facilitate these arrangements cooperation from pension schemes is essential and charging legislation permits schemes to recover costs for providing pensions information on divorce or dissolution of a civil partnership and for putting a Court Order into operation.</w:t>
      </w:r>
      <w:r w:rsidR="00BC08D6">
        <w:t xml:space="preserve"> </w:t>
      </w:r>
    </w:p>
    <w:p w14:paraId="3DD6F8A4" w14:textId="77777777" w:rsidR="001317E5" w:rsidRPr="00A56542" w:rsidRDefault="001317E5" w:rsidP="00B6361D">
      <w:pPr>
        <w:pStyle w:val="BodyText"/>
        <w:spacing w:before="5"/>
        <w:ind w:right="88"/>
        <w:rPr>
          <w:sz w:val="16"/>
        </w:rPr>
      </w:pPr>
    </w:p>
    <w:p w14:paraId="7B0D89AF" w14:textId="6C6B8735" w:rsidR="001317E5" w:rsidRDefault="00FD6FCB" w:rsidP="00B6361D">
      <w:pPr>
        <w:pStyle w:val="BodyText"/>
        <w:ind w:left="386" w:right="88"/>
      </w:pPr>
      <w:bookmarkStart w:id="0" w:name="_Hlk169000475"/>
      <w:r>
        <w:t xml:space="preserve">This schedule </w:t>
      </w:r>
      <w:r w:rsidR="0095131B">
        <w:t xml:space="preserve">will tell you </w:t>
      </w:r>
      <w:r w:rsidR="002115D7">
        <w:t>the</w:t>
      </w:r>
      <w:r w:rsidR="00D52B9E">
        <w:t xml:space="preserve"> charges for providing</w:t>
      </w:r>
      <w:r w:rsidR="00176228">
        <w:t xml:space="preserve"> </w:t>
      </w:r>
      <w:r>
        <w:t xml:space="preserve">information in relation to divorce or dissolution of a civil partnership </w:t>
      </w:r>
      <w:r w:rsidR="00CE02EF">
        <w:t xml:space="preserve">and the charges </w:t>
      </w:r>
      <w:r w:rsidR="00487FB5">
        <w:t xml:space="preserve">for </w:t>
      </w:r>
      <w:r>
        <w:t>implement</w:t>
      </w:r>
      <w:r w:rsidR="00D52B9E">
        <w:t>i</w:t>
      </w:r>
      <w:r w:rsidR="00487FB5">
        <w:t>ng</w:t>
      </w:r>
      <w:r w:rsidR="00F678D8">
        <w:t xml:space="preserve"> </w:t>
      </w:r>
      <w:r>
        <w:t>a Court Order.</w:t>
      </w:r>
    </w:p>
    <w:bookmarkEnd w:id="0"/>
    <w:p w14:paraId="5168042C" w14:textId="77777777" w:rsidR="001317E5" w:rsidRPr="00A56542" w:rsidRDefault="001317E5" w:rsidP="00B6361D">
      <w:pPr>
        <w:pStyle w:val="BodyText"/>
        <w:spacing w:before="6"/>
        <w:ind w:right="88"/>
        <w:rPr>
          <w:sz w:val="16"/>
        </w:rPr>
      </w:pPr>
    </w:p>
    <w:p w14:paraId="04DE2A1F" w14:textId="74009DA9" w:rsidR="001317E5" w:rsidRPr="00A56542" w:rsidRDefault="008C42A2" w:rsidP="00B67F2E">
      <w:pPr>
        <w:pStyle w:val="BodyText"/>
        <w:spacing w:before="6"/>
        <w:ind w:left="386" w:right="88"/>
        <w:rPr>
          <w:sz w:val="16"/>
        </w:rPr>
      </w:pPr>
      <w:r>
        <w:t>We will review these charges each year</w:t>
      </w:r>
      <w:r w:rsidR="004863A6">
        <w:t xml:space="preserve"> and </w:t>
      </w:r>
      <w:r w:rsidR="00106864">
        <w:t xml:space="preserve">use the charging </w:t>
      </w:r>
      <w:r w:rsidR="004863A6">
        <w:t>guidelines</w:t>
      </w:r>
      <w:r w:rsidR="00106864">
        <w:t xml:space="preserve"> published by the Pensions and Lifetime Savings Association</w:t>
      </w:r>
      <w:r>
        <w:t>. The increase will be no more tha</w:t>
      </w:r>
      <w:r w:rsidR="00777203">
        <w:t>n</w:t>
      </w:r>
      <w:r>
        <w:t xml:space="preserve"> the </w:t>
      </w:r>
      <w:r w:rsidR="00777203">
        <w:t xml:space="preserve">rate of </w:t>
      </w:r>
      <w:r>
        <w:t>Consumer Price Index</w:t>
      </w:r>
      <w:r w:rsidR="00B67F2E">
        <w:t xml:space="preserve"> </w:t>
      </w:r>
      <w:r>
        <w:t xml:space="preserve">(CPI) at the </w:t>
      </w:r>
      <w:r w:rsidR="009F0734">
        <w:t>end of the preceding September</w:t>
      </w:r>
      <w:r w:rsidR="00B67F2E">
        <w:t>.</w:t>
      </w:r>
    </w:p>
    <w:p w14:paraId="37807BFE" w14:textId="77777777" w:rsidR="00FE04CA" w:rsidRDefault="00FE04CA" w:rsidP="00B6361D">
      <w:pPr>
        <w:pStyle w:val="BodyText"/>
        <w:ind w:left="386" w:right="88"/>
      </w:pPr>
    </w:p>
    <w:p w14:paraId="5A02A5FA" w14:textId="4B3DDE63" w:rsidR="001317E5" w:rsidRDefault="00FD6FCB" w:rsidP="00B6361D">
      <w:pPr>
        <w:pStyle w:val="BodyText"/>
        <w:ind w:left="386" w:right="88"/>
      </w:pPr>
      <w:r>
        <w:t xml:space="preserve">All charges include </w:t>
      </w:r>
      <w:r w:rsidR="00E060A8">
        <w:t>Value</w:t>
      </w:r>
      <w:r w:rsidR="0082336C">
        <w:t xml:space="preserve"> </w:t>
      </w:r>
      <w:r w:rsidR="00872C0D">
        <w:t>A</w:t>
      </w:r>
      <w:r w:rsidR="00E060A8">
        <w:t>dded Tax (</w:t>
      </w:r>
      <w:r>
        <w:t>VAT</w:t>
      </w:r>
      <w:r w:rsidR="00E060A8">
        <w:t>)</w:t>
      </w:r>
      <w:r>
        <w:t xml:space="preserve"> at the standard rate of 20%.</w:t>
      </w:r>
    </w:p>
    <w:p w14:paraId="32A642EF" w14:textId="77777777" w:rsidR="001317E5" w:rsidRPr="00A56542" w:rsidRDefault="001317E5" w:rsidP="00B6361D">
      <w:pPr>
        <w:pStyle w:val="BodyText"/>
        <w:spacing w:before="3"/>
        <w:ind w:right="88"/>
        <w:rPr>
          <w:sz w:val="16"/>
        </w:rPr>
      </w:pPr>
    </w:p>
    <w:p w14:paraId="2F629FDF" w14:textId="77777777" w:rsidR="001317E5" w:rsidRDefault="00FD6FCB" w:rsidP="00B6361D">
      <w:pPr>
        <w:ind w:left="386" w:right="88"/>
        <w:rPr>
          <w:b/>
        </w:rPr>
      </w:pPr>
      <w:r>
        <w:rPr>
          <w:b/>
        </w:rPr>
        <w:t>Payment method</w:t>
      </w:r>
    </w:p>
    <w:p w14:paraId="759BE7B4" w14:textId="77777777" w:rsidR="001317E5" w:rsidRPr="00A56542" w:rsidRDefault="001317E5" w:rsidP="00B6361D">
      <w:pPr>
        <w:pStyle w:val="BodyText"/>
        <w:spacing w:before="2"/>
        <w:ind w:right="88"/>
        <w:rPr>
          <w:b/>
          <w:sz w:val="16"/>
        </w:rPr>
      </w:pPr>
    </w:p>
    <w:p w14:paraId="7914DF58" w14:textId="516083F5" w:rsidR="001317E5" w:rsidRDefault="00FD6FCB" w:rsidP="00B6361D">
      <w:pPr>
        <w:pStyle w:val="BodyText"/>
        <w:ind w:left="386" w:right="88"/>
      </w:pPr>
      <w:r>
        <w:t>Important: all charges disclosed on this schedule must be paid up front. This means that NHS Pensions must receive full payment before providing any information or before the implementation of any Court Order can start.</w:t>
      </w:r>
    </w:p>
    <w:p w14:paraId="30C93605" w14:textId="77777777" w:rsidR="001317E5" w:rsidRPr="00A56542" w:rsidRDefault="001317E5" w:rsidP="00B6361D">
      <w:pPr>
        <w:pStyle w:val="BodyText"/>
        <w:spacing w:before="6"/>
        <w:ind w:right="88"/>
        <w:rPr>
          <w:sz w:val="16"/>
        </w:rPr>
      </w:pPr>
    </w:p>
    <w:p w14:paraId="322A2BD1" w14:textId="77777777" w:rsidR="00FD6FCB" w:rsidRDefault="00FD6FCB" w:rsidP="00B6361D">
      <w:pPr>
        <w:pStyle w:val="BodyText"/>
        <w:ind w:left="386" w:right="88"/>
      </w:pPr>
      <w:r>
        <w:t xml:space="preserve">All parties will be notified where the implementation of a Court Order has been postponed. </w:t>
      </w:r>
    </w:p>
    <w:p w14:paraId="5276AE0A" w14:textId="77777777" w:rsidR="00576272" w:rsidRDefault="00576272" w:rsidP="00B6361D">
      <w:pPr>
        <w:pStyle w:val="BodyText"/>
        <w:ind w:left="386" w:right="88"/>
      </w:pPr>
    </w:p>
    <w:p w14:paraId="16DFCE24" w14:textId="4C1EBE48" w:rsidR="001317E5" w:rsidRDefault="00FD6FCB" w:rsidP="00B6361D">
      <w:pPr>
        <w:pStyle w:val="BodyText"/>
        <w:ind w:left="386" w:right="88"/>
      </w:pPr>
      <w:r>
        <w:t>The bank account details for electronic payments are as follows:</w:t>
      </w:r>
    </w:p>
    <w:p w14:paraId="22F3ED0F" w14:textId="77777777" w:rsidR="001317E5" w:rsidRDefault="00FD6FCB" w:rsidP="00B6361D">
      <w:pPr>
        <w:tabs>
          <w:tab w:val="left" w:pos="3266"/>
        </w:tabs>
        <w:ind w:left="386" w:right="88"/>
      </w:pPr>
      <w:r>
        <w:rPr>
          <w:b/>
        </w:rPr>
        <w:t>Sort</w:t>
      </w:r>
      <w:r>
        <w:rPr>
          <w:b/>
          <w:spacing w:val="-3"/>
        </w:rPr>
        <w:t xml:space="preserve"> </w:t>
      </w:r>
      <w:r>
        <w:rPr>
          <w:b/>
        </w:rPr>
        <w:t>code</w:t>
      </w:r>
      <w:r>
        <w:t>:</w:t>
      </w:r>
      <w:r>
        <w:rPr>
          <w:spacing w:val="-3"/>
        </w:rPr>
        <w:t xml:space="preserve"> </w:t>
      </w:r>
      <w:r>
        <w:t>60-70-80</w:t>
      </w:r>
      <w:r>
        <w:tab/>
      </w:r>
      <w:r>
        <w:rPr>
          <w:b/>
        </w:rPr>
        <w:t>Account number</w:t>
      </w:r>
      <w:r>
        <w:t>:</w:t>
      </w:r>
      <w:r>
        <w:rPr>
          <w:spacing w:val="-1"/>
        </w:rPr>
        <w:t xml:space="preserve"> </w:t>
      </w:r>
      <w:r>
        <w:t>10021205</w:t>
      </w:r>
    </w:p>
    <w:p w14:paraId="02DA11D9" w14:textId="77777777" w:rsidR="001317E5" w:rsidRPr="00A56542" w:rsidRDefault="001317E5" w:rsidP="00B6361D">
      <w:pPr>
        <w:pStyle w:val="BodyText"/>
        <w:spacing w:before="2"/>
        <w:ind w:right="88"/>
        <w:rPr>
          <w:sz w:val="16"/>
        </w:rPr>
      </w:pPr>
    </w:p>
    <w:p w14:paraId="02EB6A8F" w14:textId="53894B92" w:rsidR="001317E5" w:rsidRDefault="00FD6FCB" w:rsidP="00B6361D">
      <w:pPr>
        <w:pStyle w:val="BodyText"/>
        <w:ind w:left="386" w:right="88"/>
      </w:pPr>
      <w:r>
        <w:t xml:space="preserve">The reference for the payment should be your Scheme membership number (it starts SD) or your National Insurance </w:t>
      </w:r>
      <w:r w:rsidR="002C5999">
        <w:t>n</w:t>
      </w:r>
      <w:r>
        <w:t>umber followed by your surname.</w:t>
      </w:r>
      <w:r w:rsidR="00A56542">
        <w:t xml:space="preserve"> If payment is in respect of a </w:t>
      </w:r>
      <w:r w:rsidR="0068206D">
        <w:t>p</w:t>
      </w:r>
      <w:r w:rsidR="00A56542">
        <w:t xml:space="preserve">ension </w:t>
      </w:r>
      <w:r w:rsidR="0068206D">
        <w:t>s</w:t>
      </w:r>
      <w:r w:rsidR="00A56542">
        <w:t xml:space="preserve">haring order, please quote the reference number (SD) of the member sharing their pension. </w:t>
      </w:r>
    </w:p>
    <w:p w14:paraId="2E5C3411" w14:textId="77777777" w:rsidR="00B45195" w:rsidRDefault="00B45195" w:rsidP="00B6361D">
      <w:pPr>
        <w:pStyle w:val="BodyText"/>
        <w:ind w:left="386" w:right="88"/>
      </w:pPr>
    </w:p>
    <w:p w14:paraId="3BDA0DAB" w14:textId="0A7A85C1" w:rsidR="00B45195" w:rsidRDefault="009F46F3" w:rsidP="00B6361D">
      <w:pPr>
        <w:pStyle w:val="BodyText"/>
        <w:ind w:left="386" w:right="88"/>
        <w:rPr>
          <w:b/>
          <w:bCs/>
        </w:rPr>
      </w:pPr>
      <w:r>
        <w:rPr>
          <w:b/>
          <w:bCs/>
        </w:rPr>
        <w:t>How we use your information</w:t>
      </w:r>
    </w:p>
    <w:p w14:paraId="7E79C5D1" w14:textId="77777777" w:rsidR="009F46F3" w:rsidRDefault="009F46F3" w:rsidP="00B6361D">
      <w:pPr>
        <w:pStyle w:val="BodyText"/>
        <w:ind w:left="386" w:right="88"/>
        <w:rPr>
          <w:b/>
          <w:bCs/>
        </w:rPr>
      </w:pPr>
    </w:p>
    <w:p w14:paraId="5FBEB02B" w14:textId="4EB20B02" w:rsidR="001F43DB" w:rsidRDefault="001F43DB" w:rsidP="00B6361D">
      <w:pPr>
        <w:pStyle w:val="BodyText"/>
        <w:ind w:left="386" w:right="88"/>
      </w:pPr>
      <w:r>
        <w:t>The NHS Business Services Authority – NHS Pensions will use the information provided for administering yo</w:t>
      </w:r>
      <w:r w:rsidR="00A924A9">
        <w:t>ur NHS Pension Scheme membership and processing payment of your NHS pension benefits.  We may share your information to adm</w:t>
      </w:r>
      <w:r w:rsidR="005E4ADD">
        <w:t xml:space="preserve">inister and pay your NHS pension, enable us to prevent and detect fraud and mistakes, for debt collection purposes, or as required by law. For more information </w:t>
      </w:r>
      <w:r w:rsidR="00024490">
        <w:t xml:space="preserve">about who we share your information with and how long we keep your personal data and your rights, please visit our website at </w:t>
      </w:r>
      <w:hyperlink r:id="rId11" w:history="1">
        <w:r w:rsidR="00C02D3D" w:rsidRPr="005A77A2">
          <w:rPr>
            <w:rStyle w:val="Hyperlink"/>
          </w:rPr>
          <w:t>www.nhsbsa.nhs.uk/yourinformation</w:t>
        </w:r>
      </w:hyperlink>
      <w:r w:rsidR="00EB7D6B">
        <w:t>.</w:t>
      </w:r>
    </w:p>
    <w:p w14:paraId="5784E7CE" w14:textId="77777777" w:rsidR="00EB7D6B" w:rsidRDefault="00EB7D6B" w:rsidP="00B6361D">
      <w:pPr>
        <w:pStyle w:val="BodyText"/>
        <w:ind w:left="386" w:right="88"/>
      </w:pPr>
    </w:p>
    <w:p w14:paraId="6D486E5C" w14:textId="265E49B0" w:rsidR="00026805" w:rsidRPr="00026805" w:rsidRDefault="00026805" w:rsidP="00B6361D">
      <w:pPr>
        <w:tabs>
          <w:tab w:val="left" w:pos="9636"/>
        </w:tabs>
        <w:rPr>
          <w:sz w:val="16"/>
        </w:rPr>
        <w:sectPr w:rsidR="00026805" w:rsidRPr="00026805" w:rsidSect="0091762F">
          <w:footerReference w:type="default" r:id="rId12"/>
          <w:type w:val="continuous"/>
          <w:pgSz w:w="11910" w:h="16840"/>
          <w:pgMar w:top="567" w:right="737" w:bottom="567" w:left="737" w:header="720" w:footer="454" w:gutter="0"/>
          <w:cols w:space="720"/>
        </w:sectPr>
      </w:pPr>
    </w:p>
    <w:p w14:paraId="45A7DC02" w14:textId="77777777" w:rsidR="001317E5" w:rsidRDefault="001317E5" w:rsidP="00B6361D">
      <w:pPr>
        <w:pStyle w:val="BodyText"/>
        <w:spacing w:before="3"/>
        <w:rPr>
          <w:b/>
          <w:sz w:val="17"/>
        </w:rPr>
      </w:pPr>
    </w:p>
    <w:tbl>
      <w:tblPr>
        <w:tblW w:w="0" w:type="auto"/>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Caption w:val="Costs for issuing CETV depending on member circumstances"/>
        <w:tblDescription w:val="This table lists costs that will be applied for different member circumstances.  It also lists when the CETV will be issued without charge."/>
      </w:tblPr>
      <w:tblGrid>
        <w:gridCol w:w="6081"/>
        <w:gridCol w:w="3849"/>
      </w:tblGrid>
      <w:tr w:rsidR="00F1098E" w14:paraId="73977D89" w14:textId="77777777" w:rsidTr="00862626">
        <w:trPr>
          <w:trHeight w:val="567"/>
        </w:trPr>
        <w:tc>
          <w:tcPr>
            <w:tcW w:w="9930" w:type="dxa"/>
            <w:gridSpan w:val="2"/>
            <w:shd w:val="clear" w:color="auto" w:fill="0054C2"/>
            <w:vAlign w:val="center"/>
          </w:tcPr>
          <w:p w14:paraId="7B61D78F" w14:textId="7E5088CC" w:rsidR="00F1098E" w:rsidRDefault="00862626" w:rsidP="00862626">
            <w:pPr>
              <w:pStyle w:val="Heading1"/>
              <w:spacing w:before="65"/>
            </w:pPr>
            <w:r>
              <w:rPr>
                <w:color w:val="FFFFFF" w:themeColor="background1"/>
                <w:sz w:val="22"/>
                <w:szCs w:val="22"/>
              </w:rPr>
              <w:t xml:space="preserve">   </w:t>
            </w:r>
            <w:r w:rsidR="00C11DCE" w:rsidRPr="00C70D70">
              <w:rPr>
                <w:color w:val="FFFFFF" w:themeColor="background1"/>
                <w:sz w:val="22"/>
                <w:szCs w:val="22"/>
              </w:rPr>
              <w:t>Schedule of charge</w:t>
            </w:r>
            <w:r w:rsidR="0087599F">
              <w:rPr>
                <w:color w:val="FFFFFF" w:themeColor="background1"/>
                <w:sz w:val="22"/>
                <w:szCs w:val="22"/>
              </w:rPr>
              <w:t>s</w:t>
            </w:r>
            <w:r w:rsidR="00C11DCE" w:rsidRPr="00C70D70">
              <w:rPr>
                <w:color w:val="FFFFFF" w:themeColor="background1"/>
                <w:sz w:val="22"/>
                <w:szCs w:val="22"/>
              </w:rPr>
              <w:t xml:space="preserve"> for </w:t>
            </w:r>
            <w:r w:rsidR="00043E96">
              <w:rPr>
                <w:color w:val="FFFFFF" w:themeColor="background1"/>
                <w:sz w:val="22"/>
                <w:szCs w:val="22"/>
              </w:rPr>
              <w:t>c</w:t>
            </w:r>
            <w:r w:rsidR="00F1098E" w:rsidRPr="00F1098E">
              <w:rPr>
                <w:color w:val="FFFFFF" w:themeColor="background1"/>
                <w:sz w:val="22"/>
                <w:szCs w:val="22"/>
              </w:rPr>
              <w:t xml:space="preserve">ash </w:t>
            </w:r>
            <w:r w:rsidR="00991DD7">
              <w:rPr>
                <w:color w:val="FFFFFF" w:themeColor="background1"/>
                <w:sz w:val="22"/>
                <w:szCs w:val="22"/>
              </w:rPr>
              <w:t>e</w:t>
            </w:r>
            <w:r w:rsidR="00F1098E" w:rsidRPr="00F1098E">
              <w:rPr>
                <w:color w:val="FFFFFF" w:themeColor="background1"/>
                <w:sz w:val="22"/>
                <w:szCs w:val="22"/>
              </w:rPr>
              <w:t xml:space="preserve">quivalent </w:t>
            </w:r>
            <w:r w:rsidR="00991DD7">
              <w:rPr>
                <w:color w:val="FFFFFF" w:themeColor="background1"/>
                <w:sz w:val="22"/>
                <w:szCs w:val="22"/>
              </w:rPr>
              <w:t>t</w:t>
            </w:r>
            <w:r w:rsidR="00F1098E" w:rsidRPr="00F1098E">
              <w:rPr>
                <w:color w:val="FFFFFF" w:themeColor="background1"/>
                <w:sz w:val="22"/>
                <w:szCs w:val="22"/>
              </w:rPr>
              <w:t xml:space="preserve">ransfer </w:t>
            </w:r>
            <w:r w:rsidR="00991DD7">
              <w:rPr>
                <w:color w:val="FFFFFF" w:themeColor="background1"/>
                <w:sz w:val="22"/>
                <w:szCs w:val="22"/>
              </w:rPr>
              <w:t>v</w:t>
            </w:r>
            <w:r w:rsidR="00F1098E" w:rsidRPr="00F1098E">
              <w:rPr>
                <w:color w:val="FFFFFF" w:themeColor="background1"/>
                <w:sz w:val="22"/>
                <w:szCs w:val="22"/>
              </w:rPr>
              <w:t>alue (CETV)</w:t>
            </w:r>
          </w:p>
        </w:tc>
      </w:tr>
      <w:tr w:rsidR="0058480A" w14:paraId="2B1934B5" w14:textId="77777777" w:rsidTr="00B67F2E">
        <w:trPr>
          <w:trHeight w:val="567"/>
        </w:trPr>
        <w:tc>
          <w:tcPr>
            <w:tcW w:w="6081" w:type="dxa"/>
            <w:vAlign w:val="center"/>
          </w:tcPr>
          <w:p w14:paraId="1CC0173A" w14:textId="4CC57C6A" w:rsidR="0058480A" w:rsidRPr="00B67F2E" w:rsidRDefault="0058480A" w:rsidP="00B6361D">
            <w:pPr>
              <w:pStyle w:val="TableParagraph"/>
              <w:ind w:left="567" w:right="455"/>
              <w:rPr>
                <w:b/>
                <w:bCs/>
              </w:rPr>
            </w:pPr>
            <w:r w:rsidRPr="00B67F2E">
              <w:rPr>
                <w:b/>
                <w:bCs/>
              </w:rPr>
              <w:t>Task</w:t>
            </w:r>
          </w:p>
        </w:tc>
        <w:tc>
          <w:tcPr>
            <w:tcW w:w="3849" w:type="dxa"/>
            <w:shd w:val="clear" w:color="auto" w:fill="auto"/>
            <w:vAlign w:val="center"/>
          </w:tcPr>
          <w:p w14:paraId="1047BC8D" w14:textId="0522CF64" w:rsidR="0058480A" w:rsidRPr="00B67F2E" w:rsidRDefault="00D51B51" w:rsidP="00B6361D">
            <w:pPr>
              <w:pStyle w:val="TableParagraph"/>
              <w:jc w:val="center"/>
              <w:rPr>
                <w:b/>
                <w:bCs/>
              </w:rPr>
            </w:pPr>
            <w:r w:rsidRPr="00D51B51">
              <w:rPr>
                <w:b/>
                <w:bCs/>
              </w:rPr>
              <w:t>Charge (including VAT at 20%)</w:t>
            </w:r>
          </w:p>
        </w:tc>
      </w:tr>
      <w:tr w:rsidR="001317E5" w14:paraId="164BC876" w14:textId="77777777" w:rsidTr="00093952">
        <w:trPr>
          <w:trHeight w:val="1595"/>
        </w:trPr>
        <w:tc>
          <w:tcPr>
            <w:tcW w:w="6081" w:type="dxa"/>
            <w:vAlign w:val="center"/>
          </w:tcPr>
          <w:p w14:paraId="53B01A48" w14:textId="77777777" w:rsidR="001317E5" w:rsidRDefault="00FD6FCB" w:rsidP="00B6361D">
            <w:pPr>
              <w:pStyle w:val="TableParagraph"/>
              <w:ind w:left="567" w:right="455"/>
            </w:pPr>
            <w:r>
              <w:t>Provision of a CETV in respect of a Scheme member, who is not in receipt of an NHS pension, (where statutory disclosures have not already been met within the preceding 12 months).</w:t>
            </w:r>
          </w:p>
        </w:tc>
        <w:tc>
          <w:tcPr>
            <w:tcW w:w="3849" w:type="dxa"/>
            <w:shd w:val="clear" w:color="auto" w:fill="auto"/>
            <w:vAlign w:val="center"/>
          </w:tcPr>
          <w:p w14:paraId="25ED2907" w14:textId="77777777" w:rsidR="001317E5" w:rsidRDefault="00FD6FCB" w:rsidP="00B6361D">
            <w:pPr>
              <w:pStyle w:val="TableParagraph"/>
              <w:jc w:val="center"/>
            </w:pPr>
            <w:r>
              <w:t>No charge</w:t>
            </w:r>
          </w:p>
        </w:tc>
      </w:tr>
      <w:tr w:rsidR="001317E5" w14:paraId="35B28CC2" w14:textId="77777777" w:rsidTr="00093952">
        <w:trPr>
          <w:trHeight w:val="1610"/>
        </w:trPr>
        <w:tc>
          <w:tcPr>
            <w:tcW w:w="6081" w:type="dxa"/>
            <w:vAlign w:val="center"/>
          </w:tcPr>
          <w:p w14:paraId="74562550" w14:textId="77777777" w:rsidR="001317E5" w:rsidRDefault="00FD6FCB" w:rsidP="00B6361D">
            <w:pPr>
              <w:pStyle w:val="TableParagraph"/>
              <w:ind w:left="567" w:right="1040"/>
            </w:pPr>
            <w:r>
              <w:t>Provision of a CETV in respect of a Scheme member (where statutory disclosures have already been met within the preceding 12 months).</w:t>
            </w:r>
          </w:p>
        </w:tc>
        <w:tc>
          <w:tcPr>
            <w:tcW w:w="3849" w:type="dxa"/>
            <w:shd w:val="clear" w:color="auto" w:fill="auto"/>
            <w:vAlign w:val="center"/>
          </w:tcPr>
          <w:p w14:paraId="27E27516" w14:textId="77777777" w:rsidR="001317E5" w:rsidRDefault="00FD6FCB" w:rsidP="00B6361D">
            <w:pPr>
              <w:pStyle w:val="TableParagraph"/>
              <w:jc w:val="center"/>
            </w:pPr>
            <w:r>
              <w:t>£408.00</w:t>
            </w:r>
          </w:p>
        </w:tc>
      </w:tr>
      <w:tr w:rsidR="001317E5" w14:paraId="76D2DF32" w14:textId="77777777" w:rsidTr="00093952">
        <w:trPr>
          <w:trHeight w:val="1539"/>
        </w:trPr>
        <w:tc>
          <w:tcPr>
            <w:tcW w:w="6081" w:type="dxa"/>
            <w:vAlign w:val="center"/>
          </w:tcPr>
          <w:p w14:paraId="1DCEB80F" w14:textId="6215ED43" w:rsidR="001317E5" w:rsidRDefault="00FD6FCB" w:rsidP="00B6361D">
            <w:pPr>
              <w:pStyle w:val="TableParagraph"/>
              <w:ind w:left="567" w:right="172"/>
            </w:pPr>
            <w:r>
              <w:t xml:space="preserve">Provision of a CETV in respect of a Scheme member (where statutory disclosures have not already been met within the </w:t>
            </w:r>
            <w:r w:rsidR="00821209">
              <w:t>preceding</w:t>
            </w:r>
            <w:r>
              <w:t xml:space="preserve"> 12 months but where the CETV is required within </w:t>
            </w:r>
            <w:r w:rsidR="0038484C">
              <w:t>six</w:t>
            </w:r>
            <w:r>
              <w:t xml:space="preserve"> weeks).</w:t>
            </w:r>
          </w:p>
        </w:tc>
        <w:tc>
          <w:tcPr>
            <w:tcW w:w="3849" w:type="dxa"/>
            <w:shd w:val="clear" w:color="auto" w:fill="auto"/>
            <w:vAlign w:val="center"/>
          </w:tcPr>
          <w:p w14:paraId="1E77D92A" w14:textId="77777777" w:rsidR="001317E5" w:rsidRDefault="00FD6FCB" w:rsidP="00B6361D">
            <w:pPr>
              <w:pStyle w:val="TableParagraph"/>
              <w:jc w:val="center"/>
            </w:pPr>
            <w:r>
              <w:t>£408.00</w:t>
            </w:r>
          </w:p>
        </w:tc>
      </w:tr>
      <w:tr w:rsidR="001317E5" w14:paraId="2A490D2B" w14:textId="77777777" w:rsidTr="00093952">
        <w:trPr>
          <w:trHeight w:val="1056"/>
        </w:trPr>
        <w:tc>
          <w:tcPr>
            <w:tcW w:w="6081" w:type="dxa"/>
            <w:vAlign w:val="center"/>
          </w:tcPr>
          <w:p w14:paraId="12C9712F" w14:textId="77777777" w:rsidR="001317E5" w:rsidRDefault="00FD6FCB" w:rsidP="00B6361D">
            <w:pPr>
              <w:pStyle w:val="TableParagraph"/>
              <w:ind w:left="567" w:right="172"/>
            </w:pPr>
            <w:r>
              <w:t>Provision of a CETV for a Scheme pensioner, or a deferred member over normal pension age.</w:t>
            </w:r>
          </w:p>
        </w:tc>
        <w:tc>
          <w:tcPr>
            <w:tcW w:w="3849" w:type="dxa"/>
            <w:shd w:val="clear" w:color="auto" w:fill="auto"/>
            <w:vAlign w:val="center"/>
          </w:tcPr>
          <w:p w14:paraId="5507E0D4" w14:textId="77777777" w:rsidR="001317E5" w:rsidRDefault="00FD6FCB" w:rsidP="00B6361D">
            <w:pPr>
              <w:pStyle w:val="TableParagraph"/>
              <w:jc w:val="center"/>
            </w:pPr>
            <w:r>
              <w:t>£408.00</w:t>
            </w:r>
          </w:p>
        </w:tc>
      </w:tr>
      <w:tr w:rsidR="001317E5" w14:paraId="7926249A" w14:textId="77777777" w:rsidTr="00093952">
        <w:trPr>
          <w:trHeight w:val="1297"/>
        </w:trPr>
        <w:tc>
          <w:tcPr>
            <w:tcW w:w="6081" w:type="dxa"/>
            <w:vAlign w:val="center"/>
          </w:tcPr>
          <w:p w14:paraId="4F8AF087" w14:textId="77777777" w:rsidR="001317E5" w:rsidRDefault="00FD6FCB" w:rsidP="00B6361D">
            <w:pPr>
              <w:pStyle w:val="TableParagraph"/>
              <w:ind w:left="567" w:right="616"/>
            </w:pPr>
            <w:r>
              <w:t>Provision of a CETV for a deferred member over normal pension age, who does not wish to claim their retirement benefits.</w:t>
            </w:r>
          </w:p>
        </w:tc>
        <w:tc>
          <w:tcPr>
            <w:tcW w:w="3849" w:type="dxa"/>
            <w:shd w:val="clear" w:color="auto" w:fill="auto"/>
            <w:vAlign w:val="center"/>
          </w:tcPr>
          <w:p w14:paraId="203A56F1" w14:textId="77777777" w:rsidR="001317E5" w:rsidRDefault="00FD6FCB" w:rsidP="00B6361D">
            <w:pPr>
              <w:pStyle w:val="TableParagraph"/>
              <w:spacing w:before="210"/>
              <w:jc w:val="center"/>
            </w:pPr>
            <w:r>
              <w:t>£408.00</w:t>
            </w:r>
          </w:p>
        </w:tc>
      </w:tr>
    </w:tbl>
    <w:p w14:paraId="47572BF8" w14:textId="1B844380" w:rsidR="001317E5" w:rsidRPr="00E30038" w:rsidRDefault="00E30038" w:rsidP="00E30038">
      <w:pPr>
        <w:pStyle w:val="BodyText"/>
        <w:tabs>
          <w:tab w:val="left" w:pos="1890"/>
        </w:tabs>
        <w:rPr>
          <w:b/>
          <w:sz w:val="28"/>
          <w:szCs w:val="14"/>
        </w:rPr>
      </w:pPr>
      <w:r>
        <w:rPr>
          <w:b/>
          <w:sz w:val="44"/>
        </w:rPr>
        <w:tab/>
      </w:r>
    </w:p>
    <w:tbl>
      <w:tblPr>
        <w:tblW w:w="0" w:type="auto"/>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Caption w:val="List of costs for different pension sharing administration work"/>
        <w:tblDescription w:val="This table lists the various types of work associated with pension sharing administration and the costs that will be applied"/>
      </w:tblPr>
      <w:tblGrid>
        <w:gridCol w:w="6067"/>
        <w:gridCol w:w="3863"/>
      </w:tblGrid>
      <w:tr w:rsidR="00862626" w14:paraId="7F8170C4" w14:textId="77777777" w:rsidTr="00601FE6">
        <w:trPr>
          <w:trHeight w:val="567"/>
        </w:trPr>
        <w:tc>
          <w:tcPr>
            <w:tcW w:w="9930" w:type="dxa"/>
            <w:gridSpan w:val="2"/>
            <w:shd w:val="clear" w:color="auto" w:fill="0054C2"/>
            <w:vAlign w:val="center"/>
          </w:tcPr>
          <w:p w14:paraId="77FB51E3" w14:textId="56BEEABD" w:rsidR="00862626" w:rsidRDefault="00862626" w:rsidP="00862626">
            <w:pPr>
              <w:pStyle w:val="Heading2"/>
              <w:ind w:left="0"/>
            </w:pPr>
            <w:r>
              <w:rPr>
                <w:sz w:val="22"/>
                <w:szCs w:val="22"/>
              </w:rPr>
              <w:t xml:space="preserve">         </w:t>
            </w:r>
            <w:r w:rsidR="0087599F" w:rsidRPr="00B67F2E">
              <w:rPr>
                <w:color w:val="FFFFFF" w:themeColor="background1"/>
                <w:sz w:val="22"/>
                <w:szCs w:val="22"/>
              </w:rPr>
              <w:t>Schedule of charges for</w:t>
            </w:r>
            <w:r w:rsidR="0087599F">
              <w:rPr>
                <w:sz w:val="22"/>
                <w:szCs w:val="22"/>
              </w:rPr>
              <w:t xml:space="preserve"> </w:t>
            </w:r>
            <w:r w:rsidR="00043E96">
              <w:rPr>
                <w:color w:val="FFFFFF" w:themeColor="background1"/>
                <w:sz w:val="22"/>
                <w:szCs w:val="22"/>
              </w:rPr>
              <w:t>p</w:t>
            </w:r>
            <w:r w:rsidRPr="00BC684C">
              <w:rPr>
                <w:color w:val="FFFFFF" w:themeColor="background1"/>
                <w:sz w:val="22"/>
                <w:szCs w:val="22"/>
              </w:rPr>
              <w:t xml:space="preserve">ension </w:t>
            </w:r>
            <w:r w:rsidR="00043E96">
              <w:rPr>
                <w:color w:val="FFFFFF" w:themeColor="background1"/>
                <w:sz w:val="22"/>
                <w:szCs w:val="22"/>
              </w:rPr>
              <w:t>s</w:t>
            </w:r>
            <w:r w:rsidRPr="00BC684C">
              <w:rPr>
                <w:color w:val="FFFFFF" w:themeColor="background1"/>
                <w:sz w:val="22"/>
                <w:szCs w:val="22"/>
              </w:rPr>
              <w:t xml:space="preserve">haring </w:t>
            </w:r>
            <w:r w:rsidR="00043E96">
              <w:rPr>
                <w:color w:val="FFFFFF" w:themeColor="background1"/>
                <w:sz w:val="22"/>
                <w:szCs w:val="22"/>
              </w:rPr>
              <w:t>a</w:t>
            </w:r>
            <w:r w:rsidRPr="00BC684C">
              <w:rPr>
                <w:color w:val="FFFFFF" w:themeColor="background1"/>
                <w:sz w:val="22"/>
                <w:szCs w:val="22"/>
              </w:rPr>
              <w:t>dministration</w:t>
            </w:r>
          </w:p>
        </w:tc>
      </w:tr>
      <w:tr w:rsidR="0058480A" w14:paraId="501FC737" w14:textId="77777777" w:rsidTr="00B67F2E">
        <w:trPr>
          <w:trHeight w:val="567"/>
        </w:trPr>
        <w:tc>
          <w:tcPr>
            <w:tcW w:w="6067" w:type="dxa"/>
            <w:vAlign w:val="center"/>
          </w:tcPr>
          <w:p w14:paraId="60901026" w14:textId="0DA24F47" w:rsidR="0058480A" w:rsidRPr="00B67F2E" w:rsidRDefault="0058480A" w:rsidP="00B6361D">
            <w:pPr>
              <w:pStyle w:val="TableParagraph"/>
              <w:ind w:left="567" w:right="658"/>
              <w:rPr>
                <w:b/>
                <w:bCs/>
              </w:rPr>
            </w:pPr>
            <w:r w:rsidRPr="00B67F2E">
              <w:rPr>
                <w:b/>
                <w:bCs/>
              </w:rPr>
              <w:t>Task</w:t>
            </w:r>
          </w:p>
        </w:tc>
        <w:tc>
          <w:tcPr>
            <w:tcW w:w="3863" w:type="dxa"/>
            <w:vAlign w:val="center"/>
          </w:tcPr>
          <w:p w14:paraId="11C866E3" w14:textId="57297B83" w:rsidR="0058480A" w:rsidRPr="00B67F2E" w:rsidRDefault="00D51B51" w:rsidP="00B6361D">
            <w:pPr>
              <w:pStyle w:val="TableParagraph"/>
              <w:jc w:val="center"/>
              <w:rPr>
                <w:b/>
                <w:bCs/>
              </w:rPr>
            </w:pPr>
            <w:r>
              <w:rPr>
                <w:b/>
                <w:bCs/>
              </w:rPr>
              <w:t>Charge (including VAT at 20%)</w:t>
            </w:r>
          </w:p>
        </w:tc>
      </w:tr>
      <w:tr w:rsidR="001317E5" w14:paraId="343A4221" w14:textId="77777777" w:rsidTr="00FD6FCB">
        <w:trPr>
          <w:trHeight w:val="1284"/>
        </w:trPr>
        <w:tc>
          <w:tcPr>
            <w:tcW w:w="6067" w:type="dxa"/>
            <w:vAlign w:val="center"/>
          </w:tcPr>
          <w:p w14:paraId="3651829E" w14:textId="77777777" w:rsidR="001317E5" w:rsidRDefault="00FD6FCB" w:rsidP="00B6361D">
            <w:pPr>
              <w:pStyle w:val="TableParagraph"/>
              <w:ind w:left="567" w:right="658"/>
            </w:pPr>
            <w:r>
              <w:t>Acknowledgement and implementation of a pension sharing order (including record creation and maintenance).</w:t>
            </w:r>
          </w:p>
        </w:tc>
        <w:tc>
          <w:tcPr>
            <w:tcW w:w="3863" w:type="dxa"/>
            <w:vAlign w:val="center"/>
          </w:tcPr>
          <w:p w14:paraId="700CA7AF" w14:textId="42CFC918" w:rsidR="00FD6FCB" w:rsidRDefault="00FD6FCB" w:rsidP="00B6361D">
            <w:pPr>
              <w:pStyle w:val="TableParagraph"/>
              <w:jc w:val="center"/>
            </w:pPr>
            <w:r>
              <w:t>£</w:t>
            </w:r>
            <w:r w:rsidR="0093307E">
              <w:t>1</w:t>
            </w:r>
            <w:r w:rsidR="009C22F1">
              <w:t>,</w:t>
            </w:r>
            <w:r w:rsidR="0093307E">
              <w:t>693.56</w:t>
            </w:r>
          </w:p>
          <w:p w14:paraId="3089DEEF" w14:textId="77777777" w:rsidR="001317E5" w:rsidRDefault="00FD6FCB" w:rsidP="00B6361D">
            <w:pPr>
              <w:pStyle w:val="TableParagraph"/>
              <w:jc w:val="center"/>
            </w:pPr>
            <w:r>
              <w:t>(See annex A)</w:t>
            </w:r>
          </w:p>
        </w:tc>
      </w:tr>
      <w:tr w:rsidR="001317E5" w14:paraId="0EC159E8" w14:textId="77777777" w:rsidTr="00FD6FCB">
        <w:trPr>
          <w:trHeight w:val="1054"/>
        </w:trPr>
        <w:tc>
          <w:tcPr>
            <w:tcW w:w="6067" w:type="dxa"/>
            <w:vAlign w:val="center"/>
          </w:tcPr>
          <w:p w14:paraId="3A07B485" w14:textId="77777777" w:rsidR="001317E5" w:rsidRDefault="00FD6FCB" w:rsidP="00B6361D">
            <w:pPr>
              <w:pStyle w:val="TableParagraph"/>
              <w:spacing w:before="1"/>
              <w:ind w:left="567" w:right="768"/>
            </w:pPr>
            <w:r>
              <w:t>Supplementary work connected with a pension sharing order.</w:t>
            </w:r>
          </w:p>
        </w:tc>
        <w:tc>
          <w:tcPr>
            <w:tcW w:w="3863" w:type="dxa"/>
            <w:vAlign w:val="center"/>
          </w:tcPr>
          <w:p w14:paraId="54A52590" w14:textId="77777777" w:rsidR="00FD6FCB" w:rsidRDefault="00FD6FCB" w:rsidP="00B6361D">
            <w:pPr>
              <w:pStyle w:val="TableParagraph"/>
              <w:spacing w:before="1"/>
              <w:jc w:val="center"/>
            </w:pPr>
            <w:r>
              <w:t>£112.00 - £283.00 per hour</w:t>
            </w:r>
          </w:p>
          <w:p w14:paraId="5E9ED795" w14:textId="77777777" w:rsidR="001317E5" w:rsidRDefault="00FD6FCB" w:rsidP="00B6361D">
            <w:pPr>
              <w:pStyle w:val="TableParagraph"/>
              <w:spacing w:before="1"/>
              <w:jc w:val="center"/>
            </w:pPr>
            <w:r>
              <w:t>(based on complexity of calculation)</w:t>
            </w:r>
          </w:p>
        </w:tc>
      </w:tr>
      <w:tr w:rsidR="001317E5" w14:paraId="4EBC3645" w14:textId="77777777" w:rsidTr="00FD6FCB">
        <w:trPr>
          <w:trHeight w:val="1014"/>
        </w:trPr>
        <w:tc>
          <w:tcPr>
            <w:tcW w:w="6067" w:type="dxa"/>
            <w:vAlign w:val="center"/>
          </w:tcPr>
          <w:p w14:paraId="2AA2C68A" w14:textId="77777777" w:rsidR="001317E5" w:rsidRDefault="00FD6FCB" w:rsidP="00B6361D">
            <w:pPr>
              <w:pStyle w:val="TableParagraph"/>
              <w:ind w:left="567" w:right="1111"/>
            </w:pPr>
            <w:r>
              <w:t>Acknowledgement and implementation of a variation order.</w:t>
            </w:r>
          </w:p>
        </w:tc>
        <w:tc>
          <w:tcPr>
            <w:tcW w:w="3863" w:type="dxa"/>
            <w:vAlign w:val="center"/>
          </w:tcPr>
          <w:p w14:paraId="41A76AE2" w14:textId="77777777" w:rsidR="001317E5" w:rsidRDefault="00FD6FCB" w:rsidP="00B6361D">
            <w:pPr>
              <w:pStyle w:val="TableParagraph"/>
              <w:jc w:val="center"/>
            </w:pPr>
            <w:r>
              <w:t>£283.00</w:t>
            </w:r>
          </w:p>
        </w:tc>
      </w:tr>
      <w:tr w:rsidR="001317E5" w14:paraId="3368A693" w14:textId="77777777" w:rsidTr="00FD6FCB">
        <w:trPr>
          <w:trHeight w:val="1406"/>
        </w:trPr>
        <w:tc>
          <w:tcPr>
            <w:tcW w:w="6067" w:type="dxa"/>
            <w:vAlign w:val="center"/>
          </w:tcPr>
          <w:p w14:paraId="257ACA90" w14:textId="77777777" w:rsidR="001317E5" w:rsidRDefault="00FD6FCB" w:rsidP="00B6361D">
            <w:pPr>
              <w:pStyle w:val="TableParagraph"/>
              <w:ind w:left="567" w:right="768"/>
            </w:pPr>
            <w:r>
              <w:t>Paying Agents record set up costs (These costs to be recovered by the Paying Agents by deduction from pension/lump sum payments).</w:t>
            </w:r>
          </w:p>
        </w:tc>
        <w:tc>
          <w:tcPr>
            <w:tcW w:w="3863" w:type="dxa"/>
            <w:vAlign w:val="center"/>
          </w:tcPr>
          <w:p w14:paraId="72B9B374" w14:textId="77777777" w:rsidR="00FD6FCB" w:rsidRDefault="00FD6FCB" w:rsidP="00B6361D">
            <w:pPr>
              <w:pStyle w:val="TableParagraph"/>
              <w:jc w:val="center"/>
            </w:pPr>
            <w:r>
              <w:t>£135.00 set up</w:t>
            </w:r>
          </w:p>
          <w:p w14:paraId="59264B5F" w14:textId="77777777" w:rsidR="001317E5" w:rsidRDefault="00FD6FCB" w:rsidP="00B6361D">
            <w:pPr>
              <w:pStyle w:val="TableParagraph"/>
              <w:jc w:val="center"/>
            </w:pPr>
            <w:r>
              <w:t>plus</w:t>
            </w:r>
          </w:p>
          <w:p w14:paraId="2D265A73" w14:textId="77777777" w:rsidR="001317E5" w:rsidRDefault="00FD6FCB" w:rsidP="00B6361D">
            <w:pPr>
              <w:pStyle w:val="TableParagraph"/>
              <w:spacing w:before="2"/>
              <w:jc w:val="center"/>
            </w:pPr>
            <w:r>
              <w:t>£52.00 per annum</w:t>
            </w:r>
          </w:p>
        </w:tc>
      </w:tr>
    </w:tbl>
    <w:p w14:paraId="699BA24C" w14:textId="77777777" w:rsidR="001317E5" w:rsidRDefault="001317E5" w:rsidP="00B6361D">
      <w:pPr>
        <w:pStyle w:val="BodyText"/>
        <w:spacing w:before="5"/>
        <w:rPr>
          <w:b/>
          <w:sz w:val="17"/>
        </w:rPr>
      </w:pPr>
    </w:p>
    <w:tbl>
      <w:tblPr>
        <w:tblW w:w="0" w:type="auto"/>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Caption w:val="List of costs for different Pension earmarking administration work"/>
        <w:tblDescription w:val="The table lists various types of work associated with pension earmarking administration and the relevant costs of each task."/>
      </w:tblPr>
      <w:tblGrid>
        <w:gridCol w:w="6067"/>
        <w:gridCol w:w="3863"/>
      </w:tblGrid>
      <w:tr w:rsidR="00F34FF9" w14:paraId="185F2A6A" w14:textId="77777777" w:rsidTr="00B67F2E">
        <w:trPr>
          <w:trHeight w:val="567"/>
          <w:tblHeader/>
        </w:trPr>
        <w:tc>
          <w:tcPr>
            <w:tcW w:w="9930" w:type="dxa"/>
            <w:gridSpan w:val="2"/>
            <w:shd w:val="clear" w:color="auto" w:fill="0054C2"/>
            <w:vAlign w:val="center"/>
          </w:tcPr>
          <w:p w14:paraId="0BFA320F" w14:textId="2A41B703" w:rsidR="00F34FF9" w:rsidRDefault="00F34FF9" w:rsidP="00F34FF9">
            <w:pPr>
              <w:spacing w:before="64"/>
            </w:pPr>
            <w:r>
              <w:rPr>
                <w:b/>
                <w:szCs w:val="20"/>
              </w:rPr>
              <w:lastRenderedPageBreak/>
              <w:t xml:space="preserve">        </w:t>
            </w:r>
            <w:r w:rsidR="0087599F" w:rsidRPr="00B67F2E">
              <w:rPr>
                <w:b/>
                <w:color w:val="FFFFFF" w:themeColor="background1"/>
                <w:szCs w:val="20"/>
              </w:rPr>
              <w:t>Schedule of charges for</w:t>
            </w:r>
            <w:r w:rsidR="0087599F">
              <w:rPr>
                <w:b/>
                <w:szCs w:val="20"/>
              </w:rPr>
              <w:t xml:space="preserve"> </w:t>
            </w:r>
            <w:r w:rsidR="00043E96">
              <w:rPr>
                <w:b/>
                <w:color w:val="FFFFFF" w:themeColor="background1"/>
                <w:szCs w:val="20"/>
              </w:rPr>
              <w:t>p</w:t>
            </w:r>
            <w:r w:rsidRPr="001847C1">
              <w:rPr>
                <w:b/>
                <w:color w:val="FFFFFF" w:themeColor="background1"/>
                <w:szCs w:val="20"/>
              </w:rPr>
              <w:t xml:space="preserve">ension </w:t>
            </w:r>
            <w:r w:rsidR="00043E96">
              <w:rPr>
                <w:b/>
                <w:color w:val="FFFFFF" w:themeColor="background1"/>
                <w:szCs w:val="20"/>
              </w:rPr>
              <w:t>e</w:t>
            </w:r>
            <w:r w:rsidRPr="001847C1">
              <w:rPr>
                <w:b/>
                <w:color w:val="FFFFFF" w:themeColor="background1"/>
                <w:szCs w:val="20"/>
              </w:rPr>
              <w:t xml:space="preserve">armarking </w:t>
            </w:r>
            <w:r w:rsidR="00043E96">
              <w:rPr>
                <w:b/>
                <w:color w:val="FFFFFF" w:themeColor="background1"/>
                <w:szCs w:val="20"/>
              </w:rPr>
              <w:t>a</w:t>
            </w:r>
            <w:r w:rsidRPr="001847C1">
              <w:rPr>
                <w:b/>
                <w:color w:val="FFFFFF" w:themeColor="background1"/>
                <w:szCs w:val="20"/>
              </w:rPr>
              <w:t>dministration</w:t>
            </w:r>
          </w:p>
        </w:tc>
      </w:tr>
      <w:tr w:rsidR="006939CE" w14:paraId="34F1A069" w14:textId="77777777" w:rsidTr="00601FE6">
        <w:trPr>
          <w:trHeight w:val="567"/>
        </w:trPr>
        <w:tc>
          <w:tcPr>
            <w:tcW w:w="6067" w:type="dxa"/>
            <w:vAlign w:val="center"/>
          </w:tcPr>
          <w:p w14:paraId="68E33615" w14:textId="476F87EE" w:rsidR="006939CE" w:rsidRPr="00B67F2E" w:rsidRDefault="00431F30" w:rsidP="00B6361D">
            <w:pPr>
              <w:pStyle w:val="TableParagraph"/>
              <w:spacing w:before="83"/>
              <w:ind w:left="567"/>
              <w:rPr>
                <w:b/>
                <w:bCs/>
              </w:rPr>
            </w:pPr>
            <w:r w:rsidRPr="00B67F2E">
              <w:rPr>
                <w:b/>
                <w:bCs/>
              </w:rPr>
              <w:t>Task</w:t>
            </w:r>
          </w:p>
        </w:tc>
        <w:tc>
          <w:tcPr>
            <w:tcW w:w="3863" w:type="dxa"/>
            <w:vAlign w:val="center"/>
          </w:tcPr>
          <w:p w14:paraId="6F9EAA21" w14:textId="674F231B" w:rsidR="006939CE" w:rsidRPr="00B67F2E" w:rsidRDefault="00601FE6" w:rsidP="00B6361D">
            <w:pPr>
              <w:pStyle w:val="TableParagraph"/>
              <w:spacing w:before="83"/>
              <w:ind w:right="48"/>
              <w:jc w:val="center"/>
              <w:rPr>
                <w:b/>
                <w:bCs/>
              </w:rPr>
            </w:pPr>
            <w:r>
              <w:rPr>
                <w:b/>
                <w:bCs/>
              </w:rPr>
              <w:t>Charge (including VAT at 20%)</w:t>
            </w:r>
          </w:p>
        </w:tc>
      </w:tr>
      <w:tr w:rsidR="001317E5" w14:paraId="6FD8F726" w14:textId="77777777" w:rsidTr="00FD6FCB">
        <w:trPr>
          <w:trHeight w:val="839"/>
        </w:trPr>
        <w:tc>
          <w:tcPr>
            <w:tcW w:w="6067" w:type="dxa"/>
            <w:vAlign w:val="center"/>
          </w:tcPr>
          <w:p w14:paraId="12AE4036" w14:textId="77777777" w:rsidR="001317E5" w:rsidRDefault="00FD6FCB" w:rsidP="00B6361D">
            <w:pPr>
              <w:pStyle w:val="TableParagraph"/>
              <w:spacing w:before="83"/>
              <w:ind w:left="567"/>
            </w:pPr>
            <w:r>
              <w:t>Acknowledgement and implementation of a pension attachment order for a life assurance lump sum only.</w:t>
            </w:r>
          </w:p>
        </w:tc>
        <w:tc>
          <w:tcPr>
            <w:tcW w:w="3863" w:type="dxa"/>
            <w:vAlign w:val="center"/>
          </w:tcPr>
          <w:p w14:paraId="41E22219" w14:textId="77777777" w:rsidR="001317E5" w:rsidRDefault="00FD6FCB" w:rsidP="00B6361D">
            <w:pPr>
              <w:pStyle w:val="TableParagraph"/>
              <w:spacing w:before="83"/>
              <w:ind w:right="48"/>
              <w:jc w:val="center"/>
            </w:pPr>
            <w:r>
              <w:t>£408.00</w:t>
            </w:r>
          </w:p>
          <w:p w14:paraId="1B42E1B1" w14:textId="77777777" w:rsidR="001317E5" w:rsidRDefault="00FD6FCB" w:rsidP="00B6361D">
            <w:pPr>
              <w:pStyle w:val="TableParagraph"/>
              <w:spacing w:before="11"/>
              <w:ind w:right="48"/>
              <w:jc w:val="center"/>
            </w:pPr>
            <w:r>
              <w:t>(see annex B)</w:t>
            </w:r>
          </w:p>
        </w:tc>
      </w:tr>
      <w:tr w:rsidR="001317E5" w14:paraId="2F8D56D8" w14:textId="77777777" w:rsidTr="00FD6FCB">
        <w:trPr>
          <w:trHeight w:val="1353"/>
        </w:trPr>
        <w:tc>
          <w:tcPr>
            <w:tcW w:w="6067" w:type="dxa"/>
            <w:vAlign w:val="center"/>
          </w:tcPr>
          <w:p w14:paraId="718E6151" w14:textId="77777777" w:rsidR="001317E5" w:rsidRDefault="00FD6FCB" w:rsidP="00B6361D">
            <w:pPr>
              <w:pStyle w:val="TableParagraph"/>
              <w:ind w:left="567" w:right="279"/>
            </w:pPr>
            <w:r>
              <w:t>Acknowledgement and implementation of a pension attachment order for a pension and/or retirement lump sum.</w:t>
            </w:r>
          </w:p>
        </w:tc>
        <w:tc>
          <w:tcPr>
            <w:tcW w:w="3863" w:type="dxa"/>
            <w:vAlign w:val="center"/>
          </w:tcPr>
          <w:p w14:paraId="7E384BA5" w14:textId="77777777" w:rsidR="001317E5" w:rsidRDefault="00FD6FCB" w:rsidP="00B6361D">
            <w:pPr>
              <w:pStyle w:val="TableParagraph"/>
              <w:ind w:right="48"/>
              <w:jc w:val="center"/>
            </w:pPr>
            <w:r>
              <w:t>£613.00</w:t>
            </w:r>
          </w:p>
          <w:p w14:paraId="50BAF672" w14:textId="77777777" w:rsidR="001317E5" w:rsidRDefault="00FD6FCB" w:rsidP="00B6361D">
            <w:pPr>
              <w:pStyle w:val="TableParagraph"/>
              <w:spacing w:before="11"/>
              <w:ind w:right="48"/>
              <w:jc w:val="center"/>
            </w:pPr>
            <w:r>
              <w:t>(see annex B)</w:t>
            </w:r>
          </w:p>
        </w:tc>
      </w:tr>
      <w:tr w:rsidR="001317E5" w14:paraId="7DD136FE" w14:textId="77777777" w:rsidTr="00FD6FCB">
        <w:trPr>
          <w:trHeight w:val="885"/>
        </w:trPr>
        <w:tc>
          <w:tcPr>
            <w:tcW w:w="6067" w:type="dxa"/>
            <w:vAlign w:val="center"/>
          </w:tcPr>
          <w:p w14:paraId="5C4977BB" w14:textId="77777777" w:rsidR="001317E5" w:rsidRDefault="00FD6FCB" w:rsidP="00B6361D">
            <w:pPr>
              <w:pStyle w:val="TableParagraph"/>
              <w:spacing w:before="1"/>
              <w:ind w:left="567" w:right="1111"/>
            </w:pPr>
            <w:r>
              <w:t>Acknowledgement and implementation of a variation order.</w:t>
            </w:r>
          </w:p>
        </w:tc>
        <w:tc>
          <w:tcPr>
            <w:tcW w:w="3863" w:type="dxa"/>
            <w:vAlign w:val="center"/>
          </w:tcPr>
          <w:p w14:paraId="098323EB" w14:textId="77777777" w:rsidR="00FD6FCB" w:rsidRDefault="00FD6FCB" w:rsidP="00B6361D">
            <w:pPr>
              <w:pStyle w:val="TableParagraph"/>
              <w:spacing w:before="1"/>
              <w:ind w:right="48"/>
              <w:jc w:val="center"/>
            </w:pPr>
            <w:r>
              <w:t xml:space="preserve">£55.00 per hour </w:t>
            </w:r>
          </w:p>
          <w:p w14:paraId="07059FD4" w14:textId="77777777" w:rsidR="001317E5" w:rsidRDefault="00FD6FCB" w:rsidP="00B6361D">
            <w:pPr>
              <w:pStyle w:val="TableParagraph"/>
              <w:spacing w:before="1"/>
              <w:ind w:right="48"/>
              <w:jc w:val="center"/>
            </w:pPr>
            <w:r>
              <w:t>(minimum charge one hour)</w:t>
            </w:r>
          </w:p>
        </w:tc>
      </w:tr>
      <w:tr w:rsidR="001317E5" w14:paraId="54AFEC35" w14:textId="77777777" w:rsidTr="00FD6FCB">
        <w:trPr>
          <w:trHeight w:val="753"/>
        </w:trPr>
        <w:tc>
          <w:tcPr>
            <w:tcW w:w="6067" w:type="dxa"/>
            <w:vAlign w:val="center"/>
          </w:tcPr>
          <w:p w14:paraId="5E37AA34" w14:textId="77777777" w:rsidR="001317E5" w:rsidRDefault="00FD6FCB" w:rsidP="00B6361D">
            <w:pPr>
              <w:pStyle w:val="TableParagraph"/>
              <w:spacing w:before="113"/>
              <w:ind w:left="567" w:right="767"/>
            </w:pPr>
            <w:r>
              <w:t>Supplementary work connected with a pension attachment order.</w:t>
            </w:r>
          </w:p>
        </w:tc>
        <w:tc>
          <w:tcPr>
            <w:tcW w:w="3863" w:type="dxa"/>
            <w:vAlign w:val="center"/>
          </w:tcPr>
          <w:p w14:paraId="18897784" w14:textId="77777777" w:rsidR="00FD6FCB" w:rsidRDefault="00FD6FCB" w:rsidP="00B6361D">
            <w:pPr>
              <w:pStyle w:val="TableParagraph"/>
              <w:spacing w:before="113"/>
              <w:ind w:right="48"/>
              <w:jc w:val="center"/>
            </w:pPr>
            <w:r>
              <w:t xml:space="preserve">£112.00 - £283.00 per hour </w:t>
            </w:r>
          </w:p>
          <w:p w14:paraId="6CBAC8A2" w14:textId="77777777" w:rsidR="001317E5" w:rsidRDefault="00FD6FCB" w:rsidP="00B6361D">
            <w:pPr>
              <w:pStyle w:val="TableParagraph"/>
              <w:spacing w:before="113"/>
              <w:ind w:right="48"/>
              <w:jc w:val="center"/>
            </w:pPr>
            <w:r>
              <w:t xml:space="preserve">(based on </w:t>
            </w:r>
            <w:r w:rsidR="0093307E">
              <w:t>complexity</w:t>
            </w:r>
            <w:r>
              <w:t>)</w:t>
            </w:r>
          </w:p>
        </w:tc>
      </w:tr>
      <w:tr w:rsidR="001317E5" w14:paraId="11DC5910" w14:textId="77777777" w:rsidTr="00CA30BD">
        <w:trPr>
          <w:trHeight w:val="814"/>
        </w:trPr>
        <w:tc>
          <w:tcPr>
            <w:tcW w:w="6067" w:type="dxa"/>
            <w:vAlign w:val="center"/>
          </w:tcPr>
          <w:p w14:paraId="7C0582BE" w14:textId="77777777" w:rsidR="001317E5" w:rsidRDefault="00FD6FCB" w:rsidP="00CA30BD">
            <w:pPr>
              <w:pStyle w:val="TableParagraph"/>
              <w:spacing w:before="131"/>
              <w:ind w:left="567"/>
            </w:pPr>
            <w:r>
              <w:t>Transfer out associated with pensions earmarking.</w:t>
            </w:r>
          </w:p>
        </w:tc>
        <w:tc>
          <w:tcPr>
            <w:tcW w:w="3863" w:type="dxa"/>
            <w:vAlign w:val="center"/>
          </w:tcPr>
          <w:p w14:paraId="7A75BCE3" w14:textId="77777777" w:rsidR="001317E5" w:rsidRDefault="00FD6FCB" w:rsidP="00CA30BD">
            <w:pPr>
              <w:pStyle w:val="TableParagraph"/>
              <w:spacing w:before="131"/>
              <w:ind w:right="48"/>
              <w:jc w:val="center"/>
            </w:pPr>
            <w:r>
              <w:t>£226.00</w:t>
            </w:r>
          </w:p>
        </w:tc>
      </w:tr>
      <w:tr w:rsidR="001317E5" w14:paraId="2F1AE78B" w14:textId="77777777" w:rsidTr="00FD6FCB">
        <w:trPr>
          <w:trHeight w:val="743"/>
        </w:trPr>
        <w:tc>
          <w:tcPr>
            <w:tcW w:w="6067" w:type="dxa"/>
            <w:vAlign w:val="center"/>
          </w:tcPr>
          <w:p w14:paraId="4D517362" w14:textId="77777777" w:rsidR="001317E5" w:rsidRDefault="00FD6FCB" w:rsidP="00B6361D">
            <w:pPr>
              <w:pStyle w:val="TableParagraph"/>
              <w:ind w:left="567"/>
            </w:pPr>
            <w:r>
              <w:t>Transfer in associated with pensions earmarking.</w:t>
            </w:r>
          </w:p>
        </w:tc>
        <w:tc>
          <w:tcPr>
            <w:tcW w:w="3863" w:type="dxa"/>
            <w:vAlign w:val="center"/>
          </w:tcPr>
          <w:p w14:paraId="48C455C3" w14:textId="77777777" w:rsidR="001317E5" w:rsidRDefault="00FD6FCB" w:rsidP="00B6361D">
            <w:pPr>
              <w:pStyle w:val="TableParagraph"/>
              <w:ind w:right="48"/>
              <w:jc w:val="center"/>
            </w:pPr>
            <w:r>
              <w:t>£226.00</w:t>
            </w:r>
          </w:p>
        </w:tc>
      </w:tr>
      <w:tr w:rsidR="001317E5" w14:paraId="41D0FE3F" w14:textId="77777777" w:rsidTr="00FD6FCB">
        <w:trPr>
          <w:trHeight w:val="1485"/>
        </w:trPr>
        <w:tc>
          <w:tcPr>
            <w:tcW w:w="6067" w:type="dxa"/>
            <w:vAlign w:val="center"/>
          </w:tcPr>
          <w:p w14:paraId="363180D6" w14:textId="77777777" w:rsidR="001317E5" w:rsidRDefault="00FD6FCB" w:rsidP="00B6361D">
            <w:pPr>
              <w:pStyle w:val="TableParagraph"/>
              <w:spacing w:before="1"/>
              <w:ind w:left="567" w:right="279"/>
            </w:pPr>
            <w:r>
              <w:t>Paying Agents record set up costs for a pension and/or lump sum (These costs to be recovered by the Paying Agent by deduction from pension / lump sum payments).</w:t>
            </w:r>
          </w:p>
        </w:tc>
        <w:tc>
          <w:tcPr>
            <w:tcW w:w="3863" w:type="dxa"/>
            <w:vAlign w:val="center"/>
          </w:tcPr>
          <w:p w14:paraId="24285435" w14:textId="77777777" w:rsidR="00FD6FCB" w:rsidRDefault="00FD6FCB" w:rsidP="00B6361D">
            <w:pPr>
              <w:pStyle w:val="TableParagraph"/>
              <w:spacing w:before="1"/>
              <w:ind w:right="48"/>
              <w:jc w:val="center"/>
            </w:pPr>
            <w:r>
              <w:t>£135.00 set up</w:t>
            </w:r>
          </w:p>
          <w:p w14:paraId="3A332D27" w14:textId="77777777" w:rsidR="001317E5" w:rsidRDefault="00FD6FCB" w:rsidP="00B6361D">
            <w:pPr>
              <w:pStyle w:val="TableParagraph"/>
              <w:spacing w:before="1"/>
              <w:ind w:right="48"/>
              <w:jc w:val="center"/>
            </w:pPr>
            <w:r>
              <w:t>plus</w:t>
            </w:r>
          </w:p>
          <w:p w14:paraId="5857F7F9" w14:textId="77777777" w:rsidR="001317E5" w:rsidRDefault="00FD6FCB" w:rsidP="00B6361D">
            <w:pPr>
              <w:pStyle w:val="TableParagraph"/>
              <w:spacing w:before="1"/>
              <w:ind w:right="48"/>
              <w:jc w:val="center"/>
            </w:pPr>
            <w:r>
              <w:t>£52.00 per annum</w:t>
            </w:r>
          </w:p>
        </w:tc>
      </w:tr>
    </w:tbl>
    <w:p w14:paraId="09B69B38" w14:textId="77777777" w:rsidR="001317E5" w:rsidRDefault="001317E5" w:rsidP="00B6361D">
      <w:pPr>
        <w:pStyle w:val="BodyText"/>
        <w:rPr>
          <w:b/>
          <w:sz w:val="20"/>
        </w:rPr>
      </w:pPr>
    </w:p>
    <w:p w14:paraId="2A4D699B" w14:textId="3E9986F3" w:rsidR="001317E5" w:rsidRDefault="00FD6FCB" w:rsidP="00B6361D">
      <w:pPr>
        <w:spacing w:before="93"/>
        <w:ind w:left="741"/>
        <w:rPr>
          <w:b/>
        </w:rPr>
      </w:pPr>
      <w:r>
        <w:rPr>
          <w:b/>
        </w:rPr>
        <w:t>Important Information - requesting an estimate of benefits to a future date.</w:t>
      </w:r>
    </w:p>
    <w:p w14:paraId="76D93B9E" w14:textId="77777777" w:rsidR="001317E5" w:rsidRDefault="001317E5" w:rsidP="00B6361D">
      <w:pPr>
        <w:pStyle w:val="BodyText"/>
        <w:spacing w:before="11"/>
        <w:rPr>
          <w:b/>
          <w:sz w:val="23"/>
        </w:rPr>
      </w:pPr>
    </w:p>
    <w:p w14:paraId="06D11436" w14:textId="1F5D2186" w:rsidR="001317E5" w:rsidRDefault="00176228" w:rsidP="00E07773">
      <w:pPr>
        <w:pStyle w:val="BodyText"/>
        <w:ind w:left="709" w:right="965"/>
      </w:pPr>
      <w:r>
        <w:t xml:space="preserve">We cannot normally provide a valuation to a </w:t>
      </w:r>
      <w:r w:rsidR="00FD6FCB">
        <w:t>future date</w:t>
      </w:r>
      <w:r w:rsidR="006C7F65">
        <w:t xml:space="preserve">, </w:t>
      </w:r>
      <w:r w:rsidR="00FD6FCB">
        <w:t xml:space="preserve">or to your normal pension </w:t>
      </w:r>
      <w:r w:rsidR="00687B90">
        <w:t>age</w:t>
      </w:r>
      <w:r w:rsidR="006C7F65">
        <w:t xml:space="preserve">, </w:t>
      </w:r>
      <w:r w:rsidR="00687B90">
        <w:t>due</w:t>
      </w:r>
      <w:r>
        <w:t xml:space="preserve"> to the nature of pension accrual in the 2015 Scheme. </w:t>
      </w:r>
    </w:p>
    <w:p w14:paraId="1E01202E" w14:textId="77777777" w:rsidR="001317E5" w:rsidRDefault="001317E5" w:rsidP="00B6361D">
      <w:pPr>
        <w:pStyle w:val="BodyText"/>
        <w:spacing w:before="2"/>
        <w:rPr>
          <w:sz w:val="23"/>
        </w:rPr>
      </w:pPr>
    </w:p>
    <w:p w14:paraId="2C3C3FE8" w14:textId="5BA5AC3D" w:rsidR="001317E5" w:rsidRDefault="00FD6FCB" w:rsidP="00B6361D">
      <w:pPr>
        <w:ind w:left="741" w:right="892"/>
        <w:rPr>
          <w:b/>
        </w:rPr>
      </w:pPr>
      <w:r>
        <w:rPr>
          <w:b/>
        </w:rPr>
        <w:t xml:space="preserve">If you pay by cheque, it should be made payable to “NHS Business Services Authority”. </w:t>
      </w:r>
      <w:r w:rsidR="001073D4">
        <w:rPr>
          <w:b/>
        </w:rPr>
        <w:t xml:space="preserve">You should allow up to 10 working days for the payment to process. </w:t>
      </w:r>
    </w:p>
    <w:p w14:paraId="1E6C6DCB" w14:textId="77777777" w:rsidR="001317E5" w:rsidRDefault="001317E5" w:rsidP="00B6361D">
      <w:pPr>
        <w:sectPr w:rsidR="001317E5" w:rsidSect="0091762F">
          <w:pgSz w:w="11910" w:h="16840"/>
          <w:pgMar w:top="600" w:right="280" w:bottom="280" w:left="280" w:header="720" w:footer="720" w:gutter="0"/>
          <w:cols w:space="720"/>
        </w:sectPr>
      </w:pPr>
    </w:p>
    <w:p w14:paraId="40BCB54D" w14:textId="77777777" w:rsidR="001317E5" w:rsidRDefault="00FD6FCB" w:rsidP="00B6361D">
      <w:pPr>
        <w:spacing w:before="69"/>
        <w:ind w:left="740"/>
        <w:rPr>
          <w:b/>
          <w:sz w:val="24"/>
        </w:rPr>
      </w:pPr>
      <w:r>
        <w:rPr>
          <w:b/>
          <w:sz w:val="24"/>
        </w:rPr>
        <w:lastRenderedPageBreak/>
        <w:t>Annex A</w:t>
      </w:r>
    </w:p>
    <w:p w14:paraId="2284196D" w14:textId="77777777" w:rsidR="001317E5" w:rsidRPr="00A56542" w:rsidRDefault="001317E5" w:rsidP="00B6361D">
      <w:pPr>
        <w:pStyle w:val="BodyText"/>
        <w:rPr>
          <w:b/>
          <w:sz w:val="16"/>
        </w:rPr>
      </w:pPr>
    </w:p>
    <w:p w14:paraId="40D024E4" w14:textId="77777777" w:rsidR="001317E5" w:rsidRDefault="00FD6FCB" w:rsidP="00B6361D">
      <w:pPr>
        <w:spacing w:before="1"/>
        <w:ind w:left="740"/>
        <w:rPr>
          <w:sz w:val="24"/>
        </w:rPr>
      </w:pPr>
      <w:r>
        <w:rPr>
          <w:sz w:val="24"/>
        </w:rPr>
        <w:t>The process for implementation of a sharing order involves the following steps:</w:t>
      </w:r>
    </w:p>
    <w:p w14:paraId="0C2424CF" w14:textId="77777777" w:rsidR="001317E5" w:rsidRPr="00A56542" w:rsidRDefault="001317E5" w:rsidP="00B6361D">
      <w:pPr>
        <w:pStyle w:val="BodyText"/>
        <w:rPr>
          <w:sz w:val="16"/>
        </w:rPr>
      </w:pPr>
    </w:p>
    <w:p w14:paraId="61A4D4D7" w14:textId="77777777" w:rsidR="001317E5" w:rsidRDefault="00FD6FCB" w:rsidP="00B6361D">
      <w:pPr>
        <w:pStyle w:val="ListParagraph"/>
        <w:numPr>
          <w:ilvl w:val="0"/>
          <w:numId w:val="1"/>
        </w:numPr>
        <w:tabs>
          <w:tab w:val="left" w:pos="1100"/>
          <w:tab w:val="left" w:pos="1101"/>
        </w:tabs>
        <w:spacing w:before="1"/>
        <w:ind w:right="1427"/>
        <w:rPr>
          <w:sz w:val="24"/>
        </w:rPr>
      </w:pPr>
      <w:r>
        <w:rPr>
          <w:sz w:val="24"/>
        </w:rPr>
        <w:t>Examination and confirmation of acceptance (or otherwise) of wording of draft Joint Minute of</w:t>
      </w:r>
      <w:r>
        <w:rPr>
          <w:spacing w:val="-15"/>
          <w:sz w:val="24"/>
        </w:rPr>
        <w:t xml:space="preserve"> </w:t>
      </w:r>
      <w:r>
        <w:rPr>
          <w:sz w:val="24"/>
        </w:rPr>
        <w:t>Agreement.</w:t>
      </w:r>
    </w:p>
    <w:p w14:paraId="0B862C6D" w14:textId="77777777" w:rsidR="001317E5" w:rsidRPr="00A56542" w:rsidRDefault="001317E5" w:rsidP="00B6361D">
      <w:pPr>
        <w:pStyle w:val="BodyText"/>
        <w:spacing w:before="2"/>
        <w:rPr>
          <w:sz w:val="16"/>
        </w:rPr>
      </w:pPr>
    </w:p>
    <w:p w14:paraId="35630FCA" w14:textId="77777777" w:rsidR="001317E5" w:rsidRDefault="00FD6FCB" w:rsidP="00B6361D">
      <w:pPr>
        <w:pStyle w:val="ListParagraph"/>
        <w:numPr>
          <w:ilvl w:val="0"/>
          <w:numId w:val="1"/>
        </w:numPr>
        <w:tabs>
          <w:tab w:val="left" w:pos="1100"/>
          <w:tab w:val="left" w:pos="1101"/>
        </w:tabs>
        <w:ind w:right="1210"/>
        <w:rPr>
          <w:sz w:val="24"/>
        </w:rPr>
      </w:pPr>
      <w:r>
        <w:rPr>
          <w:sz w:val="24"/>
        </w:rPr>
        <w:t xml:space="preserve">Checking all documentation relating to the actual Pension Sharing </w:t>
      </w:r>
      <w:r>
        <w:rPr>
          <w:spacing w:val="-3"/>
          <w:sz w:val="24"/>
        </w:rPr>
        <w:t xml:space="preserve">order, </w:t>
      </w:r>
      <w:r>
        <w:rPr>
          <w:sz w:val="24"/>
        </w:rPr>
        <w:t>copy of final minute, decree etc. Letter confirming final order is</w:t>
      </w:r>
      <w:r>
        <w:rPr>
          <w:spacing w:val="-11"/>
          <w:sz w:val="24"/>
        </w:rPr>
        <w:t xml:space="preserve"> </w:t>
      </w:r>
      <w:r>
        <w:rPr>
          <w:sz w:val="24"/>
        </w:rPr>
        <w:t>enforceable.</w:t>
      </w:r>
    </w:p>
    <w:p w14:paraId="34618915" w14:textId="77777777" w:rsidR="001317E5" w:rsidRPr="00A56542" w:rsidRDefault="001317E5" w:rsidP="00B6361D">
      <w:pPr>
        <w:pStyle w:val="BodyText"/>
        <w:spacing w:before="2"/>
        <w:rPr>
          <w:sz w:val="16"/>
        </w:rPr>
      </w:pPr>
    </w:p>
    <w:p w14:paraId="1CD4B629" w14:textId="77777777" w:rsidR="001317E5" w:rsidRDefault="00FD6FCB" w:rsidP="00B6361D">
      <w:pPr>
        <w:pStyle w:val="ListParagraph"/>
        <w:numPr>
          <w:ilvl w:val="0"/>
          <w:numId w:val="1"/>
        </w:numPr>
        <w:tabs>
          <w:tab w:val="left" w:pos="1100"/>
          <w:tab w:val="left" w:pos="1101"/>
        </w:tabs>
        <w:spacing w:before="1"/>
        <w:ind w:right="1440"/>
        <w:rPr>
          <w:sz w:val="24"/>
        </w:rPr>
      </w:pPr>
      <w:r>
        <w:rPr>
          <w:sz w:val="24"/>
        </w:rPr>
        <w:t>Contacting all relevant third parties for information to allow actual calculations to be carried</w:t>
      </w:r>
      <w:r>
        <w:rPr>
          <w:spacing w:val="-1"/>
          <w:sz w:val="24"/>
        </w:rPr>
        <w:t xml:space="preserve"> </w:t>
      </w:r>
      <w:r>
        <w:rPr>
          <w:sz w:val="24"/>
        </w:rPr>
        <w:t>out.</w:t>
      </w:r>
    </w:p>
    <w:p w14:paraId="275CF9F8" w14:textId="77777777" w:rsidR="001317E5" w:rsidRPr="00A56542" w:rsidRDefault="001317E5" w:rsidP="00B6361D">
      <w:pPr>
        <w:pStyle w:val="BodyText"/>
        <w:spacing w:before="2"/>
        <w:rPr>
          <w:sz w:val="16"/>
        </w:rPr>
      </w:pPr>
    </w:p>
    <w:p w14:paraId="34EE65FA" w14:textId="77777777" w:rsidR="001317E5" w:rsidRDefault="00FD6FCB" w:rsidP="00B6361D">
      <w:pPr>
        <w:pStyle w:val="ListParagraph"/>
        <w:numPr>
          <w:ilvl w:val="0"/>
          <w:numId w:val="1"/>
        </w:numPr>
        <w:tabs>
          <w:tab w:val="left" w:pos="1100"/>
          <w:tab w:val="left" w:pos="1101"/>
        </w:tabs>
        <w:rPr>
          <w:sz w:val="24"/>
        </w:rPr>
      </w:pPr>
      <w:r>
        <w:rPr>
          <w:sz w:val="24"/>
        </w:rPr>
        <w:t>Carrying out all required</w:t>
      </w:r>
      <w:r>
        <w:rPr>
          <w:spacing w:val="-4"/>
          <w:sz w:val="24"/>
        </w:rPr>
        <w:t xml:space="preserve"> </w:t>
      </w:r>
      <w:r>
        <w:rPr>
          <w:sz w:val="24"/>
        </w:rPr>
        <w:t>calculations.</w:t>
      </w:r>
    </w:p>
    <w:p w14:paraId="38CAFB37" w14:textId="77777777" w:rsidR="001317E5" w:rsidRPr="00A56542" w:rsidRDefault="001317E5" w:rsidP="00B6361D">
      <w:pPr>
        <w:pStyle w:val="BodyText"/>
        <w:spacing w:before="1"/>
        <w:rPr>
          <w:sz w:val="16"/>
        </w:rPr>
      </w:pPr>
    </w:p>
    <w:p w14:paraId="5E144D30" w14:textId="77777777" w:rsidR="001317E5" w:rsidRDefault="00FD6FCB" w:rsidP="00B6361D">
      <w:pPr>
        <w:pStyle w:val="ListParagraph"/>
        <w:numPr>
          <w:ilvl w:val="0"/>
          <w:numId w:val="1"/>
        </w:numPr>
        <w:tabs>
          <w:tab w:val="left" w:pos="1100"/>
          <w:tab w:val="left" w:pos="1101"/>
        </w:tabs>
        <w:ind w:right="1125"/>
        <w:rPr>
          <w:sz w:val="24"/>
        </w:rPr>
      </w:pPr>
      <w:r>
        <w:rPr>
          <w:sz w:val="24"/>
        </w:rPr>
        <w:t xml:space="preserve">Amending the Debit member’s record to reflect the changes as a result of the Pension Sharing </w:t>
      </w:r>
      <w:r>
        <w:rPr>
          <w:spacing w:val="-3"/>
          <w:sz w:val="24"/>
        </w:rPr>
        <w:t>order.</w:t>
      </w:r>
    </w:p>
    <w:p w14:paraId="4BE20CF8" w14:textId="77777777" w:rsidR="001317E5" w:rsidRPr="00A56542" w:rsidRDefault="001317E5" w:rsidP="00B6361D">
      <w:pPr>
        <w:pStyle w:val="BodyText"/>
        <w:spacing w:before="2"/>
        <w:rPr>
          <w:sz w:val="16"/>
        </w:rPr>
      </w:pPr>
    </w:p>
    <w:p w14:paraId="3A185A77" w14:textId="29C77A6B" w:rsidR="001317E5" w:rsidRDefault="00FD6FCB" w:rsidP="00B6361D">
      <w:pPr>
        <w:pStyle w:val="ListParagraph"/>
        <w:numPr>
          <w:ilvl w:val="0"/>
          <w:numId w:val="1"/>
        </w:numPr>
        <w:tabs>
          <w:tab w:val="left" w:pos="1100"/>
          <w:tab w:val="left" w:pos="1101"/>
        </w:tabs>
        <w:spacing w:before="1"/>
        <w:rPr>
          <w:sz w:val="24"/>
        </w:rPr>
      </w:pPr>
      <w:r>
        <w:rPr>
          <w:sz w:val="24"/>
        </w:rPr>
        <w:t xml:space="preserve">Creating a Credit members record for the </w:t>
      </w:r>
      <w:r w:rsidR="002E5066">
        <w:rPr>
          <w:sz w:val="24"/>
        </w:rPr>
        <w:t>ex</w:t>
      </w:r>
      <w:r w:rsidR="002E5066">
        <w:rPr>
          <w:spacing w:val="-6"/>
          <w:sz w:val="24"/>
        </w:rPr>
        <w:t>-</w:t>
      </w:r>
      <w:r w:rsidR="002E5066">
        <w:rPr>
          <w:sz w:val="24"/>
        </w:rPr>
        <w:t>spouse</w:t>
      </w:r>
      <w:r>
        <w:rPr>
          <w:sz w:val="24"/>
        </w:rPr>
        <w:t>.</w:t>
      </w:r>
    </w:p>
    <w:p w14:paraId="53534EF0" w14:textId="77777777" w:rsidR="001317E5" w:rsidRPr="00A56542" w:rsidRDefault="001317E5" w:rsidP="00B6361D">
      <w:pPr>
        <w:pStyle w:val="BodyText"/>
        <w:spacing w:before="1"/>
        <w:rPr>
          <w:sz w:val="16"/>
        </w:rPr>
      </w:pPr>
    </w:p>
    <w:p w14:paraId="3E082082" w14:textId="77777777" w:rsidR="001317E5" w:rsidRDefault="00FD6FCB" w:rsidP="00B6361D">
      <w:pPr>
        <w:pStyle w:val="ListParagraph"/>
        <w:numPr>
          <w:ilvl w:val="0"/>
          <w:numId w:val="1"/>
        </w:numPr>
        <w:tabs>
          <w:tab w:val="left" w:pos="1100"/>
          <w:tab w:val="left" w:pos="1101"/>
        </w:tabs>
        <w:ind w:right="681"/>
        <w:rPr>
          <w:sz w:val="24"/>
        </w:rPr>
      </w:pPr>
      <w:r>
        <w:rPr>
          <w:sz w:val="24"/>
        </w:rPr>
        <w:t>Notifying the Debit member and their solicitor of the effect of the Pension Sharing order on the Debit member’s</w:t>
      </w:r>
      <w:r>
        <w:rPr>
          <w:spacing w:val="-2"/>
          <w:sz w:val="24"/>
        </w:rPr>
        <w:t xml:space="preserve"> </w:t>
      </w:r>
      <w:r>
        <w:rPr>
          <w:sz w:val="24"/>
        </w:rPr>
        <w:t>pension.</w:t>
      </w:r>
    </w:p>
    <w:p w14:paraId="58D3F477" w14:textId="77777777" w:rsidR="001317E5" w:rsidRPr="00A56542" w:rsidRDefault="001317E5" w:rsidP="00B6361D">
      <w:pPr>
        <w:pStyle w:val="BodyText"/>
        <w:spacing w:before="2"/>
        <w:rPr>
          <w:sz w:val="16"/>
        </w:rPr>
      </w:pPr>
    </w:p>
    <w:p w14:paraId="56565FE2" w14:textId="77777777" w:rsidR="001317E5" w:rsidRDefault="00FD6FCB" w:rsidP="00B6361D">
      <w:pPr>
        <w:pStyle w:val="ListParagraph"/>
        <w:numPr>
          <w:ilvl w:val="0"/>
          <w:numId w:val="1"/>
        </w:numPr>
        <w:tabs>
          <w:tab w:val="left" w:pos="1100"/>
          <w:tab w:val="left" w:pos="1101"/>
        </w:tabs>
        <w:ind w:right="919"/>
        <w:rPr>
          <w:sz w:val="24"/>
        </w:rPr>
      </w:pPr>
      <w:r>
        <w:rPr>
          <w:sz w:val="24"/>
        </w:rPr>
        <w:t>Notifying the Credit member and their solicitor of the value of the Credit pension created as a result of the Pension Sharing</w:t>
      </w:r>
      <w:r>
        <w:rPr>
          <w:spacing w:val="-4"/>
          <w:sz w:val="24"/>
        </w:rPr>
        <w:t xml:space="preserve"> </w:t>
      </w:r>
      <w:r>
        <w:rPr>
          <w:spacing w:val="-3"/>
          <w:sz w:val="24"/>
        </w:rPr>
        <w:t>order.</w:t>
      </w:r>
    </w:p>
    <w:p w14:paraId="4AA93519" w14:textId="77777777" w:rsidR="001317E5" w:rsidRPr="00A56542" w:rsidRDefault="001317E5" w:rsidP="00B6361D">
      <w:pPr>
        <w:pStyle w:val="BodyText"/>
        <w:spacing w:before="2"/>
        <w:rPr>
          <w:sz w:val="16"/>
        </w:rPr>
      </w:pPr>
    </w:p>
    <w:p w14:paraId="5866CB4F" w14:textId="77777777" w:rsidR="001317E5" w:rsidRDefault="00FD6FCB" w:rsidP="00B6361D">
      <w:pPr>
        <w:pStyle w:val="ListParagraph"/>
        <w:numPr>
          <w:ilvl w:val="0"/>
          <w:numId w:val="1"/>
        </w:numPr>
        <w:tabs>
          <w:tab w:val="left" w:pos="1100"/>
          <w:tab w:val="left" w:pos="1101"/>
        </w:tabs>
        <w:spacing w:before="1"/>
        <w:ind w:right="1201"/>
        <w:rPr>
          <w:sz w:val="24"/>
        </w:rPr>
      </w:pPr>
      <w:r>
        <w:rPr>
          <w:sz w:val="24"/>
        </w:rPr>
        <w:t>Calculation and payment of the Credit pension, (and any lump sum due, if applicable) when the Credit member becomes eligible for payment of</w:t>
      </w:r>
      <w:r>
        <w:rPr>
          <w:spacing w:val="-15"/>
          <w:sz w:val="24"/>
        </w:rPr>
        <w:t xml:space="preserve"> </w:t>
      </w:r>
      <w:r>
        <w:rPr>
          <w:sz w:val="24"/>
        </w:rPr>
        <w:t>benefits.</w:t>
      </w:r>
    </w:p>
    <w:p w14:paraId="7A927D9F" w14:textId="77777777" w:rsidR="001317E5" w:rsidRPr="00A56542" w:rsidRDefault="001317E5" w:rsidP="00B6361D">
      <w:pPr>
        <w:pStyle w:val="BodyText"/>
        <w:spacing w:before="2"/>
        <w:rPr>
          <w:sz w:val="16"/>
        </w:rPr>
      </w:pPr>
    </w:p>
    <w:p w14:paraId="60EA3A7D" w14:textId="77777777" w:rsidR="001317E5" w:rsidRDefault="00FD6FCB" w:rsidP="00B6361D">
      <w:pPr>
        <w:pStyle w:val="ListParagraph"/>
        <w:numPr>
          <w:ilvl w:val="0"/>
          <w:numId w:val="1"/>
        </w:numPr>
        <w:tabs>
          <w:tab w:val="left" w:pos="1100"/>
          <w:tab w:val="left" w:pos="1101"/>
        </w:tabs>
        <w:ind w:right="774"/>
        <w:rPr>
          <w:sz w:val="24"/>
        </w:rPr>
      </w:pPr>
      <w:r>
        <w:rPr>
          <w:sz w:val="24"/>
        </w:rPr>
        <w:t xml:space="preserve">Calculation and payment of the Debit pension (and any lump sum due if applicable) when the Debit member retires </w:t>
      </w:r>
      <w:proofErr w:type="gramStart"/>
      <w:r>
        <w:rPr>
          <w:sz w:val="24"/>
        </w:rPr>
        <w:t>taking into account</w:t>
      </w:r>
      <w:proofErr w:type="gramEnd"/>
      <w:r>
        <w:rPr>
          <w:sz w:val="24"/>
        </w:rPr>
        <w:t xml:space="preserve"> the deduction due for the Credit members annual pension increase to that</w:t>
      </w:r>
      <w:r>
        <w:rPr>
          <w:spacing w:val="-5"/>
          <w:sz w:val="24"/>
        </w:rPr>
        <w:t xml:space="preserve"> </w:t>
      </w:r>
      <w:r>
        <w:rPr>
          <w:sz w:val="24"/>
        </w:rPr>
        <w:t>date.</w:t>
      </w:r>
    </w:p>
    <w:p w14:paraId="14D2C5D3" w14:textId="77777777" w:rsidR="001317E5" w:rsidRPr="00A56542" w:rsidRDefault="001317E5" w:rsidP="00B6361D">
      <w:pPr>
        <w:pStyle w:val="BodyText"/>
        <w:spacing w:before="3"/>
        <w:rPr>
          <w:sz w:val="16"/>
        </w:rPr>
      </w:pPr>
    </w:p>
    <w:p w14:paraId="74FBDF27" w14:textId="77777777" w:rsidR="001317E5" w:rsidRDefault="00FD6FCB" w:rsidP="00B6361D">
      <w:pPr>
        <w:spacing w:before="1"/>
        <w:ind w:left="740"/>
        <w:rPr>
          <w:b/>
          <w:sz w:val="24"/>
        </w:rPr>
      </w:pPr>
      <w:r>
        <w:rPr>
          <w:b/>
          <w:sz w:val="24"/>
        </w:rPr>
        <w:t>Annex B</w:t>
      </w:r>
    </w:p>
    <w:p w14:paraId="7DACE183" w14:textId="77777777" w:rsidR="001317E5" w:rsidRPr="00A56542" w:rsidRDefault="001317E5" w:rsidP="00B6361D">
      <w:pPr>
        <w:pStyle w:val="BodyText"/>
        <w:spacing w:before="1"/>
        <w:rPr>
          <w:b/>
          <w:sz w:val="16"/>
        </w:rPr>
      </w:pPr>
    </w:p>
    <w:p w14:paraId="6C5452A7" w14:textId="77777777" w:rsidR="001317E5" w:rsidRDefault="00FD6FCB" w:rsidP="00B6361D">
      <w:pPr>
        <w:ind w:left="740"/>
        <w:rPr>
          <w:sz w:val="24"/>
        </w:rPr>
      </w:pPr>
      <w:r>
        <w:rPr>
          <w:sz w:val="24"/>
        </w:rPr>
        <w:t>The process for implementation of a pension attachment order involves the following steps:</w:t>
      </w:r>
    </w:p>
    <w:p w14:paraId="79F3B871" w14:textId="77777777" w:rsidR="001317E5" w:rsidRPr="00A56542" w:rsidRDefault="001317E5" w:rsidP="00B6361D">
      <w:pPr>
        <w:pStyle w:val="BodyText"/>
        <w:spacing w:before="1"/>
        <w:rPr>
          <w:sz w:val="16"/>
        </w:rPr>
      </w:pPr>
    </w:p>
    <w:p w14:paraId="15F7B6EC" w14:textId="14F441C3" w:rsidR="001317E5" w:rsidRDefault="00FD6FCB" w:rsidP="00B6361D">
      <w:pPr>
        <w:pStyle w:val="ListParagraph"/>
        <w:numPr>
          <w:ilvl w:val="0"/>
          <w:numId w:val="1"/>
        </w:numPr>
        <w:tabs>
          <w:tab w:val="left" w:pos="1100"/>
          <w:tab w:val="left" w:pos="1101"/>
          <w:tab w:val="left" w:pos="9675"/>
        </w:tabs>
        <w:ind w:right="827"/>
        <w:rPr>
          <w:sz w:val="24"/>
        </w:rPr>
      </w:pPr>
      <w:r>
        <w:rPr>
          <w:sz w:val="24"/>
        </w:rPr>
        <w:t>Examination and confirmation of acceptance (or otherwise) of wording</w:t>
      </w:r>
      <w:r>
        <w:rPr>
          <w:spacing w:val="-31"/>
          <w:sz w:val="24"/>
        </w:rPr>
        <w:t xml:space="preserve"> </w:t>
      </w:r>
      <w:r>
        <w:rPr>
          <w:sz w:val="24"/>
        </w:rPr>
        <w:t>of</w:t>
      </w:r>
      <w:r>
        <w:rPr>
          <w:spacing w:val="-4"/>
          <w:sz w:val="24"/>
        </w:rPr>
        <w:t xml:space="preserve"> </w:t>
      </w:r>
      <w:r>
        <w:rPr>
          <w:sz w:val="24"/>
        </w:rPr>
        <w:t>draft</w:t>
      </w:r>
      <w:r w:rsidR="009F4A13">
        <w:rPr>
          <w:sz w:val="24"/>
        </w:rPr>
        <w:t xml:space="preserve"> </w:t>
      </w:r>
      <w:r>
        <w:rPr>
          <w:spacing w:val="-3"/>
          <w:sz w:val="24"/>
        </w:rPr>
        <w:t xml:space="preserve">pension </w:t>
      </w:r>
      <w:r>
        <w:rPr>
          <w:sz w:val="24"/>
        </w:rPr>
        <w:t>attachment</w:t>
      </w:r>
      <w:r>
        <w:rPr>
          <w:spacing w:val="-2"/>
          <w:sz w:val="24"/>
        </w:rPr>
        <w:t xml:space="preserve"> </w:t>
      </w:r>
      <w:r>
        <w:rPr>
          <w:spacing w:val="-3"/>
          <w:sz w:val="24"/>
        </w:rPr>
        <w:t>order.</w:t>
      </w:r>
    </w:p>
    <w:p w14:paraId="5B31368D" w14:textId="77777777" w:rsidR="001317E5" w:rsidRPr="00A56542" w:rsidRDefault="001317E5" w:rsidP="00B6361D">
      <w:pPr>
        <w:pStyle w:val="BodyText"/>
        <w:spacing w:before="2"/>
        <w:rPr>
          <w:sz w:val="16"/>
        </w:rPr>
      </w:pPr>
    </w:p>
    <w:p w14:paraId="0A06AF9E" w14:textId="77777777" w:rsidR="001317E5" w:rsidRDefault="00FD6FCB" w:rsidP="00B6361D">
      <w:pPr>
        <w:pStyle w:val="ListParagraph"/>
        <w:numPr>
          <w:ilvl w:val="0"/>
          <w:numId w:val="1"/>
        </w:numPr>
        <w:tabs>
          <w:tab w:val="left" w:pos="1100"/>
          <w:tab w:val="left" w:pos="1101"/>
        </w:tabs>
        <w:ind w:right="877"/>
        <w:rPr>
          <w:sz w:val="24"/>
        </w:rPr>
      </w:pPr>
      <w:r>
        <w:rPr>
          <w:sz w:val="24"/>
        </w:rPr>
        <w:t xml:space="preserve">Checking all documentation relating to the actual pension attachment </w:t>
      </w:r>
      <w:r>
        <w:rPr>
          <w:spacing w:val="-3"/>
          <w:sz w:val="24"/>
        </w:rPr>
        <w:t xml:space="preserve">order, </w:t>
      </w:r>
      <w:r>
        <w:rPr>
          <w:sz w:val="24"/>
        </w:rPr>
        <w:t>copy of final minute, decree etc. Letter confirming final order is</w:t>
      </w:r>
      <w:r>
        <w:rPr>
          <w:spacing w:val="-10"/>
          <w:sz w:val="24"/>
        </w:rPr>
        <w:t xml:space="preserve"> </w:t>
      </w:r>
      <w:r>
        <w:rPr>
          <w:sz w:val="24"/>
        </w:rPr>
        <w:t>enforceable.</w:t>
      </w:r>
    </w:p>
    <w:p w14:paraId="3D8C058F" w14:textId="77777777" w:rsidR="001317E5" w:rsidRPr="00A56542" w:rsidRDefault="001317E5" w:rsidP="00B6361D">
      <w:pPr>
        <w:pStyle w:val="BodyText"/>
        <w:spacing w:before="3"/>
        <w:rPr>
          <w:sz w:val="16"/>
        </w:rPr>
      </w:pPr>
    </w:p>
    <w:p w14:paraId="3FBE0B87" w14:textId="77777777" w:rsidR="001317E5" w:rsidRDefault="00FD6FCB" w:rsidP="00B6361D">
      <w:pPr>
        <w:pStyle w:val="ListParagraph"/>
        <w:numPr>
          <w:ilvl w:val="0"/>
          <w:numId w:val="1"/>
        </w:numPr>
        <w:tabs>
          <w:tab w:val="left" w:pos="1100"/>
          <w:tab w:val="left" w:pos="1101"/>
        </w:tabs>
        <w:ind w:right="1779"/>
        <w:rPr>
          <w:sz w:val="24"/>
        </w:rPr>
      </w:pPr>
      <w:r>
        <w:rPr>
          <w:sz w:val="24"/>
        </w:rPr>
        <w:t>Amending the member’s record to reflect the changes as a result of the pension attachment</w:t>
      </w:r>
      <w:r>
        <w:rPr>
          <w:spacing w:val="-2"/>
          <w:sz w:val="24"/>
        </w:rPr>
        <w:t xml:space="preserve"> </w:t>
      </w:r>
      <w:r>
        <w:rPr>
          <w:spacing w:val="-3"/>
          <w:sz w:val="24"/>
        </w:rPr>
        <w:t>order.</w:t>
      </w:r>
    </w:p>
    <w:p w14:paraId="78CD05F1" w14:textId="77777777" w:rsidR="001317E5" w:rsidRPr="00A56542" w:rsidRDefault="001317E5" w:rsidP="00B6361D">
      <w:pPr>
        <w:pStyle w:val="BodyText"/>
        <w:spacing w:before="2"/>
        <w:rPr>
          <w:sz w:val="16"/>
        </w:rPr>
      </w:pPr>
    </w:p>
    <w:p w14:paraId="6C69EED3" w14:textId="77777777" w:rsidR="001317E5" w:rsidRDefault="00FD6FCB" w:rsidP="00B6361D">
      <w:pPr>
        <w:pStyle w:val="ListParagraph"/>
        <w:numPr>
          <w:ilvl w:val="0"/>
          <w:numId w:val="1"/>
        </w:numPr>
        <w:tabs>
          <w:tab w:val="left" w:pos="1100"/>
          <w:tab w:val="left" w:pos="1101"/>
        </w:tabs>
        <w:ind w:right="741"/>
        <w:rPr>
          <w:sz w:val="24"/>
        </w:rPr>
      </w:pPr>
      <w:r>
        <w:rPr>
          <w:sz w:val="24"/>
        </w:rPr>
        <w:t xml:space="preserve">Calculation and payment of the member’s retirement or death benefits </w:t>
      </w:r>
      <w:proofErr w:type="gramStart"/>
      <w:r>
        <w:rPr>
          <w:sz w:val="24"/>
        </w:rPr>
        <w:t>taking into account</w:t>
      </w:r>
      <w:proofErr w:type="gramEnd"/>
      <w:r>
        <w:rPr>
          <w:sz w:val="24"/>
        </w:rPr>
        <w:t xml:space="preserve"> the implemented pension attachment</w:t>
      </w:r>
      <w:r>
        <w:rPr>
          <w:spacing w:val="-5"/>
          <w:sz w:val="24"/>
        </w:rPr>
        <w:t xml:space="preserve"> </w:t>
      </w:r>
      <w:r>
        <w:rPr>
          <w:spacing w:val="-3"/>
          <w:sz w:val="24"/>
        </w:rPr>
        <w:t>order.</w:t>
      </w:r>
    </w:p>
    <w:p w14:paraId="36FC13A8" w14:textId="77777777" w:rsidR="001317E5" w:rsidRPr="00A56542" w:rsidRDefault="001317E5" w:rsidP="00B6361D">
      <w:pPr>
        <w:pStyle w:val="BodyText"/>
        <w:spacing w:before="3"/>
        <w:rPr>
          <w:sz w:val="16"/>
        </w:rPr>
      </w:pPr>
    </w:p>
    <w:p w14:paraId="7F8AE95F" w14:textId="77777777" w:rsidR="001317E5" w:rsidRDefault="00FD6FCB" w:rsidP="00B6361D">
      <w:pPr>
        <w:pStyle w:val="ListParagraph"/>
        <w:numPr>
          <w:ilvl w:val="0"/>
          <w:numId w:val="1"/>
        </w:numPr>
        <w:tabs>
          <w:tab w:val="left" w:pos="1100"/>
          <w:tab w:val="left" w:pos="1101"/>
        </w:tabs>
        <w:ind w:right="931"/>
        <w:rPr>
          <w:sz w:val="24"/>
        </w:rPr>
      </w:pPr>
      <w:r>
        <w:rPr>
          <w:sz w:val="24"/>
        </w:rPr>
        <w:t>Contacting the former spouse at the member’s retirement or death. The calculation and payment of earmarked retirement or death</w:t>
      </w:r>
      <w:r>
        <w:rPr>
          <w:spacing w:val="-8"/>
          <w:sz w:val="24"/>
        </w:rPr>
        <w:t xml:space="preserve"> </w:t>
      </w:r>
      <w:r>
        <w:rPr>
          <w:sz w:val="24"/>
        </w:rPr>
        <w:t>benefits.</w:t>
      </w:r>
    </w:p>
    <w:sectPr w:rsidR="001317E5">
      <w:pgSz w:w="11910" w:h="16840"/>
      <w:pgMar w:top="600" w:right="280" w:bottom="280" w:left="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9D781" w14:textId="77777777" w:rsidR="00616045" w:rsidRDefault="00616045" w:rsidP="00FD6FCB">
      <w:r>
        <w:separator/>
      </w:r>
    </w:p>
  </w:endnote>
  <w:endnote w:type="continuationSeparator" w:id="0">
    <w:p w14:paraId="3870B47B" w14:textId="77777777" w:rsidR="00616045" w:rsidRDefault="00616045" w:rsidP="00FD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49D78" w14:textId="0E06955A" w:rsidR="00FD6FCB" w:rsidRPr="00FD6FCB" w:rsidRDefault="00FD6FCB" w:rsidP="00FD6FCB">
    <w:pPr>
      <w:pStyle w:val="Footer"/>
      <w:jc w:val="right"/>
      <w:rPr>
        <w:sz w:val="20"/>
        <w:szCs w:val="20"/>
      </w:rPr>
    </w:pPr>
    <w:r w:rsidRPr="00FD6FCB">
      <w:rPr>
        <w:sz w:val="20"/>
        <w:szCs w:val="20"/>
      </w:rPr>
      <w:t>Schedule of charges for pensions on divorce or dissolution of a civil partnership from 01/0</w:t>
    </w:r>
    <w:r w:rsidR="0093307E">
      <w:rPr>
        <w:sz w:val="20"/>
        <w:szCs w:val="20"/>
      </w:rPr>
      <w:t>7</w:t>
    </w:r>
    <w:r w:rsidRPr="00FD6FCB">
      <w:rPr>
        <w:sz w:val="20"/>
        <w:szCs w:val="20"/>
      </w:rPr>
      <w:t>/201</w:t>
    </w:r>
    <w:r w:rsidR="0093307E">
      <w:rPr>
        <w:sz w:val="20"/>
        <w:szCs w:val="20"/>
      </w:rPr>
      <w:t>9-</w:t>
    </w:r>
    <w:r w:rsidR="00A56542">
      <w:rPr>
        <w:sz w:val="20"/>
        <w:szCs w:val="20"/>
      </w:rPr>
      <w:t>20</w:t>
    </w:r>
    <w:r w:rsidR="005C0E46">
      <w:rPr>
        <w:sz w:val="20"/>
        <w:szCs w:val="20"/>
      </w:rPr>
      <w:t>2</w:t>
    </w:r>
    <w:r w:rsidR="006208BB">
      <w:rPr>
        <w:sz w:val="20"/>
        <w:szCs w:val="20"/>
      </w:rPr>
      <w:t>40620</w:t>
    </w:r>
    <w:r w:rsidR="00A56542">
      <w:rPr>
        <w:sz w:val="20"/>
        <w:szCs w:val="20"/>
      </w:rPr>
      <w:t>-</w:t>
    </w:r>
    <w:r w:rsidR="00D47664">
      <w:rPr>
        <w:sz w:val="20"/>
        <w:szCs w:val="20"/>
      </w:rPr>
      <w:t>(V</w:t>
    </w:r>
    <w:r w:rsidR="005C0E46">
      <w:rPr>
        <w:sz w:val="20"/>
        <w:szCs w:val="20"/>
      </w:rPr>
      <w:t>2</w:t>
    </w:r>
    <w:r w:rsidR="006208BB">
      <w:rPr>
        <w:sz w:val="20"/>
        <w:szCs w:val="20"/>
      </w:rPr>
      <w:t>2</w:t>
    </w:r>
    <w:r w:rsidRPr="00FD6FCB">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3FF3D" w14:textId="77777777" w:rsidR="00616045" w:rsidRDefault="00616045" w:rsidP="00FD6FCB">
      <w:r>
        <w:separator/>
      </w:r>
    </w:p>
  </w:footnote>
  <w:footnote w:type="continuationSeparator" w:id="0">
    <w:p w14:paraId="70D2257E" w14:textId="77777777" w:rsidR="00616045" w:rsidRDefault="00616045" w:rsidP="00FD6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310D0"/>
    <w:multiLevelType w:val="hybridMultilevel"/>
    <w:tmpl w:val="6D0008CA"/>
    <w:lvl w:ilvl="0" w:tplc="949A81C4">
      <w:numFmt w:val="bullet"/>
      <w:lvlText w:val="•"/>
      <w:lvlJc w:val="left"/>
      <w:pPr>
        <w:ind w:left="1100" w:hanging="360"/>
      </w:pPr>
      <w:rPr>
        <w:rFonts w:ascii="Arial" w:eastAsia="Arial" w:hAnsi="Arial" w:cs="Arial" w:hint="default"/>
        <w:spacing w:val="-14"/>
        <w:w w:val="100"/>
        <w:sz w:val="24"/>
        <w:szCs w:val="24"/>
        <w:lang w:val="en-GB" w:eastAsia="en-GB" w:bidi="en-GB"/>
      </w:rPr>
    </w:lvl>
    <w:lvl w:ilvl="1" w:tplc="C304E81C">
      <w:numFmt w:val="bullet"/>
      <w:lvlText w:val="•"/>
      <w:lvlJc w:val="left"/>
      <w:pPr>
        <w:ind w:left="2124" w:hanging="360"/>
      </w:pPr>
      <w:rPr>
        <w:rFonts w:hint="default"/>
        <w:lang w:val="en-GB" w:eastAsia="en-GB" w:bidi="en-GB"/>
      </w:rPr>
    </w:lvl>
    <w:lvl w:ilvl="2" w:tplc="FD6818B0">
      <w:numFmt w:val="bullet"/>
      <w:lvlText w:val="•"/>
      <w:lvlJc w:val="left"/>
      <w:pPr>
        <w:ind w:left="3149" w:hanging="360"/>
      </w:pPr>
      <w:rPr>
        <w:rFonts w:hint="default"/>
        <w:lang w:val="en-GB" w:eastAsia="en-GB" w:bidi="en-GB"/>
      </w:rPr>
    </w:lvl>
    <w:lvl w:ilvl="3" w:tplc="73B203F8">
      <w:numFmt w:val="bullet"/>
      <w:lvlText w:val="•"/>
      <w:lvlJc w:val="left"/>
      <w:pPr>
        <w:ind w:left="4173" w:hanging="360"/>
      </w:pPr>
      <w:rPr>
        <w:rFonts w:hint="default"/>
        <w:lang w:val="en-GB" w:eastAsia="en-GB" w:bidi="en-GB"/>
      </w:rPr>
    </w:lvl>
    <w:lvl w:ilvl="4" w:tplc="B382080C">
      <w:numFmt w:val="bullet"/>
      <w:lvlText w:val="•"/>
      <w:lvlJc w:val="left"/>
      <w:pPr>
        <w:ind w:left="5198" w:hanging="360"/>
      </w:pPr>
      <w:rPr>
        <w:rFonts w:hint="default"/>
        <w:lang w:val="en-GB" w:eastAsia="en-GB" w:bidi="en-GB"/>
      </w:rPr>
    </w:lvl>
    <w:lvl w:ilvl="5" w:tplc="080C2C20">
      <w:numFmt w:val="bullet"/>
      <w:lvlText w:val="•"/>
      <w:lvlJc w:val="left"/>
      <w:pPr>
        <w:ind w:left="6222" w:hanging="360"/>
      </w:pPr>
      <w:rPr>
        <w:rFonts w:hint="default"/>
        <w:lang w:val="en-GB" w:eastAsia="en-GB" w:bidi="en-GB"/>
      </w:rPr>
    </w:lvl>
    <w:lvl w:ilvl="6" w:tplc="1DACB7B8">
      <w:numFmt w:val="bullet"/>
      <w:lvlText w:val="•"/>
      <w:lvlJc w:val="left"/>
      <w:pPr>
        <w:ind w:left="7247" w:hanging="360"/>
      </w:pPr>
      <w:rPr>
        <w:rFonts w:hint="default"/>
        <w:lang w:val="en-GB" w:eastAsia="en-GB" w:bidi="en-GB"/>
      </w:rPr>
    </w:lvl>
    <w:lvl w:ilvl="7" w:tplc="A5008482">
      <w:numFmt w:val="bullet"/>
      <w:lvlText w:val="•"/>
      <w:lvlJc w:val="left"/>
      <w:pPr>
        <w:ind w:left="8271" w:hanging="360"/>
      </w:pPr>
      <w:rPr>
        <w:rFonts w:hint="default"/>
        <w:lang w:val="en-GB" w:eastAsia="en-GB" w:bidi="en-GB"/>
      </w:rPr>
    </w:lvl>
    <w:lvl w:ilvl="8" w:tplc="D31C4F2C">
      <w:numFmt w:val="bullet"/>
      <w:lvlText w:val="•"/>
      <w:lvlJc w:val="left"/>
      <w:pPr>
        <w:ind w:left="9296" w:hanging="360"/>
      </w:pPr>
      <w:rPr>
        <w:rFonts w:hint="default"/>
        <w:lang w:val="en-GB" w:eastAsia="en-GB" w:bidi="en-GB"/>
      </w:rPr>
    </w:lvl>
  </w:abstractNum>
  <w:abstractNum w:abstractNumId="1" w15:restartNumberingAfterBreak="0">
    <w:nsid w:val="1E3172A1"/>
    <w:multiLevelType w:val="hybridMultilevel"/>
    <w:tmpl w:val="CC6013CE"/>
    <w:lvl w:ilvl="0" w:tplc="360AADD8">
      <w:start w:val="1"/>
      <w:numFmt w:val="decimal"/>
      <w:lvlText w:val="%1."/>
      <w:lvlJc w:val="left"/>
      <w:pPr>
        <w:ind w:left="1020" w:hanging="360"/>
      </w:pPr>
    </w:lvl>
    <w:lvl w:ilvl="1" w:tplc="B906A0B6">
      <w:start w:val="1"/>
      <w:numFmt w:val="decimal"/>
      <w:lvlText w:val="%2."/>
      <w:lvlJc w:val="left"/>
      <w:pPr>
        <w:ind w:left="1020" w:hanging="360"/>
      </w:pPr>
    </w:lvl>
    <w:lvl w:ilvl="2" w:tplc="123A8568">
      <w:start w:val="1"/>
      <w:numFmt w:val="decimal"/>
      <w:lvlText w:val="%3."/>
      <w:lvlJc w:val="left"/>
      <w:pPr>
        <w:ind w:left="1020" w:hanging="360"/>
      </w:pPr>
    </w:lvl>
    <w:lvl w:ilvl="3" w:tplc="731090A8">
      <w:start w:val="1"/>
      <w:numFmt w:val="decimal"/>
      <w:lvlText w:val="%4."/>
      <w:lvlJc w:val="left"/>
      <w:pPr>
        <w:ind w:left="1020" w:hanging="360"/>
      </w:pPr>
    </w:lvl>
    <w:lvl w:ilvl="4" w:tplc="0032C1D0">
      <w:start w:val="1"/>
      <w:numFmt w:val="decimal"/>
      <w:lvlText w:val="%5."/>
      <w:lvlJc w:val="left"/>
      <w:pPr>
        <w:ind w:left="1020" w:hanging="360"/>
      </w:pPr>
    </w:lvl>
    <w:lvl w:ilvl="5" w:tplc="0240AFC4">
      <w:start w:val="1"/>
      <w:numFmt w:val="decimal"/>
      <w:lvlText w:val="%6."/>
      <w:lvlJc w:val="left"/>
      <w:pPr>
        <w:ind w:left="1020" w:hanging="360"/>
      </w:pPr>
    </w:lvl>
    <w:lvl w:ilvl="6" w:tplc="83D030B4">
      <w:start w:val="1"/>
      <w:numFmt w:val="decimal"/>
      <w:lvlText w:val="%7."/>
      <w:lvlJc w:val="left"/>
      <w:pPr>
        <w:ind w:left="1020" w:hanging="360"/>
      </w:pPr>
    </w:lvl>
    <w:lvl w:ilvl="7" w:tplc="FAB0D148">
      <w:start w:val="1"/>
      <w:numFmt w:val="decimal"/>
      <w:lvlText w:val="%8."/>
      <w:lvlJc w:val="left"/>
      <w:pPr>
        <w:ind w:left="1020" w:hanging="360"/>
      </w:pPr>
    </w:lvl>
    <w:lvl w:ilvl="8" w:tplc="4978F29E">
      <w:start w:val="1"/>
      <w:numFmt w:val="decimal"/>
      <w:lvlText w:val="%9."/>
      <w:lvlJc w:val="left"/>
      <w:pPr>
        <w:ind w:left="1020" w:hanging="360"/>
      </w:pPr>
    </w:lvl>
  </w:abstractNum>
  <w:abstractNum w:abstractNumId="2" w15:restartNumberingAfterBreak="0">
    <w:nsid w:val="49660841"/>
    <w:multiLevelType w:val="hybridMultilevel"/>
    <w:tmpl w:val="CB76F900"/>
    <w:lvl w:ilvl="0" w:tplc="26423D2E">
      <w:start w:val="1"/>
      <w:numFmt w:val="decimal"/>
      <w:lvlText w:val="%1."/>
      <w:lvlJc w:val="left"/>
      <w:pPr>
        <w:ind w:left="1020" w:hanging="360"/>
      </w:pPr>
    </w:lvl>
    <w:lvl w:ilvl="1" w:tplc="7C1CA0B8">
      <w:start w:val="1"/>
      <w:numFmt w:val="decimal"/>
      <w:lvlText w:val="%2."/>
      <w:lvlJc w:val="left"/>
      <w:pPr>
        <w:ind w:left="1020" w:hanging="360"/>
      </w:pPr>
    </w:lvl>
    <w:lvl w:ilvl="2" w:tplc="4636E802">
      <w:start w:val="1"/>
      <w:numFmt w:val="decimal"/>
      <w:lvlText w:val="%3."/>
      <w:lvlJc w:val="left"/>
      <w:pPr>
        <w:ind w:left="1020" w:hanging="360"/>
      </w:pPr>
    </w:lvl>
    <w:lvl w:ilvl="3" w:tplc="4274F276">
      <w:start w:val="1"/>
      <w:numFmt w:val="decimal"/>
      <w:lvlText w:val="%4."/>
      <w:lvlJc w:val="left"/>
      <w:pPr>
        <w:ind w:left="1020" w:hanging="360"/>
      </w:pPr>
    </w:lvl>
    <w:lvl w:ilvl="4" w:tplc="4C4A30BE">
      <w:start w:val="1"/>
      <w:numFmt w:val="decimal"/>
      <w:lvlText w:val="%5."/>
      <w:lvlJc w:val="left"/>
      <w:pPr>
        <w:ind w:left="1020" w:hanging="360"/>
      </w:pPr>
    </w:lvl>
    <w:lvl w:ilvl="5" w:tplc="405EBA20">
      <w:start w:val="1"/>
      <w:numFmt w:val="decimal"/>
      <w:lvlText w:val="%6."/>
      <w:lvlJc w:val="left"/>
      <w:pPr>
        <w:ind w:left="1020" w:hanging="360"/>
      </w:pPr>
    </w:lvl>
    <w:lvl w:ilvl="6" w:tplc="E7C88744">
      <w:start w:val="1"/>
      <w:numFmt w:val="decimal"/>
      <w:lvlText w:val="%7."/>
      <w:lvlJc w:val="left"/>
      <w:pPr>
        <w:ind w:left="1020" w:hanging="360"/>
      </w:pPr>
    </w:lvl>
    <w:lvl w:ilvl="7" w:tplc="9B4AE14C">
      <w:start w:val="1"/>
      <w:numFmt w:val="decimal"/>
      <w:lvlText w:val="%8."/>
      <w:lvlJc w:val="left"/>
      <w:pPr>
        <w:ind w:left="1020" w:hanging="360"/>
      </w:pPr>
    </w:lvl>
    <w:lvl w:ilvl="8" w:tplc="A4D64B12">
      <w:start w:val="1"/>
      <w:numFmt w:val="decimal"/>
      <w:lvlText w:val="%9."/>
      <w:lvlJc w:val="left"/>
      <w:pPr>
        <w:ind w:left="1020" w:hanging="360"/>
      </w:pPr>
    </w:lvl>
  </w:abstractNum>
  <w:num w:numId="1" w16cid:durableId="1083140761">
    <w:abstractNumId w:val="0"/>
  </w:num>
  <w:num w:numId="2" w16cid:durableId="916749958">
    <w:abstractNumId w:val="2"/>
  </w:num>
  <w:num w:numId="3" w16cid:durableId="440105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trackedChange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E5"/>
    <w:rsid w:val="00024490"/>
    <w:rsid w:val="00026805"/>
    <w:rsid w:val="00043E96"/>
    <w:rsid w:val="00053A2D"/>
    <w:rsid w:val="00085C5C"/>
    <w:rsid w:val="00090F53"/>
    <w:rsid w:val="00093952"/>
    <w:rsid w:val="000944F8"/>
    <w:rsid w:val="000978FD"/>
    <w:rsid w:val="000A5CCD"/>
    <w:rsid w:val="000A7391"/>
    <w:rsid w:val="000B2F16"/>
    <w:rsid w:val="000C68F5"/>
    <w:rsid w:val="00106864"/>
    <w:rsid w:val="001073D4"/>
    <w:rsid w:val="001317E5"/>
    <w:rsid w:val="00142FAB"/>
    <w:rsid w:val="00143262"/>
    <w:rsid w:val="001443EF"/>
    <w:rsid w:val="00146750"/>
    <w:rsid w:val="00176228"/>
    <w:rsid w:val="00177674"/>
    <w:rsid w:val="001847C1"/>
    <w:rsid w:val="00193606"/>
    <w:rsid w:val="001939C2"/>
    <w:rsid w:val="001A41B8"/>
    <w:rsid w:val="001A567C"/>
    <w:rsid w:val="001B7532"/>
    <w:rsid w:val="001E50BF"/>
    <w:rsid w:val="001F43DB"/>
    <w:rsid w:val="002007FF"/>
    <w:rsid w:val="002115D7"/>
    <w:rsid w:val="0022702D"/>
    <w:rsid w:val="00287684"/>
    <w:rsid w:val="002976C9"/>
    <w:rsid w:val="002B0842"/>
    <w:rsid w:val="002C5999"/>
    <w:rsid w:val="002D2C34"/>
    <w:rsid w:val="002E5066"/>
    <w:rsid w:val="0037134C"/>
    <w:rsid w:val="0038484C"/>
    <w:rsid w:val="003A0F3D"/>
    <w:rsid w:val="003A7837"/>
    <w:rsid w:val="003C072D"/>
    <w:rsid w:val="003C6275"/>
    <w:rsid w:val="003C787E"/>
    <w:rsid w:val="003E2430"/>
    <w:rsid w:val="00431F30"/>
    <w:rsid w:val="00437612"/>
    <w:rsid w:val="00465337"/>
    <w:rsid w:val="004863A6"/>
    <w:rsid w:val="00487FB5"/>
    <w:rsid w:val="00490658"/>
    <w:rsid w:val="004B4DFC"/>
    <w:rsid w:val="004D17D5"/>
    <w:rsid w:val="004F1D2A"/>
    <w:rsid w:val="00511A1F"/>
    <w:rsid w:val="005246D2"/>
    <w:rsid w:val="00536727"/>
    <w:rsid w:val="00537A04"/>
    <w:rsid w:val="00552838"/>
    <w:rsid w:val="005530C4"/>
    <w:rsid w:val="00554061"/>
    <w:rsid w:val="005560FC"/>
    <w:rsid w:val="00565C3A"/>
    <w:rsid w:val="00576272"/>
    <w:rsid w:val="0058480A"/>
    <w:rsid w:val="005B30B1"/>
    <w:rsid w:val="005C0E46"/>
    <w:rsid w:val="005E4ADD"/>
    <w:rsid w:val="005E6EA2"/>
    <w:rsid w:val="005F257D"/>
    <w:rsid w:val="00601FE6"/>
    <w:rsid w:val="00602E9B"/>
    <w:rsid w:val="00616045"/>
    <w:rsid w:val="006208BB"/>
    <w:rsid w:val="006270AC"/>
    <w:rsid w:val="00631A6B"/>
    <w:rsid w:val="0068206D"/>
    <w:rsid w:val="00687B90"/>
    <w:rsid w:val="006939CE"/>
    <w:rsid w:val="006C7F65"/>
    <w:rsid w:val="006F6664"/>
    <w:rsid w:val="00707F3C"/>
    <w:rsid w:val="00727733"/>
    <w:rsid w:val="00777203"/>
    <w:rsid w:val="0079102C"/>
    <w:rsid w:val="007B7E66"/>
    <w:rsid w:val="007C5BDA"/>
    <w:rsid w:val="007D70FD"/>
    <w:rsid w:val="007F439F"/>
    <w:rsid w:val="0081115C"/>
    <w:rsid w:val="00821209"/>
    <w:rsid w:val="0082336C"/>
    <w:rsid w:val="00862626"/>
    <w:rsid w:val="008727B6"/>
    <w:rsid w:val="00872C0D"/>
    <w:rsid w:val="0087599F"/>
    <w:rsid w:val="0088698E"/>
    <w:rsid w:val="008907F9"/>
    <w:rsid w:val="008C42A2"/>
    <w:rsid w:val="008D641E"/>
    <w:rsid w:val="0091762F"/>
    <w:rsid w:val="0093307E"/>
    <w:rsid w:val="0095131B"/>
    <w:rsid w:val="00986FC6"/>
    <w:rsid w:val="00991DD7"/>
    <w:rsid w:val="009A5F56"/>
    <w:rsid w:val="009C22F1"/>
    <w:rsid w:val="009D1F18"/>
    <w:rsid w:val="009F0734"/>
    <w:rsid w:val="009F46F3"/>
    <w:rsid w:val="009F4A13"/>
    <w:rsid w:val="009F7490"/>
    <w:rsid w:val="00A3380C"/>
    <w:rsid w:val="00A563C8"/>
    <w:rsid w:val="00A56542"/>
    <w:rsid w:val="00A7514A"/>
    <w:rsid w:val="00A81C77"/>
    <w:rsid w:val="00A839D5"/>
    <w:rsid w:val="00A924A9"/>
    <w:rsid w:val="00AB2833"/>
    <w:rsid w:val="00B35A1D"/>
    <w:rsid w:val="00B35C7F"/>
    <w:rsid w:val="00B45195"/>
    <w:rsid w:val="00B6361D"/>
    <w:rsid w:val="00B67F2E"/>
    <w:rsid w:val="00BC08D6"/>
    <w:rsid w:val="00BC684C"/>
    <w:rsid w:val="00C02D3D"/>
    <w:rsid w:val="00C11DCE"/>
    <w:rsid w:val="00C224AF"/>
    <w:rsid w:val="00C41BFD"/>
    <w:rsid w:val="00C63E9E"/>
    <w:rsid w:val="00C70D70"/>
    <w:rsid w:val="00C734F3"/>
    <w:rsid w:val="00CA046B"/>
    <w:rsid w:val="00CA30BD"/>
    <w:rsid w:val="00CA600A"/>
    <w:rsid w:val="00CB260B"/>
    <w:rsid w:val="00CC060A"/>
    <w:rsid w:val="00CC1E80"/>
    <w:rsid w:val="00CC631E"/>
    <w:rsid w:val="00CD005E"/>
    <w:rsid w:val="00CD520E"/>
    <w:rsid w:val="00CE02EF"/>
    <w:rsid w:val="00D044F7"/>
    <w:rsid w:val="00D32127"/>
    <w:rsid w:val="00D4277D"/>
    <w:rsid w:val="00D453D0"/>
    <w:rsid w:val="00D47664"/>
    <w:rsid w:val="00D51B51"/>
    <w:rsid w:val="00D52B9E"/>
    <w:rsid w:val="00D70448"/>
    <w:rsid w:val="00D718B2"/>
    <w:rsid w:val="00D819BB"/>
    <w:rsid w:val="00DB583B"/>
    <w:rsid w:val="00DC41DF"/>
    <w:rsid w:val="00DF268F"/>
    <w:rsid w:val="00E060A8"/>
    <w:rsid w:val="00E07773"/>
    <w:rsid w:val="00E163A9"/>
    <w:rsid w:val="00E30038"/>
    <w:rsid w:val="00E56D24"/>
    <w:rsid w:val="00EB17A3"/>
    <w:rsid w:val="00EB60FD"/>
    <w:rsid w:val="00EB7D6B"/>
    <w:rsid w:val="00ED1FCE"/>
    <w:rsid w:val="00EE658D"/>
    <w:rsid w:val="00F1098E"/>
    <w:rsid w:val="00F12975"/>
    <w:rsid w:val="00F17D68"/>
    <w:rsid w:val="00F311B4"/>
    <w:rsid w:val="00F322E2"/>
    <w:rsid w:val="00F34FF9"/>
    <w:rsid w:val="00F42F75"/>
    <w:rsid w:val="00F43C8E"/>
    <w:rsid w:val="00F44727"/>
    <w:rsid w:val="00F52027"/>
    <w:rsid w:val="00F666CB"/>
    <w:rsid w:val="00F678D8"/>
    <w:rsid w:val="00FD6FCB"/>
    <w:rsid w:val="00FE04CA"/>
    <w:rsid w:val="00FF0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02F54"/>
  <w15:docId w15:val="{AED38B7B-E233-46F7-90C0-8DE5D312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63"/>
      <w:ind w:left="386"/>
      <w:outlineLvl w:val="0"/>
    </w:pPr>
    <w:rPr>
      <w:b/>
      <w:bCs/>
      <w:sz w:val="28"/>
      <w:szCs w:val="28"/>
    </w:rPr>
  </w:style>
  <w:style w:type="paragraph" w:styleId="Heading2">
    <w:name w:val="heading 2"/>
    <w:basedOn w:val="Normal"/>
    <w:uiPriority w:val="1"/>
    <w:qFormat/>
    <w:pPr>
      <w:ind w:left="7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0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D6FCB"/>
    <w:rPr>
      <w:rFonts w:ascii="Tahoma" w:hAnsi="Tahoma" w:cs="Tahoma"/>
      <w:sz w:val="16"/>
      <w:szCs w:val="16"/>
    </w:rPr>
  </w:style>
  <w:style w:type="character" w:customStyle="1" w:styleId="BalloonTextChar">
    <w:name w:val="Balloon Text Char"/>
    <w:basedOn w:val="DefaultParagraphFont"/>
    <w:link w:val="BalloonText"/>
    <w:uiPriority w:val="99"/>
    <w:semiHidden/>
    <w:rsid w:val="00FD6FCB"/>
    <w:rPr>
      <w:rFonts w:ascii="Tahoma" w:eastAsia="Arial" w:hAnsi="Tahoma" w:cs="Tahoma"/>
      <w:sz w:val="16"/>
      <w:szCs w:val="16"/>
      <w:lang w:val="en-GB" w:eastAsia="en-GB" w:bidi="en-GB"/>
    </w:rPr>
  </w:style>
  <w:style w:type="paragraph" w:styleId="Header">
    <w:name w:val="header"/>
    <w:basedOn w:val="Normal"/>
    <w:link w:val="HeaderChar"/>
    <w:uiPriority w:val="99"/>
    <w:unhideWhenUsed/>
    <w:rsid w:val="00FD6FCB"/>
    <w:pPr>
      <w:tabs>
        <w:tab w:val="center" w:pos="4513"/>
        <w:tab w:val="right" w:pos="9026"/>
      </w:tabs>
    </w:pPr>
  </w:style>
  <w:style w:type="character" w:customStyle="1" w:styleId="HeaderChar">
    <w:name w:val="Header Char"/>
    <w:basedOn w:val="DefaultParagraphFont"/>
    <w:link w:val="Header"/>
    <w:uiPriority w:val="99"/>
    <w:rsid w:val="00FD6FCB"/>
    <w:rPr>
      <w:rFonts w:ascii="Arial" w:eastAsia="Arial" w:hAnsi="Arial" w:cs="Arial"/>
      <w:lang w:val="en-GB" w:eastAsia="en-GB" w:bidi="en-GB"/>
    </w:rPr>
  </w:style>
  <w:style w:type="paragraph" w:styleId="Footer">
    <w:name w:val="footer"/>
    <w:basedOn w:val="Normal"/>
    <w:link w:val="FooterChar"/>
    <w:uiPriority w:val="99"/>
    <w:unhideWhenUsed/>
    <w:rsid w:val="00FD6FCB"/>
    <w:pPr>
      <w:tabs>
        <w:tab w:val="center" w:pos="4513"/>
        <w:tab w:val="right" w:pos="9026"/>
      </w:tabs>
    </w:pPr>
  </w:style>
  <w:style w:type="character" w:customStyle="1" w:styleId="FooterChar">
    <w:name w:val="Footer Char"/>
    <w:basedOn w:val="DefaultParagraphFont"/>
    <w:link w:val="Footer"/>
    <w:uiPriority w:val="99"/>
    <w:rsid w:val="00FD6FCB"/>
    <w:rPr>
      <w:rFonts w:ascii="Arial" w:eastAsia="Arial" w:hAnsi="Arial" w:cs="Arial"/>
      <w:lang w:val="en-GB" w:eastAsia="en-GB" w:bidi="en-GB"/>
    </w:rPr>
  </w:style>
  <w:style w:type="paragraph" w:styleId="Revision">
    <w:name w:val="Revision"/>
    <w:hidden/>
    <w:uiPriority w:val="99"/>
    <w:semiHidden/>
    <w:rsid w:val="00E060A8"/>
    <w:pPr>
      <w:widowControl/>
      <w:autoSpaceDE/>
      <w:autoSpaceDN/>
    </w:pPr>
    <w:rPr>
      <w:rFonts w:ascii="Arial" w:eastAsia="Arial" w:hAnsi="Arial" w:cs="Arial"/>
      <w:lang w:val="en-GB" w:eastAsia="en-GB" w:bidi="en-GB"/>
    </w:rPr>
  </w:style>
  <w:style w:type="character" w:styleId="CommentReference">
    <w:name w:val="annotation reference"/>
    <w:basedOn w:val="DefaultParagraphFont"/>
    <w:uiPriority w:val="99"/>
    <w:semiHidden/>
    <w:unhideWhenUsed/>
    <w:rsid w:val="00EE658D"/>
    <w:rPr>
      <w:sz w:val="16"/>
      <w:szCs w:val="16"/>
    </w:rPr>
  </w:style>
  <w:style w:type="paragraph" w:styleId="CommentText">
    <w:name w:val="annotation text"/>
    <w:basedOn w:val="Normal"/>
    <w:link w:val="CommentTextChar"/>
    <w:uiPriority w:val="99"/>
    <w:unhideWhenUsed/>
    <w:rsid w:val="00EE658D"/>
    <w:rPr>
      <w:sz w:val="20"/>
      <w:szCs w:val="20"/>
    </w:rPr>
  </w:style>
  <w:style w:type="character" w:customStyle="1" w:styleId="CommentTextChar">
    <w:name w:val="Comment Text Char"/>
    <w:basedOn w:val="DefaultParagraphFont"/>
    <w:link w:val="CommentText"/>
    <w:uiPriority w:val="99"/>
    <w:rsid w:val="00EE658D"/>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E658D"/>
    <w:rPr>
      <w:b/>
      <w:bCs/>
    </w:rPr>
  </w:style>
  <w:style w:type="character" w:customStyle="1" w:styleId="CommentSubjectChar">
    <w:name w:val="Comment Subject Char"/>
    <w:basedOn w:val="CommentTextChar"/>
    <w:link w:val="CommentSubject"/>
    <w:uiPriority w:val="99"/>
    <w:semiHidden/>
    <w:rsid w:val="00EE658D"/>
    <w:rPr>
      <w:rFonts w:ascii="Arial" w:eastAsia="Arial" w:hAnsi="Arial" w:cs="Arial"/>
      <w:b/>
      <w:bCs/>
      <w:sz w:val="20"/>
      <w:szCs w:val="20"/>
      <w:lang w:val="en-GB" w:eastAsia="en-GB" w:bidi="en-GB"/>
    </w:rPr>
  </w:style>
  <w:style w:type="character" w:styleId="Hyperlink">
    <w:name w:val="Hyperlink"/>
    <w:basedOn w:val="DefaultParagraphFont"/>
    <w:uiPriority w:val="99"/>
    <w:unhideWhenUsed/>
    <w:rsid w:val="00C02D3D"/>
    <w:rPr>
      <w:color w:val="0000FF" w:themeColor="hyperlink"/>
      <w:u w:val="single"/>
    </w:rPr>
  </w:style>
  <w:style w:type="character" w:styleId="UnresolvedMention">
    <w:name w:val="Unresolved Mention"/>
    <w:basedOn w:val="DefaultParagraphFont"/>
    <w:uiPriority w:val="99"/>
    <w:semiHidden/>
    <w:unhideWhenUsed/>
    <w:rsid w:val="00C02D3D"/>
    <w:rPr>
      <w:color w:val="605E5C"/>
      <w:shd w:val="clear" w:color="auto" w:fill="E1DFDD"/>
    </w:rPr>
  </w:style>
  <w:style w:type="character" w:styleId="FollowedHyperlink">
    <w:name w:val="FollowedHyperlink"/>
    <w:basedOn w:val="DefaultParagraphFont"/>
    <w:uiPriority w:val="99"/>
    <w:semiHidden/>
    <w:unhideWhenUsed/>
    <w:rsid w:val="00EB7D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bsa.nhs.uk/yourinformation"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61b3ab-b3d1-46c8-a887-3b9479cd4a48" xsi:nil="true"/>
    <lcf76f155ced4ddcb4097134ff3c332f xmlns="194a0e0a-d31d-42d0-b4b2-bb38509666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13D27842228B40B769D2118F89A6B9" ma:contentTypeVersion="13" ma:contentTypeDescription="Create a new document." ma:contentTypeScope="" ma:versionID="b81af04e034aa3052b0a0102adb61888">
  <xsd:schema xmlns:xsd="http://www.w3.org/2001/XMLSchema" xmlns:xs="http://www.w3.org/2001/XMLSchema" xmlns:p="http://schemas.microsoft.com/office/2006/metadata/properties" xmlns:ns2="194a0e0a-d31d-42d0-b4b2-bb38509666a7" xmlns:ns3="ea61b3ab-b3d1-46c8-a887-3b9479cd4a48" targetNamespace="http://schemas.microsoft.com/office/2006/metadata/properties" ma:root="true" ma:fieldsID="c5909f0595f529e9c1ec456c3453ab3e" ns2:_="" ns3:_="">
    <xsd:import namespace="194a0e0a-d31d-42d0-b4b2-bb38509666a7"/>
    <xsd:import namespace="ea61b3ab-b3d1-46c8-a887-3b9479cd4a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a0e0a-d31d-42d0-b4b2-bb3850966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1b3ab-b3d1-46c8-a887-3b9479cd4a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8b0d18-d218-40c9-a712-e5dbacaa1e19}" ma:internalName="TaxCatchAll" ma:showField="CatchAllData" ma:web="ea61b3ab-b3d1-46c8-a887-3b9479cd4a4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D8B566-0C33-4D67-AED0-10DCD54D9FD3}">
  <ds:schemaRefs>
    <ds:schemaRef ds:uri="http://schemas.microsoft.com/office/2006/metadata/properties"/>
    <ds:schemaRef ds:uri="http://schemas.microsoft.com/office/infopath/2007/PartnerControls"/>
    <ds:schemaRef ds:uri="ea61b3ab-b3d1-46c8-a887-3b9479cd4a48"/>
    <ds:schemaRef ds:uri="194a0e0a-d31d-42d0-b4b2-bb38509666a7"/>
  </ds:schemaRefs>
</ds:datastoreItem>
</file>

<file path=customXml/itemProps2.xml><?xml version="1.0" encoding="utf-8"?>
<ds:datastoreItem xmlns:ds="http://schemas.openxmlformats.org/officeDocument/2006/customXml" ds:itemID="{8F14AA4E-8FC1-41DE-A787-BCAF65F906F0}">
  <ds:schemaRefs>
    <ds:schemaRef ds:uri="http://schemas.microsoft.com/sharepoint/v3/contenttype/forms"/>
  </ds:schemaRefs>
</ds:datastoreItem>
</file>

<file path=customXml/itemProps3.xml><?xml version="1.0" encoding="utf-8"?>
<ds:datastoreItem xmlns:ds="http://schemas.openxmlformats.org/officeDocument/2006/customXml" ds:itemID="{F2466FD1-ACDE-4494-BABB-6261AB978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a0e0a-d31d-42d0-b4b2-bb38509666a7"/>
    <ds:schemaRef ds:uri="ea61b3ab-b3d1-46c8-a887-3b9479cd4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Schedule of charges for pensions on divorce or dissolution of a civil partnership from 1 July 2019</vt:lpstr>
    </vt:vector>
  </TitlesOfParts>
  <Company>NHSBSA Pensions</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charges for pensions on divorce or dissolution of a civil partnership from 1 July 2019</dc:title>
  <dc:creator>Nicola Ratcliffe</dc:creator>
  <cp:keywords>Schedule of charges for pensions on divorce or dissolution of a civil partnership from 1 July 2019</cp:keywords>
  <cp:lastModifiedBy>Holly Cleveland</cp:lastModifiedBy>
  <cp:revision>10</cp:revision>
  <cp:lastPrinted>2020-01-28T08:09:00Z</cp:lastPrinted>
  <dcterms:created xsi:type="dcterms:W3CDTF">2024-06-20T15:06:00Z</dcterms:created>
  <dcterms:modified xsi:type="dcterms:W3CDTF">2024-07-17T13:27:00Z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Adobe InDesign CC 14.0 (Windows)</vt:lpwstr>
  </property>
  <property fmtid="{D5CDD505-2E9C-101B-9397-08002B2CF9AE}" pid="4" name="LastSaved">
    <vt:filetime>2019-01-09T00:00:00Z</vt:filetime>
  </property>
  <property fmtid="{D5CDD505-2E9C-101B-9397-08002B2CF9AE}" pid="5" name="Category">
    <vt:lpwstr>POD</vt:lpwstr>
  </property>
  <property fmtid="{D5CDD505-2E9C-101B-9397-08002B2CF9AE}" pid="6" name="ContentTypeId">
    <vt:lpwstr>0x0101005413D27842228B40B769D2118F89A6B9</vt:lpwstr>
  </property>
  <property fmtid="{D5CDD505-2E9C-101B-9397-08002B2CF9AE}" pid="7" name="IntranetCategoryManagedMetadata">
    <vt:lpwstr>396;#Letters forms and guides|f266ed40-ae8e-40ee-85f9-bb15cc30777b</vt:lpwstr>
  </property>
  <property fmtid="{D5CDD505-2E9C-101B-9397-08002B2CF9AE}" pid="8" name="CategoryManagedMetadata">
    <vt:lpwstr>97;#Managing Pensions|acfafc8d-f542-4ad6-b923-4b0233ac3a53</vt:lpwstr>
  </property>
  <property fmtid="{D5CDD505-2E9C-101B-9397-08002B2CF9AE}" pid="9" name="DepartmentManagedMetadata">
    <vt:lpwstr>118;#Pensions Operations|b04de6ae-08ed-4d2b-bb56-90f8285b76a0</vt:lpwstr>
  </property>
  <property fmtid="{D5CDD505-2E9C-101B-9397-08002B2CF9AE}" pid="10" name="Gov_SecondNotification">
    <vt:lpwstr/>
  </property>
  <property fmtid="{D5CDD505-2E9C-101B-9397-08002B2CF9AE}" pid="11" name="Gov_FirstNotification">
    <vt:lpwstr/>
  </property>
  <property fmtid="{D5CDD505-2E9C-101B-9397-08002B2CF9AE}" pid="12" name="Gov_FinalNotification">
    <vt:lpwstr/>
  </property>
  <property fmtid="{D5CDD505-2E9C-101B-9397-08002B2CF9AE}" pid="13" name="MediaServiceImageTags">
    <vt:lpwstr/>
  </property>
</Properties>
</file>