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FE35" w14:textId="46CCDAD7" w:rsidR="00B72132" w:rsidRDefault="00B72132" w:rsidP="001704CD">
      <w:pPr>
        <w:pStyle w:val="Heading3"/>
        <w:sectPr w:rsidR="00B72132" w:rsidSect="00D81216">
          <w:headerReference w:type="default" r:id="rId11"/>
          <w:footerReference w:type="default" r:id="rId12"/>
          <w:headerReference w:type="first" r:id="rId13"/>
          <w:footerReference w:type="first" r:id="rId14"/>
          <w:pgSz w:w="11906" w:h="16838"/>
          <w:pgMar w:top="2268" w:right="1021" w:bottom="1021" w:left="1021" w:header="454" w:footer="57" w:gutter="0"/>
          <w:cols w:space="708"/>
          <w:docGrid w:linePitch="360"/>
        </w:sectPr>
      </w:pPr>
    </w:p>
    <w:p w14:paraId="404B2B3E" w14:textId="2FE82DE3" w:rsidR="00EE0481" w:rsidRPr="00C94B36" w:rsidRDefault="00000000" w:rsidP="008E3757">
      <w:pPr>
        <w:pStyle w:val="Heading1"/>
        <w:jc w:val="center"/>
        <w:rPr>
          <w:color w:val="005EB8" w:themeColor="text2"/>
        </w:rPr>
      </w:pPr>
      <w:sdt>
        <w:sdtPr>
          <w:rPr>
            <w:rFonts w:eastAsiaTheme="minorHAnsi" w:cstheme="minorBidi"/>
            <w:color w:val="005EB8" w:themeColor="text2"/>
            <w:sz w:val="44"/>
            <w:szCs w:val="44"/>
          </w:rPr>
          <w:alias w:val="Title"/>
          <w:tag w:val="title"/>
          <w:id w:val="1036308880"/>
          <w:placeholder>
            <w:docPart w:val="A376A8144B864A4B9E2C49E23E5C9DE3"/>
          </w:placeholder>
          <w:dataBinding w:prefixMappings="xmlns:ns0='http://purl.org/dc/elements/1.1/' xmlns:ns1='http://schemas.openxmlformats.org/package/2006/metadata/core-properties' " w:xpath="/ns1:coreProperties[1]/ns0:title[1]" w:storeItemID="{6C3C8BC8-F283-45AE-878A-BAB7291924A1}"/>
          <w:text/>
        </w:sdtPr>
        <w:sdtContent>
          <w:r w:rsidR="00684C60" w:rsidRPr="00C94B36">
            <w:rPr>
              <w:rFonts w:eastAsiaTheme="minorHAnsi" w:cstheme="minorBidi"/>
              <w:color w:val="005EB8" w:themeColor="text2"/>
              <w:sz w:val="44"/>
              <w:szCs w:val="44"/>
            </w:rPr>
            <w:t>PATIENT GROUP DIRECTION (PGD)</w:t>
          </w:r>
        </w:sdtContent>
      </w:sdt>
    </w:p>
    <w:p w14:paraId="2B7B1A24" w14:textId="77777777" w:rsidR="00523CE2" w:rsidRPr="00B65C5D" w:rsidRDefault="00523CE2" w:rsidP="5BA60A14">
      <w:pPr>
        <w:spacing w:before="240" w:after="240"/>
        <w:jc w:val="center"/>
        <w:rPr>
          <w:b/>
          <w:bCs/>
          <w:sz w:val="40"/>
          <w:szCs w:val="40"/>
        </w:rPr>
      </w:pPr>
      <w:bookmarkStart w:id="0" w:name="_Toc142042366"/>
      <w:bookmarkStart w:id="1" w:name="_Toc142043217"/>
      <w:bookmarkStart w:id="2" w:name="_Toc143256350"/>
      <w:r w:rsidRPr="5BA60A14">
        <w:rPr>
          <w:b/>
          <w:bCs/>
          <w:kern w:val="28"/>
          <w:sz w:val="40"/>
          <w:szCs w:val="40"/>
        </w:rPr>
        <w:t xml:space="preserve">Supply of a combined oral hormonal contraceptive (COC) </w:t>
      </w:r>
      <w:bookmarkStart w:id="3" w:name="_Hlk83817971"/>
      <w:r w:rsidRPr="5BA60A14">
        <w:rPr>
          <w:b/>
          <w:bCs/>
          <w:sz w:val="40"/>
          <w:szCs w:val="40"/>
        </w:rPr>
        <w:t xml:space="preserve">by Community Pharmacists </w:t>
      </w:r>
      <w:r w:rsidRPr="5BA60A14">
        <w:rPr>
          <w:b/>
          <w:bCs/>
          <w:sz w:val="40"/>
          <w:szCs w:val="40"/>
          <w:highlight w:val="yellow"/>
        </w:rPr>
        <w:t>and Pharmacy Technicians</w:t>
      </w:r>
      <w:r w:rsidRPr="5BA60A14">
        <w:rPr>
          <w:b/>
          <w:bCs/>
          <w:sz w:val="40"/>
          <w:szCs w:val="40"/>
        </w:rPr>
        <w:t xml:space="preserve"> in England working in a pharmacy registered to provide the NHS Pharmacy Contraception Service </w:t>
      </w:r>
      <w:bookmarkEnd w:id="3"/>
    </w:p>
    <w:p w14:paraId="2703448F" w14:textId="45A7727C" w:rsidR="5DA1178D" w:rsidRDefault="5DA1178D" w:rsidP="5BA60A14">
      <w:pPr>
        <w:spacing w:before="240" w:after="240"/>
        <w:jc w:val="center"/>
        <w:rPr>
          <w:b/>
          <w:bCs/>
          <w:color w:val="FF0000"/>
          <w:sz w:val="40"/>
          <w:szCs w:val="40"/>
        </w:rPr>
      </w:pPr>
      <w:r w:rsidRPr="5BA60A14">
        <w:rPr>
          <w:b/>
          <w:bCs/>
          <w:color w:val="FF0000"/>
          <w:sz w:val="40"/>
          <w:szCs w:val="40"/>
        </w:rPr>
        <w:t>DRAFT v 0.</w:t>
      </w:r>
      <w:r w:rsidR="0010714A">
        <w:rPr>
          <w:b/>
          <w:bCs/>
          <w:color w:val="FF0000"/>
          <w:sz w:val="40"/>
          <w:szCs w:val="40"/>
        </w:rPr>
        <w:t>3</w:t>
      </w:r>
    </w:p>
    <w:p w14:paraId="2CA6AD79" w14:textId="77777777" w:rsidR="00523CE2" w:rsidRPr="0038530A" w:rsidRDefault="00523CE2" w:rsidP="00523CE2">
      <w:pPr>
        <w:jc w:val="center"/>
        <w:rPr>
          <w:rFonts w:cs="Arial"/>
          <w:sz w:val="28"/>
          <w:szCs w:val="28"/>
        </w:rPr>
      </w:pPr>
      <w:r w:rsidRPr="0038530A">
        <w:rPr>
          <w:rFonts w:cs="Arial"/>
          <w:sz w:val="28"/>
          <w:szCs w:val="28"/>
        </w:rPr>
        <w:t xml:space="preserve">Version </w:t>
      </w:r>
      <w:r>
        <w:rPr>
          <w:rFonts w:cs="Arial"/>
          <w:sz w:val="28"/>
          <w:szCs w:val="28"/>
          <w:highlight w:val="yellow"/>
        </w:rPr>
        <w:t>3</w:t>
      </w:r>
      <w:r w:rsidRPr="009E31B0">
        <w:rPr>
          <w:rFonts w:cs="Arial"/>
          <w:sz w:val="28"/>
          <w:szCs w:val="28"/>
          <w:highlight w:val="yellow"/>
        </w:rPr>
        <w:t>.0</w:t>
      </w:r>
    </w:p>
    <w:tbl>
      <w:tblPr>
        <w:tblW w:w="979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3"/>
        <w:gridCol w:w="7938"/>
      </w:tblGrid>
      <w:tr w:rsidR="00B10AEE" w:rsidRPr="0038530A" w14:paraId="768CEF1C" w14:textId="77777777" w:rsidTr="00B10AEE">
        <w:trPr>
          <w:trHeight w:val="442"/>
        </w:trPr>
        <w:tc>
          <w:tcPr>
            <w:tcW w:w="9791" w:type="dxa"/>
            <w:gridSpan w:val="2"/>
            <w:tcBorders>
              <w:top w:val="single" w:sz="4" w:space="0" w:color="auto"/>
              <w:left w:val="single" w:sz="4" w:space="0" w:color="auto"/>
              <w:bottom w:val="single" w:sz="4" w:space="0" w:color="auto"/>
              <w:right w:val="single" w:sz="4" w:space="0" w:color="auto"/>
            </w:tcBorders>
          </w:tcPr>
          <w:p w14:paraId="08A68019" w14:textId="77777777" w:rsidR="00B10AEE" w:rsidRPr="0038530A" w:rsidRDefault="00B10AEE" w:rsidP="004C5C3C">
            <w:pPr>
              <w:jc w:val="center"/>
              <w:rPr>
                <w:rFonts w:cs="Arial"/>
                <w:b/>
              </w:rPr>
            </w:pPr>
            <w:r w:rsidRPr="0038530A">
              <w:rPr>
                <w:rFonts w:cs="Arial"/>
                <w:b/>
              </w:rPr>
              <w:t>Change History</w:t>
            </w:r>
          </w:p>
        </w:tc>
      </w:tr>
      <w:tr w:rsidR="00B10AEE" w:rsidRPr="0038530A" w14:paraId="4C944711" w14:textId="77777777" w:rsidTr="00B10AEE">
        <w:trPr>
          <w:trHeight w:val="820"/>
        </w:trPr>
        <w:tc>
          <w:tcPr>
            <w:tcW w:w="1853" w:type="dxa"/>
            <w:tcBorders>
              <w:top w:val="single" w:sz="4" w:space="0" w:color="auto"/>
              <w:left w:val="single" w:sz="4" w:space="0" w:color="auto"/>
              <w:bottom w:val="single" w:sz="4" w:space="0" w:color="auto"/>
              <w:right w:val="single" w:sz="4" w:space="0" w:color="auto"/>
            </w:tcBorders>
          </w:tcPr>
          <w:p w14:paraId="17BDEF93" w14:textId="77777777" w:rsidR="00B10AEE" w:rsidRPr="0038530A" w:rsidRDefault="00B10AEE" w:rsidP="00B85950">
            <w:pPr>
              <w:spacing w:after="0" w:line="240" w:lineRule="auto"/>
              <w:jc w:val="center"/>
              <w:rPr>
                <w:rFonts w:cs="Arial"/>
                <w:b/>
              </w:rPr>
            </w:pPr>
            <w:r w:rsidRPr="0038530A">
              <w:rPr>
                <w:rFonts w:cs="Arial"/>
                <w:b/>
              </w:rPr>
              <w:t>Version and Date</w:t>
            </w:r>
          </w:p>
        </w:tc>
        <w:tc>
          <w:tcPr>
            <w:tcW w:w="7938" w:type="dxa"/>
            <w:tcBorders>
              <w:top w:val="single" w:sz="4" w:space="0" w:color="auto"/>
              <w:left w:val="single" w:sz="4" w:space="0" w:color="auto"/>
              <w:bottom w:val="single" w:sz="4" w:space="0" w:color="auto"/>
              <w:right w:val="single" w:sz="4" w:space="0" w:color="auto"/>
            </w:tcBorders>
          </w:tcPr>
          <w:p w14:paraId="6C9C8B2E" w14:textId="77777777" w:rsidR="00B10AEE" w:rsidRPr="0038530A" w:rsidRDefault="00B10AEE" w:rsidP="004C5C3C">
            <w:pPr>
              <w:jc w:val="center"/>
              <w:rPr>
                <w:rFonts w:cs="Arial"/>
                <w:b/>
              </w:rPr>
            </w:pPr>
            <w:r w:rsidRPr="0038530A">
              <w:rPr>
                <w:rFonts w:cs="Arial"/>
                <w:b/>
              </w:rPr>
              <w:t>Change details</w:t>
            </w:r>
          </w:p>
        </w:tc>
      </w:tr>
      <w:tr w:rsidR="00B10AEE" w:rsidRPr="0038530A" w14:paraId="4AA781D2" w14:textId="77777777" w:rsidTr="00B10AEE">
        <w:trPr>
          <w:trHeight w:val="442"/>
        </w:trPr>
        <w:tc>
          <w:tcPr>
            <w:tcW w:w="1853" w:type="dxa"/>
            <w:tcBorders>
              <w:top w:val="single" w:sz="4" w:space="0" w:color="auto"/>
              <w:left w:val="single" w:sz="4" w:space="0" w:color="auto"/>
              <w:bottom w:val="single" w:sz="4" w:space="0" w:color="auto"/>
              <w:right w:val="single" w:sz="4" w:space="0" w:color="auto"/>
            </w:tcBorders>
          </w:tcPr>
          <w:p w14:paraId="6F772B9E" w14:textId="77777777" w:rsidR="00B10AEE" w:rsidRPr="0038530A" w:rsidRDefault="00B10AEE" w:rsidP="00B10AEE">
            <w:pPr>
              <w:spacing w:after="0"/>
              <w:rPr>
                <w:rFonts w:cs="Arial"/>
                <w:sz w:val="20"/>
                <w:szCs w:val="20"/>
              </w:rPr>
            </w:pPr>
            <w:r w:rsidRPr="0038530A">
              <w:rPr>
                <w:rFonts w:cs="Arial"/>
                <w:sz w:val="20"/>
                <w:szCs w:val="20"/>
              </w:rPr>
              <w:t>Version 1</w:t>
            </w:r>
          </w:p>
          <w:p w14:paraId="49D14170" w14:textId="77777777" w:rsidR="00B10AEE" w:rsidRPr="0038530A" w:rsidRDefault="00B10AEE" w:rsidP="00B10AEE">
            <w:pPr>
              <w:spacing w:after="0"/>
              <w:rPr>
                <w:rFonts w:cs="Arial"/>
                <w:sz w:val="20"/>
                <w:szCs w:val="20"/>
              </w:rPr>
            </w:pPr>
            <w:r w:rsidRPr="0038530A">
              <w:rPr>
                <w:rFonts w:cs="Arial"/>
                <w:sz w:val="20"/>
                <w:szCs w:val="20"/>
              </w:rPr>
              <w:t>1 April 2023</w:t>
            </w:r>
          </w:p>
        </w:tc>
        <w:tc>
          <w:tcPr>
            <w:tcW w:w="7938" w:type="dxa"/>
            <w:tcBorders>
              <w:top w:val="single" w:sz="4" w:space="0" w:color="auto"/>
              <w:left w:val="single" w:sz="4" w:space="0" w:color="auto"/>
              <w:bottom w:val="single" w:sz="4" w:space="0" w:color="auto"/>
              <w:right w:val="single" w:sz="4" w:space="0" w:color="auto"/>
            </w:tcBorders>
          </w:tcPr>
          <w:p w14:paraId="7BC83509" w14:textId="77777777" w:rsidR="00B10AEE" w:rsidRPr="0038530A" w:rsidRDefault="00B10AEE" w:rsidP="004C5C3C">
            <w:pPr>
              <w:rPr>
                <w:rFonts w:cs="Arial"/>
                <w:sz w:val="20"/>
                <w:szCs w:val="20"/>
              </w:rPr>
            </w:pPr>
            <w:r w:rsidRPr="0038530A">
              <w:rPr>
                <w:rFonts w:cs="Arial"/>
                <w:sz w:val="20"/>
                <w:szCs w:val="20"/>
              </w:rPr>
              <w:t>PGD approved</w:t>
            </w:r>
          </w:p>
        </w:tc>
      </w:tr>
      <w:tr w:rsidR="00B10AEE" w:rsidRPr="00711452" w14:paraId="67D3F27D" w14:textId="77777777" w:rsidTr="00B10AEE">
        <w:trPr>
          <w:trHeight w:val="442"/>
        </w:trPr>
        <w:tc>
          <w:tcPr>
            <w:tcW w:w="1853" w:type="dxa"/>
            <w:tcBorders>
              <w:top w:val="single" w:sz="4" w:space="0" w:color="auto"/>
              <w:left w:val="single" w:sz="4" w:space="0" w:color="auto"/>
              <w:bottom w:val="single" w:sz="4" w:space="0" w:color="auto"/>
              <w:right w:val="single" w:sz="4" w:space="0" w:color="auto"/>
            </w:tcBorders>
          </w:tcPr>
          <w:p w14:paraId="172C3054" w14:textId="77777777" w:rsidR="00B10AEE" w:rsidRPr="0038530A" w:rsidRDefault="00B10AEE" w:rsidP="00B10AEE">
            <w:pPr>
              <w:spacing w:after="0"/>
              <w:rPr>
                <w:rFonts w:cs="Arial"/>
                <w:sz w:val="20"/>
                <w:szCs w:val="20"/>
              </w:rPr>
            </w:pPr>
            <w:r w:rsidRPr="0038530A">
              <w:rPr>
                <w:rFonts w:cs="Arial"/>
                <w:sz w:val="20"/>
                <w:szCs w:val="20"/>
              </w:rPr>
              <w:t>Version 1.1</w:t>
            </w:r>
          </w:p>
          <w:p w14:paraId="1546D498" w14:textId="77777777" w:rsidR="00B10AEE" w:rsidRPr="0038530A" w:rsidRDefault="00B10AEE" w:rsidP="00B10AEE">
            <w:pPr>
              <w:spacing w:after="0"/>
              <w:rPr>
                <w:rFonts w:cs="Arial"/>
                <w:sz w:val="20"/>
                <w:szCs w:val="20"/>
              </w:rPr>
            </w:pPr>
            <w:r w:rsidRPr="0038530A">
              <w:rPr>
                <w:rFonts w:cs="Arial"/>
                <w:sz w:val="20"/>
                <w:szCs w:val="20"/>
              </w:rPr>
              <w:t>27 April 2023</w:t>
            </w:r>
          </w:p>
        </w:tc>
        <w:tc>
          <w:tcPr>
            <w:tcW w:w="7938" w:type="dxa"/>
            <w:tcBorders>
              <w:top w:val="single" w:sz="4" w:space="0" w:color="auto"/>
              <w:left w:val="single" w:sz="4" w:space="0" w:color="auto"/>
              <w:bottom w:val="single" w:sz="4" w:space="0" w:color="auto"/>
              <w:right w:val="single" w:sz="4" w:space="0" w:color="auto"/>
            </w:tcBorders>
          </w:tcPr>
          <w:p w14:paraId="59568909" w14:textId="77777777" w:rsidR="00B10AEE" w:rsidRPr="0038530A" w:rsidRDefault="00B10AEE" w:rsidP="00B10AEE">
            <w:pPr>
              <w:spacing w:after="0"/>
              <w:rPr>
                <w:rFonts w:cs="Arial"/>
                <w:sz w:val="20"/>
                <w:szCs w:val="20"/>
              </w:rPr>
            </w:pPr>
            <w:r w:rsidRPr="0038530A">
              <w:rPr>
                <w:rFonts w:cs="Arial"/>
                <w:sz w:val="20"/>
                <w:szCs w:val="20"/>
              </w:rPr>
              <w:t xml:space="preserve">Exclusion added relating to Zoely® only </w:t>
            </w:r>
          </w:p>
        </w:tc>
      </w:tr>
      <w:tr w:rsidR="00B10AEE" w:rsidRPr="00711452" w14:paraId="3094B779" w14:textId="77777777" w:rsidTr="00B10AEE">
        <w:trPr>
          <w:trHeight w:val="442"/>
        </w:trPr>
        <w:tc>
          <w:tcPr>
            <w:tcW w:w="1853" w:type="dxa"/>
            <w:tcBorders>
              <w:top w:val="single" w:sz="4" w:space="0" w:color="auto"/>
              <w:left w:val="single" w:sz="4" w:space="0" w:color="auto"/>
              <w:bottom w:val="single" w:sz="4" w:space="0" w:color="auto"/>
              <w:right w:val="single" w:sz="4" w:space="0" w:color="auto"/>
            </w:tcBorders>
          </w:tcPr>
          <w:p w14:paraId="490A858B" w14:textId="77777777" w:rsidR="00B10AEE" w:rsidRPr="00612C41" w:rsidRDefault="00B10AEE" w:rsidP="00B10AEE">
            <w:pPr>
              <w:spacing w:after="0"/>
              <w:rPr>
                <w:rFonts w:cs="Arial"/>
                <w:sz w:val="20"/>
                <w:szCs w:val="20"/>
              </w:rPr>
            </w:pPr>
            <w:r w:rsidRPr="00612C41">
              <w:rPr>
                <w:rFonts w:cs="Arial"/>
                <w:sz w:val="20"/>
                <w:szCs w:val="20"/>
              </w:rPr>
              <w:t>Version 2.0</w:t>
            </w:r>
          </w:p>
          <w:p w14:paraId="33B2010F" w14:textId="77777777" w:rsidR="00B10AEE" w:rsidRPr="00612C41" w:rsidRDefault="00B10AEE" w:rsidP="00B10AEE">
            <w:pPr>
              <w:spacing w:after="0"/>
              <w:rPr>
                <w:rFonts w:cs="Arial"/>
                <w:sz w:val="20"/>
                <w:szCs w:val="20"/>
              </w:rPr>
            </w:pPr>
            <w:r w:rsidRPr="00612C41">
              <w:rPr>
                <w:rFonts w:cs="Arial"/>
                <w:sz w:val="20"/>
                <w:szCs w:val="20"/>
              </w:rPr>
              <w:t>1 December 2023</w:t>
            </w:r>
          </w:p>
        </w:tc>
        <w:tc>
          <w:tcPr>
            <w:tcW w:w="7938" w:type="dxa"/>
            <w:tcBorders>
              <w:top w:val="single" w:sz="4" w:space="0" w:color="auto"/>
              <w:left w:val="single" w:sz="4" w:space="0" w:color="auto"/>
              <w:bottom w:val="single" w:sz="4" w:space="0" w:color="auto"/>
              <w:right w:val="single" w:sz="4" w:space="0" w:color="auto"/>
            </w:tcBorders>
          </w:tcPr>
          <w:p w14:paraId="4EDF74F0" w14:textId="77777777" w:rsidR="00B10AEE" w:rsidRPr="00612C41" w:rsidRDefault="00B10AEE" w:rsidP="00B10AEE">
            <w:pPr>
              <w:spacing w:after="0"/>
              <w:rPr>
                <w:rFonts w:cs="Arial"/>
                <w:sz w:val="20"/>
                <w:szCs w:val="20"/>
              </w:rPr>
            </w:pPr>
            <w:r w:rsidRPr="00612C41">
              <w:rPr>
                <w:rFonts w:cs="Arial"/>
                <w:sz w:val="20"/>
                <w:szCs w:val="20"/>
              </w:rPr>
              <w:t>Update to include initiation of oral contraception.</w:t>
            </w:r>
          </w:p>
          <w:p w14:paraId="6D9608E1" w14:textId="77777777" w:rsidR="00B10AEE" w:rsidRPr="00612C41" w:rsidRDefault="00B10AEE" w:rsidP="00B10AEE">
            <w:pPr>
              <w:spacing w:after="0"/>
              <w:rPr>
                <w:rFonts w:cs="Arial"/>
                <w:sz w:val="20"/>
                <w:szCs w:val="20"/>
              </w:rPr>
            </w:pPr>
            <w:r w:rsidRPr="00612C41">
              <w:rPr>
                <w:rFonts w:cs="Arial"/>
                <w:sz w:val="20"/>
                <w:szCs w:val="20"/>
              </w:rPr>
              <w:t>and</w:t>
            </w:r>
          </w:p>
          <w:p w14:paraId="2FDF9CF2" w14:textId="77777777" w:rsidR="00B10AEE" w:rsidRPr="00612C41" w:rsidRDefault="00B10AEE" w:rsidP="00B10AEE">
            <w:pPr>
              <w:spacing w:after="0"/>
              <w:rPr>
                <w:rFonts w:cs="Arial"/>
                <w:sz w:val="20"/>
                <w:szCs w:val="20"/>
              </w:rPr>
            </w:pPr>
            <w:r w:rsidRPr="00612C41">
              <w:rPr>
                <w:rFonts w:cs="Arial"/>
                <w:sz w:val="20"/>
                <w:szCs w:val="20"/>
              </w:rPr>
              <w:t>Updated PGD development group members.</w:t>
            </w:r>
            <w:r w:rsidRPr="00612C41">
              <w:rPr>
                <w:rFonts w:cs="Arial"/>
                <w:sz w:val="20"/>
                <w:szCs w:val="20"/>
              </w:rPr>
              <w:br/>
              <w:t>Statement added in exclusion criteria regarding consideration of lactose/sucrose content in individual products.</w:t>
            </w:r>
          </w:p>
        </w:tc>
      </w:tr>
      <w:tr w:rsidR="00B10AEE" w:rsidRPr="00711452" w14:paraId="471E088F" w14:textId="77777777" w:rsidTr="00B10AEE">
        <w:trPr>
          <w:trHeight w:val="442"/>
        </w:trPr>
        <w:tc>
          <w:tcPr>
            <w:tcW w:w="1853" w:type="dxa"/>
            <w:tcBorders>
              <w:top w:val="single" w:sz="4" w:space="0" w:color="auto"/>
              <w:left w:val="single" w:sz="4" w:space="0" w:color="auto"/>
              <w:bottom w:val="single" w:sz="4" w:space="0" w:color="auto"/>
              <w:right w:val="single" w:sz="4" w:space="0" w:color="auto"/>
            </w:tcBorders>
          </w:tcPr>
          <w:p w14:paraId="544F6257" w14:textId="77777777" w:rsidR="00B10AEE" w:rsidRDefault="00B10AEE" w:rsidP="00B10AEE">
            <w:pPr>
              <w:spacing w:after="0"/>
              <w:rPr>
                <w:rFonts w:cs="Arial"/>
                <w:sz w:val="20"/>
                <w:szCs w:val="20"/>
              </w:rPr>
            </w:pPr>
            <w:r w:rsidRPr="3C164792">
              <w:rPr>
                <w:rFonts w:cs="Arial"/>
                <w:sz w:val="20"/>
                <w:szCs w:val="20"/>
              </w:rPr>
              <w:t>Version 3.0</w:t>
            </w:r>
          </w:p>
          <w:p w14:paraId="047C8517" w14:textId="315A07FA" w:rsidR="00B10AEE" w:rsidRPr="00612C41" w:rsidRDefault="00724852" w:rsidP="00B10AEE">
            <w:pPr>
              <w:spacing w:after="0"/>
              <w:rPr>
                <w:rFonts w:cs="Arial"/>
                <w:sz w:val="20"/>
                <w:szCs w:val="20"/>
              </w:rPr>
            </w:pPr>
            <w:r>
              <w:rPr>
                <w:rFonts w:cs="Arial"/>
                <w:sz w:val="20"/>
                <w:szCs w:val="20"/>
              </w:rPr>
              <w:t>20 June</w:t>
            </w:r>
            <w:r w:rsidR="00B10AEE" w:rsidRPr="3C164792">
              <w:rPr>
                <w:rFonts w:cs="Arial"/>
                <w:sz w:val="20"/>
                <w:szCs w:val="20"/>
              </w:rPr>
              <w:t xml:space="preserve"> 2025</w:t>
            </w:r>
          </w:p>
        </w:tc>
        <w:tc>
          <w:tcPr>
            <w:tcW w:w="7938" w:type="dxa"/>
            <w:tcBorders>
              <w:top w:val="single" w:sz="4" w:space="0" w:color="auto"/>
              <w:left w:val="single" w:sz="4" w:space="0" w:color="auto"/>
              <w:bottom w:val="single" w:sz="4" w:space="0" w:color="auto"/>
              <w:right w:val="single" w:sz="4" w:space="0" w:color="auto"/>
            </w:tcBorders>
          </w:tcPr>
          <w:p w14:paraId="380A82E5" w14:textId="77777777" w:rsidR="00B10AEE" w:rsidRPr="002B3C03" w:rsidRDefault="00B10AEE" w:rsidP="00B10AEE">
            <w:pPr>
              <w:spacing w:after="0"/>
              <w:ind w:left="28"/>
              <w:rPr>
                <w:rFonts w:cs="Arial"/>
                <w:sz w:val="20"/>
                <w:szCs w:val="20"/>
                <w:highlight w:val="yellow"/>
              </w:rPr>
            </w:pPr>
            <w:r w:rsidRPr="002B3C03">
              <w:rPr>
                <w:rFonts w:cs="Arial"/>
                <w:sz w:val="20"/>
                <w:szCs w:val="20"/>
                <w:highlight w:val="yellow"/>
              </w:rPr>
              <w:t>Included pharmacy technicians as an additional professional group.</w:t>
            </w:r>
          </w:p>
          <w:p w14:paraId="064C663C" w14:textId="77777777" w:rsidR="00B10AEE" w:rsidRPr="00414EFF" w:rsidRDefault="00B10AEE" w:rsidP="00B10AEE">
            <w:pPr>
              <w:spacing w:after="0"/>
              <w:ind w:left="28"/>
              <w:rPr>
                <w:rFonts w:cs="Arial"/>
                <w:sz w:val="20"/>
                <w:szCs w:val="20"/>
              </w:rPr>
            </w:pPr>
            <w:r w:rsidRPr="002B3C03">
              <w:rPr>
                <w:rFonts w:cs="Arial"/>
                <w:sz w:val="20"/>
                <w:szCs w:val="20"/>
                <w:highlight w:val="yellow"/>
              </w:rPr>
              <w:t>Updated Short Life Working Group members.</w:t>
            </w:r>
          </w:p>
          <w:p w14:paraId="3BFAB382" w14:textId="77777777" w:rsidR="00B10AEE" w:rsidRPr="00612C41" w:rsidRDefault="00B10AEE" w:rsidP="00B10AEE">
            <w:pPr>
              <w:spacing w:after="0"/>
              <w:rPr>
                <w:rFonts w:cs="Arial"/>
                <w:sz w:val="20"/>
                <w:szCs w:val="20"/>
                <w:highlight w:val="yellow"/>
              </w:rPr>
            </w:pPr>
            <w:r w:rsidRPr="3C164792">
              <w:rPr>
                <w:rFonts w:cs="Arial"/>
                <w:sz w:val="20"/>
                <w:szCs w:val="20"/>
                <w:highlight w:val="yellow"/>
              </w:rPr>
              <w:t>Statement added in exclusion criteria regarding consideration of lactose/sucrose content in individual products.</w:t>
            </w:r>
          </w:p>
          <w:p w14:paraId="1BC56669" w14:textId="27F6B9A9" w:rsidR="00B10AEE" w:rsidRPr="00612C41" w:rsidRDefault="001F64DE" w:rsidP="00B10AEE">
            <w:pPr>
              <w:spacing w:after="0"/>
              <w:rPr>
                <w:rFonts w:cs="Arial"/>
                <w:sz w:val="20"/>
                <w:szCs w:val="20"/>
                <w:highlight w:val="yellow"/>
              </w:rPr>
            </w:pPr>
            <w:r>
              <w:rPr>
                <w:rFonts w:cs="Arial"/>
                <w:sz w:val="20"/>
                <w:szCs w:val="20"/>
                <w:highlight w:val="yellow"/>
              </w:rPr>
              <w:t>Clarified</w:t>
            </w:r>
            <w:r w:rsidR="00B10AEE" w:rsidRPr="3C164792">
              <w:rPr>
                <w:rFonts w:cs="Arial"/>
                <w:sz w:val="20"/>
                <w:szCs w:val="20"/>
                <w:highlight w:val="yellow"/>
              </w:rPr>
              <w:t xml:space="preserve"> statement on management of people using 30mcgEE/LNG combination who have missed two pills in week one of cycle in dose and frequency section. </w:t>
            </w:r>
          </w:p>
          <w:p w14:paraId="7EF677FF" w14:textId="77777777" w:rsidR="00B10AEE" w:rsidRDefault="00B10AEE" w:rsidP="00B10AEE">
            <w:pPr>
              <w:spacing w:after="0"/>
              <w:rPr>
                <w:rFonts w:cs="Arial"/>
                <w:sz w:val="20"/>
                <w:szCs w:val="20"/>
                <w:highlight w:val="yellow"/>
              </w:rPr>
            </w:pPr>
            <w:r w:rsidRPr="3C164792">
              <w:rPr>
                <w:rFonts w:cs="Arial"/>
                <w:sz w:val="20"/>
                <w:szCs w:val="20"/>
                <w:highlight w:val="yellow"/>
              </w:rPr>
              <w:t>Added statement on advice when used in combination with GLP-1 agonists.</w:t>
            </w:r>
          </w:p>
          <w:p w14:paraId="50667822" w14:textId="77777777" w:rsidR="00B10AEE" w:rsidRDefault="00B10AEE" w:rsidP="00B10AEE">
            <w:pPr>
              <w:spacing w:after="0"/>
              <w:rPr>
                <w:rFonts w:cs="Arial"/>
                <w:sz w:val="20"/>
                <w:szCs w:val="20"/>
                <w:highlight w:val="yellow"/>
              </w:rPr>
            </w:pPr>
            <w:r w:rsidRPr="3C164792">
              <w:rPr>
                <w:rFonts w:cs="Arial"/>
                <w:sz w:val="20"/>
                <w:szCs w:val="20"/>
                <w:highlight w:val="yellow"/>
              </w:rPr>
              <w:lastRenderedPageBreak/>
              <w:t xml:space="preserve"> Clarified statement on </w:t>
            </w:r>
            <w:proofErr w:type="spellStart"/>
            <w:r w:rsidRPr="3C164792">
              <w:rPr>
                <w:rFonts w:cs="Arial"/>
                <w:sz w:val="20"/>
                <w:szCs w:val="20"/>
                <w:highlight w:val="yellow"/>
              </w:rPr>
              <w:t>Qlaira</w:t>
            </w:r>
            <w:proofErr w:type="spellEnd"/>
            <w:r w:rsidRPr="3C164792">
              <w:rPr>
                <w:rFonts w:cs="Arial"/>
                <w:sz w:val="20"/>
                <w:szCs w:val="20"/>
                <w:highlight w:val="yellow"/>
              </w:rPr>
              <w:t>.</w:t>
            </w:r>
          </w:p>
          <w:p w14:paraId="061B8BFE" w14:textId="77777777" w:rsidR="00B10AEE" w:rsidRPr="002B3C03" w:rsidRDefault="00B10AEE" w:rsidP="00B10AEE">
            <w:pPr>
              <w:spacing w:after="0"/>
              <w:rPr>
                <w:rFonts w:cs="Arial"/>
                <w:sz w:val="20"/>
                <w:szCs w:val="20"/>
                <w:highlight w:val="yellow"/>
              </w:rPr>
            </w:pPr>
            <w:r w:rsidRPr="002B3C03">
              <w:rPr>
                <w:rFonts w:cs="Arial"/>
                <w:sz w:val="20"/>
                <w:szCs w:val="20"/>
                <w:highlight w:val="yellow"/>
              </w:rPr>
              <w:t>Clarification of quantity to be supplied for ongoing supplies</w:t>
            </w:r>
          </w:p>
          <w:p w14:paraId="69D6485E" w14:textId="77777777" w:rsidR="00B10AEE" w:rsidRDefault="00B10AEE" w:rsidP="00B10AEE">
            <w:pPr>
              <w:spacing w:after="0"/>
              <w:ind w:left="28"/>
              <w:rPr>
                <w:rFonts w:cs="Arial"/>
                <w:bCs/>
                <w:sz w:val="20"/>
                <w:szCs w:val="20"/>
                <w:highlight w:val="yellow"/>
              </w:rPr>
            </w:pPr>
            <w:r w:rsidRPr="002B3C03">
              <w:rPr>
                <w:rFonts w:cs="Arial"/>
                <w:sz w:val="20"/>
                <w:szCs w:val="20"/>
                <w:highlight w:val="yellow"/>
              </w:rPr>
              <w:t>Added statement on</w:t>
            </w:r>
            <w:r w:rsidRPr="002B3C03">
              <w:rPr>
                <w:rFonts w:eastAsia="Arial" w:cs="Arial"/>
                <w:highlight w:val="yellow"/>
              </w:rPr>
              <w:t xml:space="preserve"> d</w:t>
            </w:r>
            <w:r w:rsidRPr="002B3C03">
              <w:rPr>
                <w:rFonts w:cs="Arial"/>
                <w:sz w:val="20"/>
                <w:szCs w:val="20"/>
                <w:highlight w:val="yellow"/>
              </w:rPr>
              <w:t xml:space="preserve">epressed mood and depression in </w:t>
            </w:r>
            <w:r w:rsidRPr="002B3C03">
              <w:rPr>
                <w:rFonts w:cs="Arial"/>
                <w:bCs/>
                <w:sz w:val="20"/>
                <w:szCs w:val="20"/>
                <w:highlight w:val="yellow"/>
              </w:rPr>
              <w:t>written information and further advice to be given to individual.</w:t>
            </w:r>
          </w:p>
          <w:p w14:paraId="4CD798C9" w14:textId="7E89BEA6" w:rsidR="001F64DE" w:rsidRPr="005553CC" w:rsidRDefault="001F64DE" w:rsidP="001F64DE">
            <w:pPr>
              <w:spacing w:after="0"/>
              <w:ind w:left="28"/>
              <w:rPr>
                <w:rFonts w:cs="Arial"/>
                <w:bCs/>
                <w:sz w:val="20"/>
                <w:szCs w:val="20"/>
                <w:highlight w:val="yellow"/>
              </w:rPr>
            </w:pPr>
            <w:r w:rsidRPr="005553CC">
              <w:rPr>
                <w:rFonts w:cs="Arial"/>
                <w:bCs/>
                <w:sz w:val="20"/>
                <w:szCs w:val="20"/>
                <w:highlight w:val="yellow"/>
              </w:rPr>
              <w:t xml:space="preserve">Added statement on advice on </w:t>
            </w:r>
            <w:proofErr w:type="spellStart"/>
            <w:r w:rsidRPr="005553CC">
              <w:rPr>
                <w:rFonts w:cs="Arial"/>
                <w:bCs/>
                <w:sz w:val="20"/>
                <w:szCs w:val="20"/>
                <w:highlight w:val="yellow"/>
              </w:rPr>
              <w:t>desogestrel</w:t>
            </w:r>
            <w:proofErr w:type="spellEnd"/>
            <w:r w:rsidRPr="005553CC">
              <w:rPr>
                <w:rFonts w:cs="Arial"/>
                <w:bCs/>
                <w:sz w:val="20"/>
                <w:szCs w:val="20"/>
                <w:highlight w:val="yellow"/>
              </w:rPr>
              <w:t xml:space="preserve"> and risk of meningioma. </w:t>
            </w:r>
          </w:p>
          <w:p w14:paraId="5CA327B9" w14:textId="77777777" w:rsidR="00B10AEE" w:rsidRPr="006E4BE5" w:rsidRDefault="00B10AEE" w:rsidP="00B10AEE">
            <w:pPr>
              <w:spacing w:after="0"/>
              <w:ind w:left="28"/>
              <w:rPr>
                <w:rFonts w:cs="Arial"/>
                <w:bCs/>
                <w:sz w:val="20"/>
                <w:szCs w:val="20"/>
              </w:rPr>
            </w:pPr>
            <w:r w:rsidRPr="002B3C03">
              <w:rPr>
                <w:rFonts w:cs="Arial"/>
                <w:bCs/>
                <w:sz w:val="20"/>
                <w:szCs w:val="20"/>
                <w:highlight w:val="yellow"/>
              </w:rPr>
              <w:t>Updated references</w:t>
            </w:r>
            <w:r w:rsidRPr="006E4BE5">
              <w:rPr>
                <w:rFonts w:cs="Arial"/>
                <w:bCs/>
                <w:sz w:val="20"/>
                <w:szCs w:val="20"/>
              </w:rPr>
              <w:t xml:space="preserve">. </w:t>
            </w:r>
          </w:p>
          <w:p w14:paraId="006871B1" w14:textId="77777777" w:rsidR="00B10AEE" w:rsidRDefault="00B10AEE" w:rsidP="00B10AEE">
            <w:pPr>
              <w:spacing w:after="0"/>
              <w:rPr>
                <w:rFonts w:cs="Arial"/>
                <w:sz w:val="20"/>
                <w:szCs w:val="20"/>
                <w:highlight w:val="yellow"/>
              </w:rPr>
            </w:pPr>
            <w:r w:rsidRPr="3C164792">
              <w:rPr>
                <w:rFonts w:cs="Arial"/>
                <w:sz w:val="20"/>
                <w:szCs w:val="20"/>
                <w:highlight w:val="yellow"/>
              </w:rPr>
              <w:t>Update to amend Annex B</w:t>
            </w:r>
          </w:p>
          <w:p w14:paraId="0E57EB74" w14:textId="77777777" w:rsidR="005D0777" w:rsidRDefault="003924FD" w:rsidP="00B10AEE">
            <w:pPr>
              <w:spacing w:after="0"/>
              <w:rPr>
                <w:rFonts w:cs="Arial"/>
                <w:sz w:val="20"/>
                <w:szCs w:val="20"/>
                <w:highlight w:val="yellow"/>
              </w:rPr>
            </w:pPr>
            <w:r>
              <w:rPr>
                <w:rFonts w:cs="Arial"/>
                <w:sz w:val="20"/>
                <w:szCs w:val="20"/>
                <w:highlight w:val="yellow"/>
              </w:rPr>
              <w:t>Updated to reflect change of status from Faculty of Sexual Reproductive Healthcare to College of Sexual Reproductive Healthcare</w:t>
            </w:r>
          </w:p>
          <w:p w14:paraId="7A37BB6C" w14:textId="5DF06C26" w:rsidR="00F87A10" w:rsidRPr="00612C41" w:rsidRDefault="00F87A10" w:rsidP="00B10AEE">
            <w:pPr>
              <w:spacing w:after="0"/>
              <w:rPr>
                <w:rFonts w:cs="Arial"/>
                <w:sz w:val="20"/>
                <w:szCs w:val="20"/>
                <w:highlight w:val="yellow"/>
              </w:rPr>
            </w:pPr>
            <w:r w:rsidRPr="00F87A10">
              <w:rPr>
                <w:rFonts w:cs="Arial"/>
                <w:color w:val="auto"/>
                <w:sz w:val="20"/>
                <w:szCs w:val="20"/>
                <w:highlight w:val="cyan"/>
              </w:rPr>
              <w:t>Contraindication</w:t>
            </w:r>
            <w:r w:rsidRPr="00F87A10">
              <w:rPr>
                <w:rFonts w:cs="Arial"/>
                <w:color w:val="FF0000"/>
                <w:sz w:val="20"/>
                <w:szCs w:val="20"/>
                <w:highlight w:val="cyan"/>
              </w:rPr>
              <w:t xml:space="preserve"> </w:t>
            </w:r>
            <w:r w:rsidRPr="00F87A10">
              <w:rPr>
                <w:rFonts w:cs="Arial"/>
                <w:color w:val="auto"/>
                <w:sz w:val="20"/>
                <w:szCs w:val="20"/>
                <w:highlight w:val="cyan"/>
              </w:rPr>
              <w:t>with interacting Hep C medicines added</w:t>
            </w:r>
          </w:p>
        </w:tc>
      </w:tr>
    </w:tbl>
    <w:p w14:paraId="1EC6CA42" w14:textId="77777777" w:rsidR="0019462E" w:rsidRPr="00760F7F" w:rsidRDefault="0019462E" w:rsidP="00085A64">
      <w:pPr>
        <w:rPr>
          <w:color w:val="auto"/>
        </w:rPr>
      </w:pPr>
    </w:p>
    <w:p w14:paraId="6D54614C" w14:textId="77777777" w:rsidR="0000385F" w:rsidRPr="00270B89" w:rsidRDefault="0000385F" w:rsidP="0000385F">
      <w:pPr>
        <w:keepNext/>
        <w:spacing w:before="120" w:after="120"/>
        <w:jc w:val="both"/>
        <w:outlineLvl w:val="0"/>
        <w:rPr>
          <w:bCs/>
          <w:color w:val="FF0000"/>
          <w:kern w:val="28"/>
        </w:rPr>
      </w:pPr>
      <w:r w:rsidRPr="00760F7F">
        <w:rPr>
          <w:bCs/>
          <w:color w:val="auto"/>
          <w:kern w:val="28"/>
        </w:rPr>
        <w:t xml:space="preserve">This Patient Group Direction (PGD) must only be used by pharmacists </w:t>
      </w:r>
      <w:r w:rsidRPr="00760F7F">
        <w:rPr>
          <w:bCs/>
          <w:color w:val="auto"/>
          <w:kern w:val="28"/>
          <w:highlight w:val="yellow"/>
        </w:rPr>
        <w:t>and pharmacy technicians</w:t>
      </w:r>
      <w:r w:rsidRPr="00760F7F">
        <w:rPr>
          <w:bCs/>
          <w:color w:val="auto"/>
          <w:kern w:val="28"/>
        </w:rPr>
        <w:t xml:space="preserve"> who have been named and authorised by their organisation to practise under it (See Appendix A). The most recent and in date final signed version of the PGD must be used</w:t>
      </w:r>
      <w:r w:rsidRPr="00270B89">
        <w:rPr>
          <w:bCs/>
          <w:color w:val="FF0000"/>
          <w:kern w:val="28"/>
        </w:rPr>
        <w:t>.</w:t>
      </w:r>
    </w:p>
    <w:p w14:paraId="3F8F08E0" w14:textId="77777777" w:rsidR="0000385F" w:rsidRDefault="0000385F" w:rsidP="00085A64"/>
    <w:p w14:paraId="31C62007" w14:textId="77777777" w:rsidR="005B6CD5" w:rsidRPr="0078141A" w:rsidRDefault="005B6CD5" w:rsidP="005B6CD5">
      <w:pPr>
        <w:pBdr>
          <w:top w:val="single" w:sz="4" w:space="1" w:color="auto"/>
          <w:left w:val="single" w:sz="4" w:space="1" w:color="auto"/>
          <w:bottom w:val="single" w:sz="4" w:space="1" w:color="auto"/>
          <w:right w:val="single" w:sz="4" w:space="0" w:color="auto"/>
        </w:pBdr>
        <w:shd w:val="clear" w:color="auto" w:fill="C0C0C0"/>
        <w:rPr>
          <w:rFonts w:cs="Arial"/>
          <w:b/>
        </w:rPr>
      </w:pPr>
      <w:r w:rsidRPr="0078141A">
        <w:rPr>
          <w:rFonts w:cs="Arial"/>
          <w:b/>
        </w:rPr>
        <w:t>PGD DEVELOPMENT GROUP</w:t>
      </w:r>
    </w:p>
    <w:p w14:paraId="18C77AEC" w14:textId="77777777" w:rsidR="005B6CD5" w:rsidRPr="0078141A" w:rsidRDefault="005B6CD5" w:rsidP="005B6CD5">
      <w:pPr>
        <w:jc w:val="both"/>
        <w:rPr>
          <w:rFonts w:cs="Arial"/>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B6CD5" w:rsidRPr="0078141A" w14:paraId="15397C7E" w14:textId="77777777" w:rsidTr="004C5C3C">
        <w:tc>
          <w:tcPr>
            <w:tcW w:w="3969" w:type="dxa"/>
          </w:tcPr>
          <w:p w14:paraId="37C36310" w14:textId="77777777" w:rsidR="005B6CD5" w:rsidRPr="0078141A" w:rsidRDefault="005B6CD5" w:rsidP="004C5C3C">
            <w:pPr>
              <w:tabs>
                <w:tab w:val="center" w:pos="3312"/>
                <w:tab w:val="right" w:pos="6624"/>
                <w:tab w:val="left" w:pos="8460"/>
                <w:tab w:val="left" w:pos="9936"/>
              </w:tabs>
              <w:rPr>
                <w:rFonts w:cs="Arial"/>
              </w:rPr>
            </w:pPr>
            <w:r w:rsidRPr="0078141A">
              <w:rPr>
                <w:rFonts w:cs="Arial"/>
              </w:rPr>
              <w:t xml:space="preserve">Date PGD template comes into effect: </w:t>
            </w:r>
          </w:p>
        </w:tc>
        <w:tc>
          <w:tcPr>
            <w:tcW w:w="4536" w:type="dxa"/>
          </w:tcPr>
          <w:p w14:paraId="5DBC208C" w14:textId="6B218D39" w:rsidR="005B6CD5" w:rsidRPr="000A68DA" w:rsidDel="003C5FD5" w:rsidRDefault="0040404C" w:rsidP="004C5C3C">
            <w:pPr>
              <w:tabs>
                <w:tab w:val="center" w:pos="3312"/>
                <w:tab w:val="right" w:pos="6624"/>
                <w:tab w:val="left" w:pos="8460"/>
                <w:tab w:val="left" w:pos="9936"/>
              </w:tabs>
              <w:rPr>
                <w:rFonts w:cs="Arial"/>
                <w:highlight w:val="yellow"/>
              </w:rPr>
            </w:pPr>
            <w:r>
              <w:rPr>
                <w:rFonts w:cs="Arial"/>
              </w:rPr>
              <w:t xml:space="preserve">29 October </w:t>
            </w:r>
            <w:r w:rsidR="005B6CD5" w:rsidRPr="004B541D">
              <w:rPr>
                <w:rFonts w:cs="Arial"/>
              </w:rPr>
              <w:t>202</w:t>
            </w:r>
            <w:r w:rsidR="004B541D">
              <w:rPr>
                <w:rFonts w:cs="Arial"/>
              </w:rPr>
              <w:t>5</w:t>
            </w:r>
          </w:p>
        </w:tc>
      </w:tr>
      <w:tr w:rsidR="005B6CD5" w:rsidRPr="0078141A" w14:paraId="0E01F030" w14:textId="77777777" w:rsidTr="004C5C3C">
        <w:tc>
          <w:tcPr>
            <w:tcW w:w="3969" w:type="dxa"/>
          </w:tcPr>
          <w:p w14:paraId="5969BB40" w14:textId="77777777" w:rsidR="005B6CD5" w:rsidRPr="0078141A" w:rsidRDefault="005B6CD5" w:rsidP="004C5C3C">
            <w:pPr>
              <w:tabs>
                <w:tab w:val="center" w:pos="3312"/>
                <w:tab w:val="right" w:pos="6624"/>
                <w:tab w:val="left" w:pos="8460"/>
                <w:tab w:val="left" w:pos="9936"/>
              </w:tabs>
              <w:rPr>
                <w:rFonts w:cs="Arial"/>
              </w:rPr>
            </w:pPr>
            <w:r w:rsidRPr="0078141A">
              <w:rPr>
                <w:rFonts w:cs="Arial"/>
              </w:rPr>
              <w:t>Review date</w:t>
            </w:r>
          </w:p>
        </w:tc>
        <w:tc>
          <w:tcPr>
            <w:tcW w:w="4536" w:type="dxa"/>
          </w:tcPr>
          <w:p w14:paraId="4841590C" w14:textId="1723AEF3" w:rsidR="005B6CD5" w:rsidRPr="000A68DA" w:rsidDel="003C5FD5" w:rsidRDefault="005B6CD5" w:rsidP="004C5C3C">
            <w:pPr>
              <w:tabs>
                <w:tab w:val="center" w:pos="3312"/>
                <w:tab w:val="right" w:pos="6624"/>
                <w:tab w:val="left" w:pos="8460"/>
                <w:tab w:val="left" w:pos="9936"/>
              </w:tabs>
              <w:rPr>
                <w:rFonts w:cs="Arial"/>
                <w:highlight w:val="yellow"/>
              </w:rPr>
            </w:pPr>
            <w:r w:rsidRPr="00504297">
              <w:rPr>
                <w:rFonts w:cs="Arial"/>
              </w:rPr>
              <w:t>September 202</w:t>
            </w:r>
            <w:r w:rsidR="0040404C">
              <w:rPr>
                <w:rFonts w:cs="Arial"/>
              </w:rPr>
              <w:t>8</w:t>
            </w:r>
          </w:p>
        </w:tc>
      </w:tr>
      <w:tr w:rsidR="005B6CD5" w:rsidRPr="0078141A" w14:paraId="32ADEDF1" w14:textId="77777777" w:rsidTr="004C5C3C">
        <w:tc>
          <w:tcPr>
            <w:tcW w:w="3969" w:type="dxa"/>
          </w:tcPr>
          <w:p w14:paraId="7B681835" w14:textId="77777777" w:rsidR="005B6CD5" w:rsidRPr="0078141A" w:rsidRDefault="005B6CD5" w:rsidP="004C5C3C">
            <w:pPr>
              <w:tabs>
                <w:tab w:val="center" w:pos="3312"/>
                <w:tab w:val="right" w:pos="6624"/>
                <w:tab w:val="left" w:pos="8460"/>
                <w:tab w:val="left" w:pos="9936"/>
              </w:tabs>
              <w:rPr>
                <w:rFonts w:cs="Arial"/>
              </w:rPr>
            </w:pPr>
            <w:r w:rsidRPr="0078141A">
              <w:rPr>
                <w:rFonts w:cs="Arial"/>
              </w:rPr>
              <w:t xml:space="preserve">Expiry date: </w:t>
            </w:r>
          </w:p>
        </w:tc>
        <w:tc>
          <w:tcPr>
            <w:tcW w:w="4536" w:type="dxa"/>
          </w:tcPr>
          <w:p w14:paraId="6375A0FD" w14:textId="20E5A774" w:rsidR="005B6CD5" w:rsidRPr="000A68DA" w:rsidDel="003C5FD5" w:rsidRDefault="005B6CD5" w:rsidP="004C5C3C">
            <w:pPr>
              <w:tabs>
                <w:tab w:val="center" w:pos="3312"/>
                <w:tab w:val="right" w:pos="6624"/>
                <w:tab w:val="left" w:pos="8460"/>
                <w:tab w:val="left" w:pos="9936"/>
              </w:tabs>
              <w:rPr>
                <w:rFonts w:cs="Arial"/>
                <w:highlight w:val="yellow"/>
              </w:rPr>
            </w:pPr>
            <w:r w:rsidRPr="00504297">
              <w:rPr>
                <w:rFonts w:cs="Arial"/>
              </w:rPr>
              <w:t xml:space="preserve"> </w:t>
            </w:r>
            <w:r w:rsidR="0040404C">
              <w:rPr>
                <w:rFonts w:cs="Arial"/>
              </w:rPr>
              <w:t xml:space="preserve">28 February </w:t>
            </w:r>
            <w:r w:rsidRPr="00504297">
              <w:rPr>
                <w:rFonts w:cs="Arial"/>
              </w:rPr>
              <w:t>202</w:t>
            </w:r>
            <w:r w:rsidR="0040404C">
              <w:rPr>
                <w:rFonts w:cs="Arial"/>
              </w:rPr>
              <w:t>9</w:t>
            </w:r>
          </w:p>
        </w:tc>
      </w:tr>
    </w:tbl>
    <w:p w14:paraId="558DFCD5" w14:textId="77777777" w:rsidR="005B6CD5" w:rsidRPr="0078141A" w:rsidRDefault="005B6CD5" w:rsidP="005B6CD5">
      <w:pPr>
        <w:jc w:val="both"/>
        <w:rPr>
          <w:rFonts w:cs="Arial"/>
          <w:color w:val="FF0000"/>
        </w:rPr>
      </w:pPr>
    </w:p>
    <w:p w14:paraId="43295FC1" w14:textId="77777777" w:rsidR="005B6CD5" w:rsidRDefault="005B6CD5" w:rsidP="005B6CD5">
      <w:pPr>
        <w:rPr>
          <w:rFonts w:cs="Arial"/>
        </w:rPr>
      </w:pPr>
      <w:r w:rsidRPr="00D10926">
        <w:rPr>
          <w:rFonts w:cs="Arial"/>
        </w:rPr>
        <w:t xml:space="preserve">This PGD template has been peer reviewed by the Reproductive Health PGDs Short Life Working Group in accordance with their Terms of Reference. It </w:t>
      </w:r>
      <w:r>
        <w:rPr>
          <w:rFonts w:cs="Arial"/>
        </w:rPr>
        <w:t>was</w:t>
      </w:r>
      <w:r w:rsidRPr="00D10926">
        <w:rPr>
          <w:rFonts w:cs="Arial"/>
        </w:rPr>
        <w:t xml:space="preserve"> approved by the Faculty </w:t>
      </w:r>
      <w:r>
        <w:rPr>
          <w:rFonts w:cs="Arial"/>
        </w:rPr>
        <w:t>of</w:t>
      </w:r>
      <w:r w:rsidRPr="00D10926">
        <w:rPr>
          <w:rFonts w:cs="Arial"/>
        </w:rPr>
        <w:t xml:space="preserve"> Sexual and Reproductive Health</w:t>
      </w:r>
      <w:r>
        <w:rPr>
          <w:rFonts w:cs="Arial"/>
        </w:rPr>
        <w:t>care</w:t>
      </w:r>
      <w:r w:rsidRPr="00D10926">
        <w:rPr>
          <w:rFonts w:cs="Arial"/>
        </w:rPr>
        <w:t xml:space="preserve"> (FSRH) in</w:t>
      </w:r>
      <w:r>
        <w:rPr>
          <w:rFonts w:cs="Arial"/>
        </w:rPr>
        <w:t xml:space="preserve"> November 2022.</w:t>
      </w:r>
    </w:p>
    <w:p w14:paraId="14754C2B" w14:textId="77777777" w:rsidR="00AA177D" w:rsidRPr="001B2181" w:rsidRDefault="00AA177D" w:rsidP="00AA177D">
      <w:pPr>
        <w:rPr>
          <w:rFonts w:cs="Arial"/>
          <w:b/>
          <w:bCs/>
        </w:rPr>
      </w:pPr>
      <w:r w:rsidRPr="001B2181">
        <w:rPr>
          <w:rFonts w:cs="Arial"/>
          <w:b/>
          <w:bCs/>
          <w:highlight w:val="yellow"/>
        </w:rPr>
        <w:t>The Faculty of Sexual and Reproductive Healthcare (FSRH) has now changed its name to the College of Sexual and Reproductive Healthcare (</w:t>
      </w:r>
      <w:proofErr w:type="spellStart"/>
      <w:r w:rsidRPr="001B2181">
        <w:rPr>
          <w:rFonts w:cs="Arial"/>
          <w:b/>
          <w:bCs/>
          <w:highlight w:val="yellow"/>
        </w:rPr>
        <w:t>CoSRH</w:t>
      </w:r>
      <w:proofErr w:type="spellEnd"/>
      <w:r w:rsidRPr="001B2181">
        <w:rPr>
          <w:rFonts w:cs="Arial"/>
          <w:b/>
          <w:bCs/>
          <w:highlight w:val="yellow"/>
        </w:rPr>
        <w:t xml:space="preserve">). Some pages and documents will continue to display the FSRH name. Where you see FSRH, this refers to </w:t>
      </w:r>
      <w:proofErr w:type="spellStart"/>
      <w:r w:rsidRPr="001B2181">
        <w:rPr>
          <w:rFonts w:cs="Arial"/>
          <w:b/>
          <w:bCs/>
          <w:highlight w:val="yellow"/>
        </w:rPr>
        <w:t>CoSRH</w:t>
      </w:r>
      <w:proofErr w:type="spellEnd"/>
      <w:r w:rsidRPr="001B2181">
        <w:rPr>
          <w:rFonts w:cs="Arial"/>
          <w:b/>
          <w:bCs/>
          <w:highlight w:val="yellow"/>
        </w:rPr>
        <w:t>.</w:t>
      </w:r>
      <w:r w:rsidRPr="001B2181">
        <w:rPr>
          <w:rFonts w:cs="Arial"/>
          <w:b/>
          <w:bCs/>
        </w:rPr>
        <w:t> </w:t>
      </w:r>
    </w:p>
    <w:p w14:paraId="3139E0E4" w14:textId="77777777" w:rsidR="00AA177D" w:rsidRDefault="00AA177D" w:rsidP="005B6CD5">
      <w:pPr>
        <w:rPr>
          <w:rFonts w:cs="Arial"/>
        </w:rPr>
      </w:pPr>
    </w:p>
    <w:p w14:paraId="1FE88DEF" w14:textId="77777777" w:rsidR="00145E1E" w:rsidRDefault="00145E1E" w:rsidP="005B6CD5">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6661"/>
      </w:tblGrid>
      <w:tr w:rsidR="005B6CD5" w:rsidRPr="00D10926" w14:paraId="64ADF48C" w14:textId="77777777" w:rsidTr="003B066B">
        <w:trPr>
          <w:trHeight w:val="254"/>
        </w:trPr>
        <w:tc>
          <w:tcPr>
            <w:tcW w:w="2440" w:type="dxa"/>
            <w:shd w:val="clear" w:color="auto" w:fill="BFBFBF" w:themeFill="text1" w:themeFillShade="BF"/>
            <w:vAlign w:val="center"/>
          </w:tcPr>
          <w:p w14:paraId="1DA05B01" w14:textId="77777777" w:rsidR="005B6CD5" w:rsidRPr="00D10926" w:rsidRDefault="005B6CD5" w:rsidP="004C5C3C">
            <w:pPr>
              <w:overflowPunct w:val="0"/>
              <w:autoSpaceDE w:val="0"/>
              <w:autoSpaceDN w:val="0"/>
              <w:adjustRightInd w:val="0"/>
              <w:textAlignment w:val="baseline"/>
              <w:rPr>
                <w:rFonts w:cs="Arial"/>
                <w:b/>
              </w:rPr>
            </w:pPr>
            <w:r w:rsidRPr="00D10926">
              <w:rPr>
                <w:rFonts w:cs="Arial"/>
                <w:b/>
              </w:rPr>
              <w:t>Name</w:t>
            </w:r>
          </w:p>
        </w:tc>
        <w:tc>
          <w:tcPr>
            <w:tcW w:w="6661" w:type="dxa"/>
            <w:shd w:val="clear" w:color="auto" w:fill="BFBFBF" w:themeFill="text1" w:themeFillShade="BF"/>
            <w:vAlign w:val="center"/>
          </w:tcPr>
          <w:p w14:paraId="2BCFF9C6" w14:textId="77777777" w:rsidR="005B6CD5" w:rsidRPr="00D10926" w:rsidRDefault="005B6CD5" w:rsidP="004C5C3C">
            <w:pPr>
              <w:overflowPunct w:val="0"/>
              <w:autoSpaceDE w:val="0"/>
              <w:autoSpaceDN w:val="0"/>
              <w:adjustRightInd w:val="0"/>
              <w:textAlignment w:val="baseline"/>
              <w:rPr>
                <w:rFonts w:cs="Arial"/>
                <w:b/>
              </w:rPr>
            </w:pPr>
            <w:r w:rsidRPr="00D10926">
              <w:rPr>
                <w:rFonts w:cs="Arial"/>
                <w:b/>
              </w:rPr>
              <w:t>Designation</w:t>
            </w:r>
          </w:p>
        </w:tc>
      </w:tr>
      <w:tr w:rsidR="005B6CD5" w:rsidRPr="00D10926" w14:paraId="5F3D8466" w14:textId="77777777" w:rsidTr="003B066B">
        <w:trPr>
          <w:trHeight w:val="267"/>
        </w:trPr>
        <w:tc>
          <w:tcPr>
            <w:tcW w:w="2440" w:type="dxa"/>
          </w:tcPr>
          <w:p w14:paraId="008B93FA"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ED07FC">
              <w:rPr>
                <w:sz w:val="20"/>
                <w:szCs w:val="20"/>
              </w:rPr>
              <w:t>Dr Cindy Farmer</w:t>
            </w:r>
          </w:p>
        </w:tc>
        <w:tc>
          <w:tcPr>
            <w:tcW w:w="6661" w:type="dxa"/>
          </w:tcPr>
          <w:p w14:paraId="05B88DA1" w14:textId="0ADEB9EB" w:rsidR="005B6CD5" w:rsidRPr="00D10926" w:rsidRDefault="005B6CD5" w:rsidP="005004E7">
            <w:pPr>
              <w:tabs>
                <w:tab w:val="left" w:pos="2320"/>
                <w:tab w:val="right" w:pos="5731"/>
              </w:tabs>
              <w:overflowPunct w:val="0"/>
              <w:autoSpaceDE w:val="0"/>
              <w:autoSpaceDN w:val="0"/>
              <w:adjustRightInd w:val="0"/>
              <w:spacing w:before="60" w:after="60"/>
              <w:textAlignment w:val="baseline"/>
              <w:rPr>
                <w:sz w:val="20"/>
                <w:szCs w:val="20"/>
              </w:rPr>
            </w:pPr>
            <w:r>
              <w:rPr>
                <w:sz w:val="20"/>
                <w:szCs w:val="20"/>
              </w:rPr>
              <w:t>Vice President, General Training</w:t>
            </w:r>
            <w:r w:rsidR="005004E7">
              <w:rPr>
                <w:sz w:val="20"/>
                <w:szCs w:val="20"/>
              </w:rPr>
              <w:tab/>
            </w:r>
          </w:p>
          <w:p w14:paraId="141E089F" w14:textId="73869E04" w:rsidR="005B6CD5" w:rsidRPr="00ED07FC" w:rsidRDefault="003376B9" w:rsidP="004C5C3C">
            <w:pPr>
              <w:tabs>
                <w:tab w:val="left" w:pos="2320"/>
              </w:tabs>
              <w:overflowPunct w:val="0"/>
              <w:autoSpaceDE w:val="0"/>
              <w:autoSpaceDN w:val="0"/>
              <w:adjustRightInd w:val="0"/>
              <w:spacing w:before="60" w:after="60"/>
              <w:textAlignment w:val="baseline"/>
              <w:rPr>
                <w:sz w:val="20"/>
                <w:szCs w:val="20"/>
              </w:rPr>
            </w:pPr>
            <w:r>
              <w:rPr>
                <w:sz w:val="20"/>
                <w:szCs w:val="20"/>
              </w:rPr>
              <w:t>College</w:t>
            </w:r>
            <w:r w:rsidR="005B6CD5" w:rsidRPr="00D10926">
              <w:rPr>
                <w:sz w:val="20"/>
                <w:szCs w:val="20"/>
              </w:rPr>
              <w:t xml:space="preserve"> of Sexual and Reproductive Healthcare (</w:t>
            </w:r>
            <w:proofErr w:type="spellStart"/>
            <w:r>
              <w:rPr>
                <w:sz w:val="20"/>
                <w:szCs w:val="20"/>
              </w:rPr>
              <w:t>Co</w:t>
            </w:r>
            <w:r w:rsidR="005B6CD5" w:rsidRPr="00D10926">
              <w:rPr>
                <w:sz w:val="20"/>
                <w:szCs w:val="20"/>
              </w:rPr>
              <w:t>SRH</w:t>
            </w:r>
            <w:proofErr w:type="spellEnd"/>
            <w:r w:rsidR="005B6CD5" w:rsidRPr="00D10926">
              <w:rPr>
                <w:sz w:val="20"/>
                <w:szCs w:val="20"/>
              </w:rPr>
              <w:t xml:space="preserve">) </w:t>
            </w:r>
          </w:p>
        </w:tc>
      </w:tr>
      <w:tr w:rsidR="005B6CD5" w:rsidRPr="00D10926" w14:paraId="20F24EE1" w14:textId="77777777" w:rsidTr="003B066B">
        <w:trPr>
          <w:trHeight w:val="267"/>
        </w:trPr>
        <w:tc>
          <w:tcPr>
            <w:tcW w:w="2440" w:type="dxa"/>
          </w:tcPr>
          <w:p w14:paraId="560D264F" w14:textId="71A6EC55" w:rsidR="005B6CD5" w:rsidRPr="00D10926" w:rsidRDefault="005B6CD5" w:rsidP="00F52325">
            <w:pPr>
              <w:tabs>
                <w:tab w:val="right" w:pos="2224"/>
              </w:tabs>
              <w:overflowPunct w:val="0"/>
              <w:autoSpaceDE w:val="0"/>
              <w:autoSpaceDN w:val="0"/>
              <w:adjustRightInd w:val="0"/>
              <w:spacing w:before="60" w:after="60"/>
              <w:textAlignment w:val="baseline"/>
              <w:rPr>
                <w:sz w:val="20"/>
                <w:szCs w:val="20"/>
              </w:rPr>
            </w:pPr>
            <w:r w:rsidRPr="00D10926">
              <w:rPr>
                <w:sz w:val="20"/>
                <w:szCs w:val="20"/>
              </w:rPr>
              <w:t>Michelle Jenkins</w:t>
            </w:r>
            <w:r w:rsidR="00F52325">
              <w:rPr>
                <w:sz w:val="20"/>
                <w:szCs w:val="20"/>
              </w:rPr>
              <w:tab/>
            </w:r>
          </w:p>
          <w:p w14:paraId="51838E46" w14:textId="77777777" w:rsidR="005B6CD5" w:rsidRPr="00D10926" w:rsidRDefault="005B6CD5" w:rsidP="004C5C3C">
            <w:pPr>
              <w:overflowPunct w:val="0"/>
              <w:autoSpaceDE w:val="0"/>
              <w:autoSpaceDN w:val="0"/>
              <w:adjustRightInd w:val="0"/>
              <w:spacing w:before="60" w:after="60"/>
              <w:textAlignment w:val="baseline"/>
              <w:rPr>
                <w:sz w:val="20"/>
                <w:szCs w:val="20"/>
              </w:rPr>
            </w:pPr>
          </w:p>
        </w:tc>
        <w:tc>
          <w:tcPr>
            <w:tcW w:w="6661" w:type="dxa"/>
          </w:tcPr>
          <w:p w14:paraId="3EF5EAA6" w14:textId="77777777" w:rsidR="005B6CD5" w:rsidRPr="00D10926"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Advanced Nurse Practitioner, Clinical Standards Committee </w:t>
            </w:r>
          </w:p>
          <w:p w14:paraId="7B37A643" w14:textId="1723F58D" w:rsidR="005B6CD5" w:rsidRPr="00D10926" w:rsidRDefault="003376B9" w:rsidP="004C5C3C">
            <w:pPr>
              <w:tabs>
                <w:tab w:val="left" w:pos="2320"/>
              </w:tabs>
              <w:overflowPunct w:val="0"/>
              <w:autoSpaceDE w:val="0"/>
              <w:autoSpaceDN w:val="0"/>
              <w:adjustRightInd w:val="0"/>
              <w:spacing w:before="60" w:after="60"/>
              <w:textAlignment w:val="baseline"/>
              <w:rPr>
                <w:sz w:val="20"/>
                <w:szCs w:val="20"/>
              </w:rPr>
            </w:pPr>
            <w:r>
              <w:rPr>
                <w:sz w:val="20"/>
                <w:szCs w:val="20"/>
              </w:rPr>
              <w:t>College</w:t>
            </w:r>
            <w:r w:rsidR="005B6CD5" w:rsidRPr="00D10926">
              <w:rPr>
                <w:sz w:val="20"/>
                <w:szCs w:val="20"/>
              </w:rPr>
              <w:t xml:space="preserve"> of Sexual and Reproductive Healthcare (</w:t>
            </w:r>
            <w:proofErr w:type="spellStart"/>
            <w:r>
              <w:rPr>
                <w:sz w:val="20"/>
                <w:szCs w:val="20"/>
              </w:rPr>
              <w:t>Co</w:t>
            </w:r>
            <w:r w:rsidR="005B6CD5" w:rsidRPr="00D10926">
              <w:rPr>
                <w:sz w:val="20"/>
                <w:szCs w:val="20"/>
              </w:rPr>
              <w:t>SRH</w:t>
            </w:r>
            <w:proofErr w:type="spellEnd"/>
            <w:r w:rsidR="005B6CD5" w:rsidRPr="00D10926">
              <w:rPr>
                <w:sz w:val="20"/>
                <w:szCs w:val="20"/>
              </w:rPr>
              <w:t xml:space="preserve">) </w:t>
            </w:r>
          </w:p>
        </w:tc>
      </w:tr>
      <w:tr w:rsidR="005B6CD5" w:rsidRPr="00D10926" w14:paraId="01BEF7F2" w14:textId="77777777" w:rsidTr="003B066B">
        <w:trPr>
          <w:trHeight w:val="267"/>
        </w:trPr>
        <w:tc>
          <w:tcPr>
            <w:tcW w:w="2440" w:type="dxa"/>
          </w:tcPr>
          <w:p w14:paraId="0AC8CF01"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04FDD">
              <w:rPr>
                <w:sz w:val="20"/>
                <w:szCs w:val="20"/>
              </w:rPr>
              <w:t>Vicky Garner</w:t>
            </w:r>
          </w:p>
        </w:tc>
        <w:tc>
          <w:tcPr>
            <w:tcW w:w="6661" w:type="dxa"/>
          </w:tcPr>
          <w:p w14:paraId="54BA14DB"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04FDD">
              <w:rPr>
                <w:sz w:val="20"/>
                <w:szCs w:val="20"/>
              </w:rPr>
              <w:t>Deputy Chief Midwife</w:t>
            </w:r>
            <w:r>
              <w:rPr>
                <w:sz w:val="20"/>
                <w:szCs w:val="20"/>
              </w:rPr>
              <w:t xml:space="preserve"> </w:t>
            </w:r>
            <w:r w:rsidRPr="00D10926">
              <w:rPr>
                <w:sz w:val="20"/>
                <w:szCs w:val="20"/>
              </w:rPr>
              <w:t>British Pregnancy Advisory Service (BPAS)</w:t>
            </w:r>
          </w:p>
        </w:tc>
      </w:tr>
      <w:tr w:rsidR="005B6CD5" w:rsidRPr="00D10926" w14:paraId="1AFD66B7" w14:textId="77777777" w:rsidTr="003B066B">
        <w:trPr>
          <w:trHeight w:val="267"/>
        </w:trPr>
        <w:tc>
          <w:tcPr>
            <w:tcW w:w="2440" w:type="dxa"/>
          </w:tcPr>
          <w:p w14:paraId="163A9EFC" w14:textId="77777777" w:rsidR="005B6CD5" w:rsidRPr="00D04FDD" w:rsidRDefault="005B6CD5" w:rsidP="004C5C3C">
            <w:pPr>
              <w:overflowPunct w:val="0"/>
              <w:autoSpaceDE w:val="0"/>
              <w:autoSpaceDN w:val="0"/>
              <w:adjustRightInd w:val="0"/>
              <w:spacing w:before="60" w:after="60"/>
              <w:textAlignment w:val="baseline"/>
              <w:rPr>
                <w:sz w:val="20"/>
                <w:szCs w:val="20"/>
              </w:rPr>
            </w:pPr>
            <w:r w:rsidRPr="00E902C3">
              <w:rPr>
                <w:sz w:val="20"/>
                <w:szCs w:val="20"/>
              </w:rPr>
              <w:t>Gail Rowley</w:t>
            </w:r>
          </w:p>
        </w:tc>
        <w:tc>
          <w:tcPr>
            <w:tcW w:w="6661" w:type="dxa"/>
          </w:tcPr>
          <w:p w14:paraId="61F1F97F" w14:textId="77777777" w:rsidR="005B6CD5" w:rsidRPr="00D04FDD" w:rsidRDefault="005B6CD5" w:rsidP="004C5C3C">
            <w:pPr>
              <w:tabs>
                <w:tab w:val="left" w:pos="2320"/>
              </w:tabs>
              <w:overflowPunct w:val="0"/>
              <w:autoSpaceDE w:val="0"/>
              <w:autoSpaceDN w:val="0"/>
              <w:adjustRightInd w:val="0"/>
              <w:spacing w:before="60" w:after="60"/>
              <w:textAlignment w:val="baseline"/>
              <w:rPr>
                <w:sz w:val="20"/>
                <w:szCs w:val="20"/>
              </w:rPr>
            </w:pPr>
            <w:r w:rsidRPr="00E902C3">
              <w:rPr>
                <w:sz w:val="20"/>
                <w:szCs w:val="20"/>
              </w:rPr>
              <w:t>Quality Matron</w:t>
            </w:r>
            <w:r>
              <w:rPr>
                <w:sz w:val="20"/>
                <w:szCs w:val="20"/>
              </w:rPr>
              <w:t xml:space="preserve"> </w:t>
            </w:r>
            <w:r w:rsidRPr="00E902C3">
              <w:rPr>
                <w:sz w:val="20"/>
                <w:szCs w:val="20"/>
              </w:rPr>
              <w:t>British Pregnancy Advisory Service (BPAS)</w:t>
            </w:r>
          </w:p>
        </w:tc>
      </w:tr>
      <w:tr w:rsidR="005B6CD5" w:rsidRPr="00D10926" w14:paraId="65BB0910" w14:textId="77777777" w:rsidTr="003B066B">
        <w:trPr>
          <w:trHeight w:val="267"/>
        </w:trPr>
        <w:tc>
          <w:tcPr>
            <w:tcW w:w="2440" w:type="dxa"/>
          </w:tcPr>
          <w:p w14:paraId="065A2B56"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Katie Girling</w:t>
            </w:r>
          </w:p>
        </w:tc>
        <w:tc>
          <w:tcPr>
            <w:tcW w:w="6661" w:type="dxa"/>
          </w:tcPr>
          <w:p w14:paraId="4C3D4634"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British Pregnancy Advisory Service (BPAS)</w:t>
            </w:r>
          </w:p>
        </w:tc>
      </w:tr>
      <w:tr w:rsidR="005B6CD5" w:rsidRPr="00D10926" w14:paraId="04234719" w14:textId="77777777" w:rsidTr="003B066B">
        <w:trPr>
          <w:trHeight w:val="267"/>
        </w:trPr>
        <w:tc>
          <w:tcPr>
            <w:tcW w:w="2440" w:type="dxa"/>
          </w:tcPr>
          <w:p w14:paraId="5357924A" w14:textId="77777777" w:rsidR="005B6CD5" w:rsidRPr="00D04FDD" w:rsidRDefault="005B6CD5" w:rsidP="004C5C3C">
            <w:pPr>
              <w:overflowPunct w:val="0"/>
              <w:autoSpaceDE w:val="0"/>
              <w:autoSpaceDN w:val="0"/>
              <w:adjustRightInd w:val="0"/>
              <w:spacing w:before="60" w:after="60"/>
              <w:textAlignment w:val="baseline"/>
              <w:rPr>
                <w:sz w:val="20"/>
                <w:szCs w:val="20"/>
              </w:rPr>
            </w:pPr>
            <w:r w:rsidRPr="00D04FDD">
              <w:rPr>
                <w:sz w:val="20"/>
                <w:szCs w:val="20"/>
              </w:rPr>
              <w:t>Julia Hogan</w:t>
            </w:r>
          </w:p>
        </w:tc>
        <w:tc>
          <w:tcPr>
            <w:tcW w:w="6661" w:type="dxa"/>
          </w:tcPr>
          <w:p w14:paraId="6193F4CD" w14:textId="77777777" w:rsidR="005B6CD5" w:rsidRPr="00D04FDD" w:rsidRDefault="005B6CD5" w:rsidP="004C5C3C">
            <w:pPr>
              <w:overflowPunct w:val="0"/>
              <w:autoSpaceDE w:val="0"/>
              <w:autoSpaceDN w:val="0"/>
              <w:adjustRightInd w:val="0"/>
              <w:spacing w:before="60" w:after="60"/>
              <w:textAlignment w:val="baseline"/>
              <w:rPr>
                <w:sz w:val="20"/>
                <w:szCs w:val="20"/>
              </w:rPr>
            </w:pPr>
            <w:r w:rsidRPr="00D04FDD">
              <w:rPr>
                <w:sz w:val="20"/>
                <w:szCs w:val="20"/>
              </w:rPr>
              <w:t>CASH Nurse Consultant MSI Reproductive Choices</w:t>
            </w:r>
          </w:p>
        </w:tc>
      </w:tr>
      <w:tr w:rsidR="005B6CD5" w:rsidRPr="00D10926" w14:paraId="5401F895" w14:textId="77777777" w:rsidTr="003B066B">
        <w:trPr>
          <w:trHeight w:val="267"/>
        </w:trPr>
        <w:tc>
          <w:tcPr>
            <w:tcW w:w="2440" w:type="dxa"/>
          </w:tcPr>
          <w:p w14:paraId="586B4FC4" w14:textId="77777777" w:rsidR="005B6CD5" w:rsidRPr="00D04FDD" w:rsidRDefault="005B6CD5" w:rsidP="004C5C3C">
            <w:pPr>
              <w:overflowPunct w:val="0"/>
              <w:autoSpaceDE w:val="0"/>
              <w:autoSpaceDN w:val="0"/>
              <w:adjustRightInd w:val="0"/>
              <w:spacing w:before="60" w:after="60"/>
              <w:textAlignment w:val="baseline"/>
              <w:rPr>
                <w:sz w:val="20"/>
                <w:szCs w:val="20"/>
              </w:rPr>
            </w:pPr>
            <w:r w:rsidRPr="00D04FDD">
              <w:rPr>
                <w:sz w:val="20"/>
                <w:szCs w:val="20"/>
              </w:rPr>
              <w:t>Kate Devonport</w:t>
            </w:r>
          </w:p>
        </w:tc>
        <w:tc>
          <w:tcPr>
            <w:tcW w:w="6661" w:type="dxa"/>
          </w:tcPr>
          <w:p w14:paraId="27DFE932"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04FDD">
              <w:rPr>
                <w:sz w:val="20"/>
                <w:szCs w:val="20"/>
              </w:rPr>
              <w:t xml:space="preserve">National Unplanned Pregnancy </w:t>
            </w:r>
            <w:r w:rsidRPr="00507BC6">
              <w:rPr>
                <w:sz w:val="20"/>
                <w:szCs w:val="20"/>
              </w:rPr>
              <w:t>Advisory Service (NUPAS)</w:t>
            </w:r>
          </w:p>
        </w:tc>
      </w:tr>
      <w:tr w:rsidR="005B6CD5" w:rsidRPr="00D10926" w14:paraId="591C78A8" w14:textId="77777777" w:rsidTr="003B066B">
        <w:trPr>
          <w:trHeight w:val="267"/>
        </w:trPr>
        <w:tc>
          <w:tcPr>
            <w:tcW w:w="2440" w:type="dxa"/>
          </w:tcPr>
          <w:p w14:paraId="6AAA48AA"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Chetna Parmar</w:t>
            </w:r>
          </w:p>
        </w:tc>
        <w:tc>
          <w:tcPr>
            <w:tcW w:w="6661" w:type="dxa"/>
          </w:tcPr>
          <w:p w14:paraId="21B2881D"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Pharmacist adviser Umbrella </w:t>
            </w:r>
          </w:p>
        </w:tc>
      </w:tr>
      <w:tr w:rsidR="005B6CD5" w:rsidRPr="00D10926" w14:paraId="5D52443B" w14:textId="77777777" w:rsidTr="003B066B">
        <w:trPr>
          <w:trHeight w:val="267"/>
        </w:trPr>
        <w:tc>
          <w:tcPr>
            <w:tcW w:w="2440" w:type="dxa"/>
          </w:tcPr>
          <w:p w14:paraId="344DA0BF"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Helen Donovan</w:t>
            </w:r>
          </w:p>
        </w:tc>
        <w:tc>
          <w:tcPr>
            <w:tcW w:w="6661" w:type="dxa"/>
          </w:tcPr>
          <w:p w14:paraId="211C7F74"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Royal College of Nursing (RCN)</w:t>
            </w:r>
          </w:p>
        </w:tc>
      </w:tr>
      <w:tr w:rsidR="005B6CD5" w:rsidRPr="00D10926" w14:paraId="7672561D" w14:textId="77777777" w:rsidTr="003B066B">
        <w:trPr>
          <w:trHeight w:val="267"/>
        </w:trPr>
        <w:tc>
          <w:tcPr>
            <w:tcW w:w="2440" w:type="dxa"/>
          </w:tcPr>
          <w:p w14:paraId="38106307"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Carmel Lloyd</w:t>
            </w:r>
          </w:p>
        </w:tc>
        <w:tc>
          <w:tcPr>
            <w:tcW w:w="6661" w:type="dxa"/>
          </w:tcPr>
          <w:p w14:paraId="67B3C3FB"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ED07FC">
              <w:rPr>
                <w:sz w:val="20"/>
                <w:szCs w:val="20"/>
              </w:rPr>
              <w:t>Royal College of Midwives (RCM)</w:t>
            </w:r>
          </w:p>
        </w:tc>
      </w:tr>
      <w:tr w:rsidR="005B6CD5" w:rsidRPr="00D10926" w14:paraId="6E87075B" w14:textId="77777777" w:rsidTr="003B066B">
        <w:trPr>
          <w:trHeight w:val="267"/>
        </w:trPr>
        <w:tc>
          <w:tcPr>
            <w:tcW w:w="2440" w:type="dxa"/>
          </w:tcPr>
          <w:p w14:paraId="1B5E7FE3"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Clare Livingstone</w:t>
            </w:r>
          </w:p>
        </w:tc>
        <w:tc>
          <w:tcPr>
            <w:tcW w:w="6661" w:type="dxa"/>
          </w:tcPr>
          <w:p w14:paraId="135CE9EE"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ED07FC">
              <w:rPr>
                <w:sz w:val="20"/>
                <w:szCs w:val="20"/>
              </w:rPr>
              <w:t>Royal College of Midwives (RCM)</w:t>
            </w:r>
          </w:p>
        </w:tc>
      </w:tr>
      <w:tr w:rsidR="005B6CD5" w:rsidRPr="00D10926" w14:paraId="6785261F" w14:textId="77777777" w:rsidTr="003B066B">
        <w:trPr>
          <w:trHeight w:val="267"/>
        </w:trPr>
        <w:tc>
          <w:tcPr>
            <w:tcW w:w="2440" w:type="dxa"/>
          </w:tcPr>
          <w:p w14:paraId="4D321B3B" w14:textId="77777777" w:rsidR="005B6CD5" w:rsidRPr="00ED07FC" w:rsidRDefault="005B6CD5" w:rsidP="004C5C3C">
            <w:pPr>
              <w:overflowPunct w:val="0"/>
              <w:autoSpaceDE w:val="0"/>
              <w:autoSpaceDN w:val="0"/>
              <w:adjustRightInd w:val="0"/>
              <w:spacing w:before="60" w:after="60"/>
              <w:textAlignment w:val="baseline"/>
              <w:rPr>
                <w:sz w:val="20"/>
                <w:szCs w:val="20"/>
              </w:rPr>
            </w:pPr>
            <w:r w:rsidRPr="00ED07FC">
              <w:rPr>
                <w:sz w:val="20"/>
                <w:szCs w:val="20"/>
              </w:rPr>
              <w:t xml:space="preserve">Kirsty Armstrong  </w:t>
            </w:r>
          </w:p>
        </w:tc>
        <w:tc>
          <w:tcPr>
            <w:tcW w:w="6661" w:type="dxa"/>
          </w:tcPr>
          <w:p w14:paraId="164B72F0"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ED07FC">
              <w:rPr>
                <w:sz w:val="20"/>
                <w:szCs w:val="20"/>
              </w:rPr>
              <w:t>National Pharmacy Integration Lead, NHS England</w:t>
            </w:r>
          </w:p>
        </w:tc>
      </w:tr>
      <w:tr w:rsidR="005B6CD5" w:rsidRPr="00D10926" w14:paraId="547E7250" w14:textId="77777777" w:rsidTr="003B066B">
        <w:trPr>
          <w:trHeight w:val="267"/>
        </w:trPr>
        <w:tc>
          <w:tcPr>
            <w:tcW w:w="2440" w:type="dxa"/>
          </w:tcPr>
          <w:p w14:paraId="7A14514B"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Dipti Patel</w:t>
            </w:r>
          </w:p>
        </w:tc>
        <w:tc>
          <w:tcPr>
            <w:tcW w:w="6661" w:type="dxa"/>
          </w:tcPr>
          <w:p w14:paraId="787FA8DF"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Local authority pharmacist </w:t>
            </w:r>
          </w:p>
        </w:tc>
      </w:tr>
      <w:tr w:rsidR="005B6CD5" w:rsidRPr="00D10926" w14:paraId="17B01B22" w14:textId="77777777" w:rsidTr="003B066B">
        <w:trPr>
          <w:trHeight w:val="267"/>
        </w:trPr>
        <w:tc>
          <w:tcPr>
            <w:tcW w:w="2440" w:type="dxa"/>
          </w:tcPr>
          <w:p w14:paraId="11F45848"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Emma Anderson</w:t>
            </w:r>
          </w:p>
        </w:tc>
        <w:tc>
          <w:tcPr>
            <w:tcW w:w="6661" w:type="dxa"/>
          </w:tcPr>
          <w:p w14:paraId="65EB873D"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Centre for </w:t>
            </w:r>
            <w:r w:rsidRPr="008C223A">
              <w:rPr>
                <w:sz w:val="20"/>
                <w:szCs w:val="20"/>
              </w:rPr>
              <w:t xml:space="preserve">Pharmacy </w:t>
            </w:r>
            <w:r w:rsidRPr="00D10926">
              <w:rPr>
                <w:sz w:val="20"/>
                <w:szCs w:val="20"/>
              </w:rPr>
              <w:t>Postgraduate Education (CPPE)</w:t>
            </w:r>
          </w:p>
        </w:tc>
      </w:tr>
      <w:tr w:rsidR="005B6CD5" w:rsidRPr="00D10926" w14:paraId="5CC939AB" w14:textId="77777777" w:rsidTr="003B066B">
        <w:trPr>
          <w:trHeight w:val="267"/>
        </w:trPr>
        <w:tc>
          <w:tcPr>
            <w:tcW w:w="2440" w:type="dxa"/>
          </w:tcPr>
          <w:p w14:paraId="5A0DB760"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Dr Sarah Pillai</w:t>
            </w:r>
          </w:p>
        </w:tc>
        <w:tc>
          <w:tcPr>
            <w:tcW w:w="6661" w:type="dxa"/>
            <w:vAlign w:val="center"/>
          </w:tcPr>
          <w:p w14:paraId="5B40B76A"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ED07FC">
              <w:rPr>
                <w:sz w:val="20"/>
                <w:szCs w:val="20"/>
              </w:rPr>
              <w:t>Associate Specialist</w:t>
            </w:r>
          </w:p>
        </w:tc>
      </w:tr>
      <w:tr w:rsidR="005B6CD5" w:rsidRPr="00D10926" w14:paraId="09F18EA1" w14:textId="77777777" w:rsidTr="003B066B">
        <w:trPr>
          <w:trHeight w:val="267"/>
        </w:trPr>
        <w:tc>
          <w:tcPr>
            <w:tcW w:w="2440" w:type="dxa"/>
          </w:tcPr>
          <w:p w14:paraId="2EB63EFF"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Alison Crompton</w:t>
            </w:r>
          </w:p>
        </w:tc>
        <w:tc>
          <w:tcPr>
            <w:tcW w:w="6661" w:type="dxa"/>
            <w:vAlign w:val="center"/>
          </w:tcPr>
          <w:p w14:paraId="209B895E"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ED07FC">
              <w:rPr>
                <w:sz w:val="20"/>
                <w:szCs w:val="20"/>
              </w:rPr>
              <w:t>Community pharmacist</w:t>
            </w:r>
          </w:p>
        </w:tc>
      </w:tr>
      <w:tr w:rsidR="005B6CD5" w:rsidRPr="00D10926" w14:paraId="4D3204BA" w14:textId="77777777" w:rsidTr="003B066B">
        <w:trPr>
          <w:trHeight w:val="267"/>
        </w:trPr>
        <w:tc>
          <w:tcPr>
            <w:tcW w:w="2440" w:type="dxa"/>
          </w:tcPr>
          <w:p w14:paraId="12F961CD"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Andrea Smith</w:t>
            </w:r>
          </w:p>
        </w:tc>
        <w:tc>
          <w:tcPr>
            <w:tcW w:w="6661" w:type="dxa"/>
          </w:tcPr>
          <w:p w14:paraId="0429A881"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Community pharmacist</w:t>
            </w:r>
          </w:p>
        </w:tc>
      </w:tr>
      <w:tr w:rsidR="005B6CD5" w:rsidRPr="00D10926" w14:paraId="016BF5E0" w14:textId="77777777" w:rsidTr="003B066B">
        <w:trPr>
          <w:trHeight w:val="267"/>
        </w:trPr>
        <w:tc>
          <w:tcPr>
            <w:tcW w:w="2440" w:type="dxa"/>
          </w:tcPr>
          <w:p w14:paraId="12EC1F53"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Lisa Knight</w:t>
            </w:r>
          </w:p>
        </w:tc>
        <w:tc>
          <w:tcPr>
            <w:tcW w:w="6661" w:type="dxa"/>
          </w:tcPr>
          <w:p w14:paraId="077A7F22"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 xml:space="preserve">Community Health Services pharmacist </w:t>
            </w:r>
          </w:p>
        </w:tc>
      </w:tr>
      <w:tr w:rsidR="005B6CD5" w:rsidRPr="00D10926" w14:paraId="2EA0044E" w14:textId="77777777" w:rsidTr="003B066B">
        <w:trPr>
          <w:trHeight w:val="267"/>
        </w:trPr>
        <w:tc>
          <w:tcPr>
            <w:tcW w:w="2440" w:type="dxa"/>
          </w:tcPr>
          <w:p w14:paraId="25C44088"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Bola </w:t>
            </w:r>
            <w:proofErr w:type="spellStart"/>
            <w:r w:rsidRPr="00D10926">
              <w:rPr>
                <w:sz w:val="20"/>
                <w:szCs w:val="20"/>
              </w:rPr>
              <w:t>Sotubo</w:t>
            </w:r>
            <w:proofErr w:type="spellEnd"/>
          </w:p>
        </w:tc>
        <w:tc>
          <w:tcPr>
            <w:tcW w:w="6661" w:type="dxa"/>
          </w:tcPr>
          <w:p w14:paraId="74EC770C"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sidRPr="3C164792">
              <w:rPr>
                <w:sz w:val="20"/>
                <w:szCs w:val="20"/>
              </w:rPr>
              <w:t>ICB pharmacist</w:t>
            </w:r>
          </w:p>
        </w:tc>
      </w:tr>
      <w:tr w:rsidR="005B6CD5" w:rsidRPr="00D10926" w14:paraId="2891758A" w14:textId="77777777" w:rsidTr="003B066B">
        <w:trPr>
          <w:trHeight w:val="150"/>
        </w:trPr>
        <w:tc>
          <w:tcPr>
            <w:tcW w:w="2440" w:type="dxa"/>
          </w:tcPr>
          <w:p w14:paraId="4BD1E6A6"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Tracy Rogers</w:t>
            </w:r>
          </w:p>
        </w:tc>
        <w:tc>
          <w:tcPr>
            <w:tcW w:w="6661" w:type="dxa"/>
          </w:tcPr>
          <w:p w14:paraId="4E8A3EA1" w14:textId="77777777" w:rsidR="005B6CD5" w:rsidRPr="00ED07FC" w:rsidRDefault="005B6CD5" w:rsidP="004C5C3C">
            <w:pPr>
              <w:tabs>
                <w:tab w:val="left" w:pos="2320"/>
              </w:tabs>
              <w:overflowPunct w:val="0"/>
              <w:autoSpaceDE w:val="0"/>
              <w:autoSpaceDN w:val="0"/>
              <w:adjustRightInd w:val="0"/>
              <w:spacing w:before="60" w:after="60"/>
              <w:textAlignment w:val="baseline"/>
              <w:rPr>
                <w:sz w:val="20"/>
                <w:szCs w:val="20"/>
              </w:rPr>
            </w:pPr>
            <w:r>
              <w:rPr>
                <w:sz w:val="20"/>
                <w:szCs w:val="20"/>
              </w:rPr>
              <w:t>D</w:t>
            </w:r>
            <w:r w:rsidRPr="00D10926">
              <w:rPr>
                <w:sz w:val="20"/>
                <w:szCs w:val="20"/>
              </w:rPr>
              <w:t>irector</w:t>
            </w:r>
            <w:r>
              <w:rPr>
                <w:sz w:val="20"/>
                <w:szCs w:val="20"/>
              </w:rPr>
              <w:t xml:space="preserve">, Medicines Use and Safety, </w:t>
            </w:r>
            <w:r w:rsidRPr="00D10926">
              <w:rPr>
                <w:sz w:val="20"/>
                <w:szCs w:val="20"/>
              </w:rPr>
              <w:t xml:space="preserve">Specialist Pharmacy Service </w:t>
            </w:r>
          </w:p>
        </w:tc>
      </w:tr>
      <w:tr w:rsidR="005B6CD5" w:rsidRPr="00D10926" w14:paraId="2795401F" w14:textId="77777777" w:rsidTr="003B066B">
        <w:trPr>
          <w:trHeight w:val="150"/>
        </w:trPr>
        <w:tc>
          <w:tcPr>
            <w:tcW w:w="2440" w:type="dxa"/>
          </w:tcPr>
          <w:p w14:paraId="6F56FACF"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 xml:space="preserve">Sandra Wolper </w:t>
            </w:r>
          </w:p>
        </w:tc>
        <w:tc>
          <w:tcPr>
            <w:tcW w:w="6661" w:type="dxa"/>
          </w:tcPr>
          <w:p w14:paraId="76E0C292" w14:textId="77777777" w:rsidR="005B6CD5" w:rsidRPr="00D10926" w:rsidRDefault="005B6CD5" w:rsidP="004C5C3C">
            <w:pPr>
              <w:tabs>
                <w:tab w:val="left" w:pos="2320"/>
              </w:tabs>
              <w:overflowPunct w:val="0"/>
              <w:autoSpaceDE w:val="0"/>
              <w:autoSpaceDN w:val="0"/>
              <w:adjustRightInd w:val="0"/>
              <w:spacing w:before="60" w:after="60"/>
              <w:textAlignment w:val="baseline"/>
              <w:rPr>
                <w:sz w:val="20"/>
                <w:szCs w:val="20"/>
              </w:rPr>
            </w:pPr>
            <w:r w:rsidRPr="00D10926">
              <w:rPr>
                <w:sz w:val="20"/>
                <w:szCs w:val="20"/>
              </w:rPr>
              <w:t>Associate Director Specialist Pharmacy Service</w:t>
            </w:r>
          </w:p>
        </w:tc>
      </w:tr>
      <w:tr w:rsidR="005B6CD5" w:rsidRPr="00D10926" w14:paraId="2BD7744D" w14:textId="77777777" w:rsidTr="003B066B">
        <w:trPr>
          <w:trHeight w:val="150"/>
        </w:trPr>
        <w:tc>
          <w:tcPr>
            <w:tcW w:w="2440" w:type="dxa"/>
          </w:tcPr>
          <w:p w14:paraId="23C99A17" w14:textId="77777777" w:rsidR="005B6CD5" w:rsidRPr="00D10926" w:rsidRDefault="005B6CD5" w:rsidP="004C5C3C">
            <w:pPr>
              <w:overflowPunct w:val="0"/>
              <w:autoSpaceDE w:val="0"/>
              <w:autoSpaceDN w:val="0"/>
              <w:adjustRightInd w:val="0"/>
              <w:spacing w:before="60" w:after="60"/>
              <w:textAlignment w:val="baseline"/>
              <w:rPr>
                <w:sz w:val="20"/>
                <w:szCs w:val="20"/>
              </w:rPr>
            </w:pPr>
            <w:r w:rsidRPr="00D10926">
              <w:rPr>
                <w:sz w:val="20"/>
                <w:szCs w:val="20"/>
              </w:rPr>
              <w:t xml:space="preserve">Jo Jenkins </w:t>
            </w:r>
          </w:p>
        </w:tc>
        <w:tc>
          <w:tcPr>
            <w:tcW w:w="6661" w:type="dxa"/>
          </w:tcPr>
          <w:p w14:paraId="08291A02" w14:textId="77777777" w:rsidR="005B6CD5" w:rsidRPr="00D10926" w:rsidRDefault="005B6CD5" w:rsidP="004C5C3C">
            <w:pPr>
              <w:tabs>
                <w:tab w:val="left" w:pos="2320"/>
              </w:tabs>
              <w:overflowPunct w:val="0"/>
              <w:autoSpaceDE w:val="0"/>
              <w:autoSpaceDN w:val="0"/>
              <w:adjustRightInd w:val="0"/>
              <w:spacing w:before="60" w:after="60"/>
              <w:textAlignment w:val="baseline"/>
              <w:rPr>
                <w:sz w:val="20"/>
                <w:szCs w:val="20"/>
              </w:rPr>
            </w:pPr>
            <w:r>
              <w:rPr>
                <w:sz w:val="20"/>
                <w:szCs w:val="20"/>
              </w:rPr>
              <w:t xml:space="preserve">Lead </w:t>
            </w:r>
            <w:r w:rsidRPr="00D10926">
              <w:rPr>
                <w:sz w:val="20"/>
                <w:szCs w:val="20"/>
              </w:rPr>
              <w:t xml:space="preserve">Pharmacist PGDs </w:t>
            </w:r>
            <w:r>
              <w:rPr>
                <w:sz w:val="20"/>
                <w:szCs w:val="20"/>
              </w:rPr>
              <w:t xml:space="preserve">and Medicine Mechanisms </w:t>
            </w:r>
            <w:r w:rsidRPr="00D10926">
              <w:rPr>
                <w:sz w:val="20"/>
                <w:szCs w:val="20"/>
              </w:rPr>
              <w:t>Specialist Pharmacy Service</w:t>
            </w:r>
          </w:p>
        </w:tc>
      </w:tr>
      <w:tr w:rsidR="005B6CD5" w:rsidRPr="00612C41" w14:paraId="6FCFDC4A" w14:textId="77777777" w:rsidTr="003B066B">
        <w:trPr>
          <w:trHeight w:val="150"/>
        </w:trPr>
        <w:tc>
          <w:tcPr>
            <w:tcW w:w="2440" w:type="dxa"/>
          </w:tcPr>
          <w:p w14:paraId="039582F2" w14:textId="77777777" w:rsidR="005B6CD5" w:rsidRPr="00612C41" w:rsidRDefault="005B6CD5" w:rsidP="004C5C3C">
            <w:pPr>
              <w:overflowPunct w:val="0"/>
              <w:autoSpaceDE w:val="0"/>
              <w:autoSpaceDN w:val="0"/>
              <w:adjustRightInd w:val="0"/>
              <w:spacing w:before="60" w:after="60"/>
              <w:textAlignment w:val="baseline"/>
              <w:rPr>
                <w:sz w:val="20"/>
                <w:szCs w:val="20"/>
              </w:rPr>
            </w:pPr>
            <w:r w:rsidRPr="00612C41">
              <w:rPr>
                <w:sz w:val="20"/>
                <w:szCs w:val="20"/>
              </w:rPr>
              <w:lastRenderedPageBreak/>
              <w:t>Rosie Furner (Working Group Co-ordinator)</w:t>
            </w:r>
          </w:p>
        </w:tc>
        <w:tc>
          <w:tcPr>
            <w:tcW w:w="6661" w:type="dxa"/>
          </w:tcPr>
          <w:p w14:paraId="19CD30A5" w14:textId="77777777" w:rsidR="005B6CD5" w:rsidRPr="00612C41" w:rsidRDefault="005B6CD5" w:rsidP="004C5C3C">
            <w:pPr>
              <w:tabs>
                <w:tab w:val="left" w:pos="2320"/>
              </w:tabs>
              <w:overflowPunct w:val="0"/>
              <w:autoSpaceDE w:val="0"/>
              <w:autoSpaceDN w:val="0"/>
              <w:adjustRightInd w:val="0"/>
              <w:spacing w:before="60" w:after="60"/>
              <w:textAlignment w:val="baseline"/>
              <w:rPr>
                <w:sz w:val="20"/>
                <w:szCs w:val="20"/>
              </w:rPr>
            </w:pPr>
            <w:r w:rsidRPr="00612C41">
              <w:rPr>
                <w:sz w:val="20"/>
                <w:szCs w:val="20"/>
              </w:rPr>
              <w:t>Specialist Pharmacist PGDs and Medicine Mechanisms Specialist Pharmacy Service</w:t>
            </w:r>
          </w:p>
        </w:tc>
      </w:tr>
    </w:tbl>
    <w:p w14:paraId="3EE3ED21" w14:textId="77777777" w:rsidR="000907BD" w:rsidRDefault="000907BD" w:rsidP="00085A64"/>
    <w:p w14:paraId="031997DA" w14:textId="77777777" w:rsidR="00EC08DE" w:rsidRDefault="00EC08DE" w:rsidP="00EC08DE">
      <w:pPr>
        <w:jc w:val="both"/>
        <w:rPr>
          <w:rFonts w:cs="Arial"/>
          <w:b/>
        </w:rPr>
      </w:pPr>
    </w:p>
    <w:p w14:paraId="33FFF1D5" w14:textId="77777777" w:rsidR="00EC08DE" w:rsidRDefault="00EC08DE" w:rsidP="00EC08DE">
      <w:pPr>
        <w:jc w:val="both"/>
        <w:rPr>
          <w:rFonts w:cs="Arial"/>
          <w:b/>
        </w:rPr>
      </w:pPr>
    </w:p>
    <w:p w14:paraId="03CC9876" w14:textId="77777777" w:rsidR="004B541D" w:rsidRDefault="004B541D" w:rsidP="00EC08DE">
      <w:pPr>
        <w:jc w:val="both"/>
        <w:rPr>
          <w:rFonts w:cs="Arial"/>
          <w:b/>
        </w:rPr>
      </w:pPr>
    </w:p>
    <w:p w14:paraId="76F71030" w14:textId="77777777" w:rsidR="007A037C" w:rsidRDefault="007A037C" w:rsidP="00EC08DE">
      <w:pPr>
        <w:jc w:val="both"/>
        <w:rPr>
          <w:rFonts w:cs="Arial"/>
          <w:b/>
        </w:rPr>
      </w:pPr>
    </w:p>
    <w:p w14:paraId="2C4E07C7" w14:textId="77777777" w:rsidR="007A037C" w:rsidRDefault="007A037C" w:rsidP="00EC08DE">
      <w:pPr>
        <w:jc w:val="both"/>
        <w:rPr>
          <w:rFonts w:cs="Arial"/>
          <w:b/>
        </w:rPr>
      </w:pPr>
    </w:p>
    <w:p w14:paraId="69138CDB" w14:textId="77777777" w:rsidR="007A037C" w:rsidRDefault="007A037C" w:rsidP="00EC08DE">
      <w:pPr>
        <w:jc w:val="both"/>
        <w:rPr>
          <w:rFonts w:cs="Arial"/>
          <w:b/>
        </w:rPr>
      </w:pPr>
    </w:p>
    <w:p w14:paraId="253760D0" w14:textId="77777777" w:rsidR="007A037C" w:rsidRDefault="007A037C" w:rsidP="00EC08DE">
      <w:pPr>
        <w:jc w:val="both"/>
        <w:rPr>
          <w:rFonts w:cs="Arial"/>
          <w:b/>
        </w:rPr>
      </w:pPr>
    </w:p>
    <w:p w14:paraId="3CA8784C" w14:textId="77777777" w:rsidR="007A037C" w:rsidRDefault="007A037C" w:rsidP="00EC08DE">
      <w:pPr>
        <w:jc w:val="both"/>
        <w:rPr>
          <w:rFonts w:cs="Arial"/>
          <w:b/>
        </w:rPr>
      </w:pPr>
    </w:p>
    <w:p w14:paraId="15AD24E2" w14:textId="77777777" w:rsidR="007A037C" w:rsidRDefault="007A037C" w:rsidP="00EC08DE">
      <w:pPr>
        <w:jc w:val="both"/>
        <w:rPr>
          <w:rFonts w:cs="Arial"/>
          <w:b/>
        </w:rPr>
      </w:pPr>
    </w:p>
    <w:p w14:paraId="19526DDB" w14:textId="77777777" w:rsidR="007A037C" w:rsidRDefault="007A037C" w:rsidP="00EC08DE">
      <w:pPr>
        <w:jc w:val="both"/>
        <w:rPr>
          <w:rFonts w:cs="Arial"/>
          <w:b/>
        </w:rPr>
      </w:pPr>
    </w:p>
    <w:p w14:paraId="4A9A5B8C" w14:textId="77777777" w:rsidR="007A037C" w:rsidRDefault="007A037C" w:rsidP="00EC08DE">
      <w:pPr>
        <w:jc w:val="both"/>
        <w:rPr>
          <w:rFonts w:cs="Arial"/>
          <w:b/>
        </w:rPr>
      </w:pPr>
    </w:p>
    <w:p w14:paraId="681F2926" w14:textId="77777777" w:rsidR="007A037C" w:rsidRDefault="007A037C" w:rsidP="00EC08DE">
      <w:pPr>
        <w:jc w:val="both"/>
        <w:rPr>
          <w:rFonts w:cs="Arial"/>
          <w:b/>
        </w:rPr>
      </w:pPr>
    </w:p>
    <w:p w14:paraId="0B2BF103" w14:textId="77777777" w:rsidR="007A037C" w:rsidRDefault="007A037C" w:rsidP="00EC08DE">
      <w:pPr>
        <w:jc w:val="both"/>
        <w:rPr>
          <w:rFonts w:cs="Arial"/>
          <w:b/>
        </w:rPr>
      </w:pPr>
    </w:p>
    <w:p w14:paraId="69030773" w14:textId="77777777" w:rsidR="007A037C" w:rsidRDefault="007A037C" w:rsidP="00EC08DE">
      <w:pPr>
        <w:jc w:val="both"/>
        <w:rPr>
          <w:rFonts w:cs="Arial"/>
          <w:b/>
        </w:rPr>
      </w:pPr>
    </w:p>
    <w:p w14:paraId="5556D816" w14:textId="77777777" w:rsidR="007A037C" w:rsidRDefault="007A037C" w:rsidP="00EC08DE">
      <w:pPr>
        <w:jc w:val="both"/>
        <w:rPr>
          <w:rFonts w:cs="Arial"/>
          <w:b/>
        </w:rPr>
      </w:pPr>
    </w:p>
    <w:p w14:paraId="1D43B9A3" w14:textId="77777777" w:rsidR="007A037C" w:rsidRDefault="007A037C" w:rsidP="00EC08DE">
      <w:pPr>
        <w:jc w:val="both"/>
        <w:rPr>
          <w:rFonts w:cs="Arial"/>
          <w:b/>
        </w:rPr>
      </w:pPr>
    </w:p>
    <w:p w14:paraId="7F0D8BF7" w14:textId="77777777" w:rsidR="007A037C" w:rsidRDefault="007A037C" w:rsidP="00EC08DE">
      <w:pPr>
        <w:jc w:val="both"/>
        <w:rPr>
          <w:rFonts w:cs="Arial"/>
          <w:b/>
        </w:rPr>
      </w:pPr>
    </w:p>
    <w:p w14:paraId="5CCA36B2" w14:textId="77777777" w:rsidR="007A037C" w:rsidRDefault="007A037C" w:rsidP="00EC08DE">
      <w:pPr>
        <w:jc w:val="both"/>
        <w:rPr>
          <w:rFonts w:cs="Arial"/>
          <w:b/>
        </w:rPr>
      </w:pPr>
    </w:p>
    <w:p w14:paraId="66E43B24" w14:textId="77777777" w:rsidR="004B541D" w:rsidRDefault="004B541D" w:rsidP="00EC08DE">
      <w:pPr>
        <w:jc w:val="both"/>
        <w:rPr>
          <w:rFonts w:cs="Arial"/>
          <w:b/>
        </w:rPr>
      </w:pPr>
    </w:p>
    <w:p w14:paraId="6657DA49" w14:textId="5B0195FF" w:rsidR="00EC08DE" w:rsidRDefault="00EC08DE" w:rsidP="00EC08DE">
      <w:pPr>
        <w:jc w:val="both"/>
        <w:rPr>
          <w:rFonts w:cs="Arial"/>
          <w:b/>
        </w:rPr>
      </w:pPr>
      <w:r w:rsidRPr="0078141A">
        <w:rPr>
          <w:rFonts w:cs="Arial"/>
          <w:b/>
        </w:rPr>
        <w:lastRenderedPageBreak/>
        <w:t>ORGANISATIONAL AUTHORISATIONS</w:t>
      </w:r>
    </w:p>
    <w:p w14:paraId="7FE83C5A" w14:textId="77777777" w:rsidR="00EC08DE" w:rsidRDefault="00EC08DE" w:rsidP="00EC08DE">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7"/>
        <w:gridCol w:w="3036"/>
        <w:gridCol w:w="1418"/>
      </w:tblGrid>
      <w:tr w:rsidR="00EC08DE" w:rsidRPr="0078141A" w14:paraId="5F1A9F46" w14:textId="77777777" w:rsidTr="004C5C3C">
        <w:tc>
          <w:tcPr>
            <w:tcW w:w="2209" w:type="dxa"/>
            <w:tcBorders>
              <w:top w:val="single" w:sz="4" w:space="0" w:color="auto"/>
              <w:left w:val="single" w:sz="4" w:space="0" w:color="auto"/>
              <w:bottom w:val="single" w:sz="4" w:space="0" w:color="auto"/>
              <w:right w:val="single" w:sz="4" w:space="0" w:color="auto"/>
            </w:tcBorders>
            <w:shd w:val="clear" w:color="auto" w:fill="D9D9D9"/>
          </w:tcPr>
          <w:p w14:paraId="53B1A1AF" w14:textId="77777777" w:rsidR="00EC08DE" w:rsidRPr="0078141A" w:rsidRDefault="00EC08DE" w:rsidP="004C5C3C">
            <w:pPr>
              <w:keepNext/>
              <w:spacing w:after="60"/>
              <w:rPr>
                <w:b/>
              </w:rPr>
            </w:pPr>
            <w:r w:rsidRPr="0078141A">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cPr>
          <w:p w14:paraId="60948B17" w14:textId="77777777" w:rsidR="00EC08DE" w:rsidRPr="0078141A" w:rsidRDefault="00EC08DE" w:rsidP="004C5C3C">
            <w:pPr>
              <w:keepNext/>
              <w:spacing w:after="60"/>
              <w:rPr>
                <w:b/>
              </w:rPr>
            </w:pPr>
            <w:r w:rsidRPr="0078141A">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3DA8ED5D" w14:textId="77777777" w:rsidR="00EC08DE" w:rsidRPr="0078141A" w:rsidRDefault="00EC08DE" w:rsidP="004C5C3C">
            <w:pPr>
              <w:keepNext/>
              <w:spacing w:after="60"/>
              <w:rPr>
                <w:b/>
              </w:rPr>
            </w:pPr>
            <w:r w:rsidRPr="0078141A">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cPr>
          <w:p w14:paraId="14A6D3DE" w14:textId="77777777" w:rsidR="00EC08DE" w:rsidRPr="0078141A" w:rsidRDefault="00EC08DE" w:rsidP="004C5C3C">
            <w:pPr>
              <w:keepNext/>
              <w:spacing w:after="60"/>
              <w:rPr>
                <w:b/>
              </w:rPr>
            </w:pPr>
            <w:r w:rsidRPr="0078141A">
              <w:rPr>
                <w:b/>
              </w:rPr>
              <w:t>Date</w:t>
            </w:r>
          </w:p>
        </w:tc>
      </w:tr>
      <w:tr w:rsidR="00EC08DE" w:rsidRPr="0078141A" w14:paraId="388012AE" w14:textId="77777777" w:rsidTr="004C5C3C">
        <w:tc>
          <w:tcPr>
            <w:tcW w:w="2209" w:type="dxa"/>
            <w:tcBorders>
              <w:top w:val="single" w:sz="4" w:space="0" w:color="auto"/>
              <w:left w:val="single" w:sz="4" w:space="0" w:color="auto"/>
              <w:bottom w:val="single" w:sz="4" w:space="0" w:color="auto"/>
              <w:right w:val="single" w:sz="4" w:space="0" w:color="auto"/>
            </w:tcBorders>
          </w:tcPr>
          <w:p w14:paraId="1B5D200A" w14:textId="77777777" w:rsidR="00EC08DE" w:rsidRDefault="00EC08DE" w:rsidP="004C5C3C">
            <w:pPr>
              <w:keepNext/>
              <w:spacing w:after="60"/>
              <w:rPr>
                <w:b/>
              </w:rPr>
            </w:pPr>
            <w:r w:rsidRPr="000A083B">
              <w:rPr>
                <w:b/>
              </w:rPr>
              <w:t xml:space="preserve">Senior doctor </w:t>
            </w:r>
          </w:p>
          <w:p w14:paraId="5EA2F0C7" w14:textId="08F5DF13" w:rsidR="00EC08DE" w:rsidRPr="000A083B" w:rsidRDefault="00760F7F" w:rsidP="004C5C3C">
            <w:pPr>
              <w:keepNext/>
              <w:spacing w:after="60"/>
              <w:rPr>
                <w:b/>
              </w:rPr>
            </w:pPr>
            <w:r>
              <w:rPr>
                <w:b/>
              </w:rPr>
              <w:t>Claire Fuller</w:t>
            </w:r>
          </w:p>
        </w:tc>
        <w:tc>
          <w:tcPr>
            <w:tcW w:w="2217" w:type="dxa"/>
            <w:tcBorders>
              <w:top w:val="single" w:sz="4" w:space="0" w:color="auto"/>
              <w:left w:val="single" w:sz="4" w:space="0" w:color="auto"/>
              <w:bottom w:val="single" w:sz="4" w:space="0" w:color="auto"/>
              <w:right w:val="single" w:sz="4" w:space="0" w:color="auto"/>
            </w:tcBorders>
          </w:tcPr>
          <w:p w14:paraId="2BFBF7A2" w14:textId="77777777" w:rsidR="00EC08DE" w:rsidRPr="000A083B" w:rsidRDefault="00EC08DE" w:rsidP="004C5C3C">
            <w:pPr>
              <w:keepNext/>
              <w:spacing w:after="60"/>
            </w:pPr>
            <w:r w:rsidRPr="000A083B">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7C57C68F" w14:textId="4C8B6DCC" w:rsidR="00EC08DE" w:rsidRPr="0078141A" w:rsidRDefault="00935806" w:rsidP="004C5C3C">
            <w:pPr>
              <w:keepNext/>
              <w:spacing w:after="60"/>
            </w:pPr>
            <w:r>
              <w:rPr>
                <w:rFonts w:cs="Arial"/>
                <w:noProof/>
                <w:lang w:eastAsia="en-GB"/>
              </w:rPr>
              <w:drawing>
                <wp:inline distT="0" distB="0" distL="0" distR="0" wp14:anchorId="1C001715" wp14:editId="4A8250A7">
                  <wp:extent cx="1784350" cy="48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4E694B71" w14:textId="044127B1" w:rsidR="00EC08DE" w:rsidRPr="0078141A" w:rsidRDefault="004B541D" w:rsidP="004C5C3C">
            <w:pPr>
              <w:keepNext/>
              <w:spacing w:after="60"/>
            </w:pPr>
            <w:r>
              <w:t>20/06/2025</w:t>
            </w:r>
          </w:p>
        </w:tc>
      </w:tr>
      <w:tr w:rsidR="00EC08DE" w:rsidRPr="0078141A" w14:paraId="3BDD3AC2" w14:textId="77777777" w:rsidTr="004C5C3C">
        <w:tc>
          <w:tcPr>
            <w:tcW w:w="2209" w:type="dxa"/>
            <w:tcBorders>
              <w:top w:val="single" w:sz="4" w:space="0" w:color="auto"/>
              <w:left w:val="single" w:sz="4" w:space="0" w:color="auto"/>
              <w:bottom w:val="single" w:sz="4" w:space="0" w:color="auto"/>
              <w:right w:val="single" w:sz="4" w:space="0" w:color="auto"/>
            </w:tcBorders>
          </w:tcPr>
          <w:p w14:paraId="245974E1" w14:textId="77777777" w:rsidR="00EC08DE" w:rsidRPr="004C6242" w:rsidRDefault="00EC08DE" w:rsidP="004C5C3C">
            <w:pPr>
              <w:keepNext/>
              <w:spacing w:after="60"/>
              <w:rPr>
                <w:b/>
              </w:rPr>
            </w:pPr>
            <w:r w:rsidRPr="004C6242">
              <w:rPr>
                <w:b/>
              </w:rPr>
              <w:t>Senior pharmacist</w:t>
            </w:r>
          </w:p>
          <w:p w14:paraId="16E5A326" w14:textId="77777777" w:rsidR="00EC08DE" w:rsidRPr="004C6242" w:rsidRDefault="00EC08DE" w:rsidP="004C5C3C">
            <w:pPr>
              <w:keepNext/>
              <w:spacing w:after="60"/>
              <w:rPr>
                <w:b/>
              </w:rPr>
            </w:pPr>
            <w:r w:rsidRPr="004C6242">
              <w:rPr>
                <w:b/>
              </w:rPr>
              <w:t>David Webb</w:t>
            </w:r>
          </w:p>
        </w:tc>
        <w:tc>
          <w:tcPr>
            <w:tcW w:w="2217" w:type="dxa"/>
            <w:tcBorders>
              <w:top w:val="single" w:sz="4" w:space="0" w:color="auto"/>
              <w:left w:val="single" w:sz="4" w:space="0" w:color="auto"/>
              <w:bottom w:val="single" w:sz="4" w:space="0" w:color="auto"/>
              <w:right w:val="single" w:sz="4" w:space="0" w:color="auto"/>
            </w:tcBorders>
          </w:tcPr>
          <w:p w14:paraId="02B0A041" w14:textId="77777777" w:rsidR="00EC08DE" w:rsidRPr="004C6242" w:rsidRDefault="00EC08DE" w:rsidP="004C5C3C">
            <w:pPr>
              <w:keepNext/>
              <w:spacing w:after="60"/>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4D00A0F9" w14:textId="77777777" w:rsidR="00EC08DE" w:rsidRPr="0078141A" w:rsidRDefault="00EC08DE" w:rsidP="004C5C3C">
            <w:pPr>
              <w:keepNext/>
              <w:spacing w:after="60"/>
            </w:pPr>
            <w:r w:rsidRPr="00052F1B">
              <w:rPr>
                <w:rFonts w:eastAsia="Calibri"/>
                <w:noProof/>
                <w:color w:val="231F20"/>
              </w:rPr>
              <w:drawing>
                <wp:inline distT="0" distB="0" distL="0" distR="0" wp14:anchorId="16539DE4" wp14:editId="20DCE821">
                  <wp:extent cx="1152525" cy="92392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2C2C559D" w14:textId="65CFFA39" w:rsidR="00EC08DE" w:rsidRPr="0078141A" w:rsidRDefault="004B541D" w:rsidP="004C5C3C">
            <w:pPr>
              <w:keepNext/>
              <w:spacing w:after="60"/>
            </w:pPr>
            <w:r>
              <w:t>20/06/2025</w:t>
            </w:r>
          </w:p>
        </w:tc>
      </w:tr>
      <w:tr w:rsidR="00EC08DE" w:rsidRPr="0078141A" w14:paraId="56A12872" w14:textId="77777777" w:rsidTr="004C5C3C">
        <w:tc>
          <w:tcPr>
            <w:tcW w:w="2209" w:type="dxa"/>
            <w:tcBorders>
              <w:top w:val="single" w:sz="4" w:space="0" w:color="auto"/>
              <w:left w:val="single" w:sz="4" w:space="0" w:color="auto"/>
              <w:bottom w:val="single" w:sz="4" w:space="0" w:color="auto"/>
              <w:right w:val="single" w:sz="4" w:space="0" w:color="auto"/>
            </w:tcBorders>
          </w:tcPr>
          <w:p w14:paraId="3123EC56" w14:textId="77777777" w:rsidR="00EC08DE" w:rsidRPr="004C6242" w:rsidRDefault="00EC08DE" w:rsidP="004C5C3C">
            <w:pPr>
              <w:keepNext/>
              <w:spacing w:after="60"/>
              <w:rPr>
                <w:rFonts w:cs="Arial"/>
                <w:b/>
              </w:rPr>
            </w:pPr>
            <w:r w:rsidRPr="004C6242">
              <w:rPr>
                <w:rFonts w:cs="Arial"/>
                <w:b/>
              </w:rPr>
              <w:t xml:space="preserve">Person signing on behalf of </w:t>
            </w:r>
            <w:hyperlink r:id="rId17" w:anchor="authorising-body" w:history="1">
              <w:r w:rsidRPr="004C6242">
                <w:rPr>
                  <w:rStyle w:val="Hyperlink"/>
                  <w:rFonts w:cs="Arial"/>
                </w:rPr>
                <w:t>authorising body</w:t>
              </w:r>
            </w:hyperlink>
            <w:r w:rsidRPr="004C6242">
              <w:rPr>
                <w:rFonts w:cs="Arial"/>
                <w:b/>
              </w:rPr>
              <w:t xml:space="preserve"> </w:t>
            </w:r>
          </w:p>
          <w:p w14:paraId="4A2E5A23" w14:textId="77777777" w:rsidR="00EC08DE" w:rsidRPr="004C6242" w:rsidRDefault="00EC08DE" w:rsidP="004C5C3C">
            <w:pPr>
              <w:keepNext/>
              <w:spacing w:after="60"/>
              <w:rPr>
                <w:rFonts w:cs="Arial"/>
                <w:b/>
              </w:rPr>
            </w:pPr>
            <w:r w:rsidRPr="004C6242">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6F44C1B6" w14:textId="77777777" w:rsidR="00EC08DE" w:rsidRPr="004C6242" w:rsidRDefault="00EC08DE" w:rsidP="004C5C3C">
            <w:pPr>
              <w:spacing w:before="60" w:after="60"/>
              <w:rPr>
                <w:sz w:val="20"/>
                <w:szCs w:val="20"/>
              </w:rPr>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3BC84A85" w14:textId="77777777" w:rsidR="00EC08DE" w:rsidRPr="0078141A" w:rsidRDefault="00EC08DE" w:rsidP="004C5C3C">
            <w:pPr>
              <w:keepNext/>
              <w:spacing w:after="60"/>
            </w:pPr>
            <w:r>
              <w:rPr>
                <w:noProof/>
              </w:rPr>
              <w:drawing>
                <wp:inline distT="0" distB="0" distL="0" distR="0" wp14:anchorId="55C20B96" wp14:editId="217AD3EC">
                  <wp:extent cx="1152525" cy="926465"/>
                  <wp:effectExtent l="0" t="0" r="9525" b="6985"/>
                  <wp:docPr id="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0DDF9D45" w14:textId="2BF3AA55" w:rsidR="00EC08DE" w:rsidRPr="0078141A" w:rsidRDefault="004B541D" w:rsidP="004C5C3C">
            <w:pPr>
              <w:keepNext/>
              <w:spacing w:after="60"/>
            </w:pPr>
            <w:r>
              <w:t>20/06/2025</w:t>
            </w:r>
          </w:p>
        </w:tc>
      </w:tr>
    </w:tbl>
    <w:p w14:paraId="43B8739D" w14:textId="77777777" w:rsidR="00B10AEE" w:rsidRDefault="00B10AEE" w:rsidP="00085A64"/>
    <w:p w14:paraId="0999DD21" w14:textId="0A0677B5" w:rsidR="00B42FAF" w:rsidRDefault="003D0917">
      <w:pPr>
        <w:spacing w:after="0" w:line="240" w:lineRule="auto"/>
        <w:textboxTightWrap w:val="none"/>
      </w:pPr>
      <w:r w:rsidRPr="00DC6AD6">
        <w:rPr>
          <w:highlight w:val="yellow"/>
        </w:rPr>
        <w:t>PGDs do not remove inherent professional obligations or accountability. It is the responsibility of each p</w:t>
      </w:r>
      <w:r>
        <w:rPr>
          <w:highlight w:val="yellow"/>
        </w:rPr>
        <w:t>harmacist or pharmacy technician</w:t>
      </w:r>
      <w:r w:rsidRPr="00DC6AD6">
        <w:rPr>
          <w:highlight w:val="yellow"/>
        </w:rPr>
        <w:t xml:space="preserve"> to practice only within the bounds of their own competence and in accordance with their own Code of Professional Conduct. Individual p</w:t>
      </w:r>
      <w:r>
        <w:rPr>
          <w:highlight w:val="yellow"/>
        </w:rPr>
        <w:t>harmacists or pharmacy technicians</w:t>
      </w:r>
      <w:r w:rsidRPr="00DC6AD6">
        <w:rPr>
          <w:highlight w:val="yellow"/>
        </w:rPr>
        <w:t xml:space="preserve"> must declare that they have read and understood the Patient Group Direction and agree to supply medication(s) listed only in accordance with the PGD.</w:t>
      </w:r>
      <w:r w:rsidR="00B42FAF">
        <w:br w:type="page"/>
      </w:r>
    </w:p>
    <w:p w14:paraId="58BA681B" w14:textId="5990083F" w:rsidR="00480E21" w:rsidRDefault="001D21C1" w:rsidP="00480E21">
      <w:pPr>
        <w:pStyle w:val="h2numbered"/>
      </w:pPr>
      <w:r w:rsidRPr="00D10926">
        <w:rPr>
          <w:rFonts w:ascii="Arial" w:hAnsi="Arial"/>
        </w:rPr>
        <w:lastRenderedPageBreak/>
        <w:t>Characteristics of staff</w:t>
      </w:r>
      <w: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4A635B" w:rsidRPr="00D10926" w14:paraId="00C8B0AA" w14:textId="77777777" w:rsidTr="004A635B">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580528C4" w14:textId="77777777" w:rsidR="004A635B" w:rsidRPr="00D10926" w:rsidRDefault="004A635B" w:rsidP="004C5C3C">
            <w:pPr>
              <w:keepNext/>
              <w:spacing w:before="60" w:after="60"/>
              <w:ind w:left="31"/>
              <w:rPr>
                <w:b/>
              </w:rPr>
            </w:pPr>
            <w:r w:rsidRPr="00D10926">
              <w:rPr>
                <w:b/>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tcPr>
          <w:p w14:paraId="58F9C35D" w14:textId="77777777" w:rsidR="004A635B" w:rsidRPr="00C62778" w:rsidRDefault="004A635B" w:rsidP="004C5C3C">
            <w:pPr>
              <w:pStyle w:val="Default"/>
              <w:rPr>
                <w:rFonts w:ascii="Arial" w:eastAsia="Arial" w:hAnsi="Arial" w:cs="Arial"/>
              </w:rPr>
            </w:pPr>
            <w:r w:rsidRPr="00C62778">
              <w:rPr>
                <w:rFonts w:ascii="Arial" w:eastAsia="Arial" w:hAnsi="Arial" w:cs="Arial"/>
              </w:rPr>
              <w:t xml:space="preserve">GPhC registered pharmacist or </w:t>
            </w:r>
            <w:r w:rsidRPr="00C62778">
              <w:rPr>
                <w:rFonts w:ascii="Arial" w:eastAsia="Arial" w:hAnsi="Arial" w:cs="Arial"/>
                <w:highlight w:val="yellow"/>
              </w:rPr>
              <w:t>pharmacy technician</w:t>
            </w:r>
            <w:r w:rsidRPr="00C62778">
              <w:rPr>
                <w:rFonts w:ascii="Arial" w:eastAsia="Arial" w:hAnsi="Arial" w:cs="Arial"/>
              </w:rPr>
              <w:t xml:space="preserve"> able to practise under Patient Group Directions (PGDs).</w:t>
            </w:r>
          </w:p>
        </w:tc>
      </w:tr>
      <w:tr w:rsidR="004A635B" w:rsidRPr="00D10926" w14:paraId="3ADF22FC" w14:textId="77777777" w:rsidTr="004A635B">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2E2E101F" w14:textId="77777777" w:rsidR="004A635B" w:rsidRPr="00D10926" w:rsidRDefault="004A635B" w:rsidP="004C5C3C">
            <w:pPr>
              <w:keepNext/>
              <w:spacing w:before="60" w:after="60"/>
              <w:rPr>
                <w:b/>
              </w:rPr>
            </w:pPr>
            <w:r w:rsidRPr="00D10926">
              <w:rPr>
                <w:b/>
              </w:rPr>
              <w:t>Initial training</w:t>
            </w:r>
          </w:p>
        </w:tc>
        <w:tc>
          <w:tcPr>
            <w:tcW w:w="6241" w:type="dxa"/>
            <w:tcBorders>
              <w:top w:val="single" w:sz="4" w:space="0" w:color="auto"/>
              <w:left w:val="single" w:sz="4" w:space="0" w:color="auto"/>
              <w:bottom w:val="single" w:sz="4" w:space="0" w:color="auto"/>
              <w:right w:val="single" w:sz="4" w:space="0" w:color="auto"/>
            </w:tcBorders>
          </w:tcPr>
          <w:p w14:paraId="382D4F1A" w14:textId="77777777" w:rsidR="004A635B" w:rsidRPr="00C62778" w:rsidRDefault="004A635B" w:rsidP="004C5C3C">
            <w:pPr>
              <w:pStyle w:val="Default"/>
              <w:rPr>
                <w:rFonts w:ascii="Arial" w:hAnsi="Arial" w:cs="Arial"/>
              </w:rPr>
            </w:pPr>
            <w:r w:rsidRPr="00C62778">
              <w:rPr>
                <w:rFonts w:ascii="Arial" w:hAnsi="Arial" w:cs="Arial"/>
              </w:rPr>
              <w:t xml:space="preserve">The pharmacist or </w:t>
            </w:r>
            <w:r w:rsidRPr="00C62778">
              <w:rPr>
                <w:rFonts w:ascii="Arial" w:hAnsi="Arial" w:cs="Arial"/>
                <w:highlight w:val="yellow"/>
              </w:rPr>
              <w:t>pharmacy technician</w:t>
            </w:r>
            <w:r w:rsidRPr="00C62778">
              <w:rPr>
                <w:rFonts w:ascii="Arial" w:hAnsi="Arial" w:cs="Arial"/>
              </w:rPr>
              <w:t xml:space="preserve"> authorised to operate under this PGD must have undertaken appropriate education and training and be competent to undertake clinical assessment of </w:t>
            </w:r>
            <w:r>
              <w:rPr>
                <w:rFonts w:ascii="Arial" w:hAnsi="Arial" w:cs="Arial"/>
              </w:rPr>
              <w:t>individuals</w:t>
            </w:r>
            <w:r w:rsidRPr="00C62778">
              <w:rPr>
                <w:rFonts w:ascii="Arial" w:hAnsi="Arial" w:cs="Arial"/>
              </w:rPr>
              <w:t xml:space="preserve"> ensuring safe provision of the medicines listed in accordance with the specification. </w:t>
            </w:r>
          </w:p>
          <w:p w14:paraId="3D40759E" w14:textId="77777777" w:rsidR="004A635B" w:rsidRPr="00C62778" w:rsidRDefault="004A635B" w:rsidP="004C5C3C">
            <w:pPr>
              <w:pStyle w:val="Default"/>
              <w:rPr>
                <w:rFonts w:ascii="Arial" w:hAnsi="Arial" w:cs="Arial"/>
              </w:rPr>
            </w:pPr>
          </w:p>
          <w:p w14:paraId="6CED1666" w14:textId="1284378B" w:rsidR="004A635B" w:rsidRPr="00C62778" w:rsidRDefault="004A635B" w:rsidP="004C5C3C">
            <w:pPr>
              <w:pStyle w:val="Default"/>
              <w:rPr>
                <w:rFonts w:ascii="Arial" w:hAnsi="Arial" w:cs="Arial"/>
              </w:rPr>
            </w:pPr>
            <w:r w:rsidRPr="00C62778">
              <w:rPr>
                <w:rFonts w:ascii="Arial" w:hAnsi="Arial" w:cs="Arial"/>
              </w:rPr>
              <w:t xml:space="preserve">To deliver this service, the pharmacist </w:t>
            </w:r>
            <w:r w:rsidRPr="00C62778">
              <w:rPr>
                <w:rFonts w:ascii="Arial" w:hAnsi="Arial" w:cs="Arial"/>
                <w:highlight w:val="yellow"/>
              </w:rPr>
              <w:t>or pharmacy technician</w:t>
            </w:r>
            <w:r w:rsidRPr="00C62778">
              <w:rPr>
                <w:rFonts w:ascii="Arial" w:hAnsi="Arial" w:cs="Arial"/>
              </w:rPr>
              <w:t xml:space="preserve"> should have evidence of competence in the clinical skills and knowledge covered in the CPPE and/or the NHS England e-learning for healthcare (</w:t>
            </w:r>
            <w:proofErr w:type="spellStart"/>
            <w:r w:rsidRPr="00C62778">
              <w:rPr>
                <w:rFonts w:ascii="Arial" w:hAnsi="Arial" w:cs="Arial"/>
              </w:rPr>
              <w:t>elfh</w:t>
            </w:r>
            <w:proofErr w:type="spellEnd"/>
            <w:r w:rsidRPr="00C62778">
              <w:rPr>
                <w:rFonts w:ascii="Arial" w:hAnsi="Arial" w:cs="Arial"/>
              </w:rPr>
              <w:t xml:space="preserve">) modules listed in section 5 of the </w:t>
            </w:r>
            <w:hyperlink r:id="rId19" w:history="1">
              <w:r w:rsidRPr="00510F5F">
                <w:rPr>
                  <w:rStyle w:val="Hyperlink"/>
                  <w:rFonts w:ascii="Arial" w:hAnsi="Arial" w:cs="Arial"/>
                  <w:b/>
                  <w:bCs/>
                  <w:color w:val="1E6DFF" w:themeColor="accent1" w:themeTint="99"/>
                </w:rPr>
                <w:t>NHS Pharmacy Contraception Service specification.</w:t>
              </w:r>
            </w:hyperlink>
            <w:r w:rsidRPr="00510F5F">
              <w:rPr>
                <w:rFonts w:ascii="Arial" w:hAnsi="Arial" w:cs="Arial"/>
                <w:color w:val="1E6DFF" w:themeColor="accent1" w:themeTint="99"/>
              </w:rPr>
              <w:t xml:space="preserve"> </w:t>
            </w:r>
          </w:p>
          <w:p w14:paraId="5E812563" w14:textId="77777777" w:rsidR="004A635B" w:rsidRPr="00C62778" w:rsidRDefault="004A635B" w:rsidP="004C5C3C">
            <w:pPr>
              <w:pStyle w:val="Default"/>
              <w:rPr>
                <w:rFonts w:ascii="Arial" w:hAnsi="Arial" w:cs="Arial"/>
              </w:rPr>
            </w:pPr>
          </w:p>
          <w:p w14:paraId="1B843B2E" w14:textId="77777777" w:rsidR="004A635B" w:rsidRPr="00C62778" w:rsidRDefault="004A635B" w:rsidP="004C5C3C">
            <w:pPr>
              <w:pStyle w:val="Default"/>
              <w:rPr>
                <w:rFonts w:ascii="Arial" w:hAnsi="Arial" w:cs="Arial"/>
              </w:rPr>
            </w:pPr>
            <w:r w:rsidRPr="00260C8A">
              <w:rPr>
                <w:rFonts w:ascii="Arial" w:hAnsi="Arial" w:cs="Arial"/>
                <w:color w:val="auto"/>
                <w:highlight w:val="yellow"/>
              </w:rPr>
              <w:t>The pharmacist or pharmacy technician has completed training and is up to date with service requirements for safeguarding children and vulnerable adults.</w:t>
            </w:r>
            <w:r w:rsidRPr="00260C8A">
              <w:rPr>
                <w:rFonts w:ascii="Arial" w:hAnsi="Arial" w:cs="Arial"/>
                <w:i/>
                <w:iCs/>
                <w:color w:val="auto"/>
                <w:highlight w:val="yellow"/>
              </w:rPr>
              <w:t> </w:t>
            </w:r>
          </w:p>
        </w:tc>
      </w:tr>
      <w:tr w:rsidR="004A635B" w:rsidRPr="00D10926" w14:paraId="05659AC9" w14:textId="77777777" w:rsidTr="004A635B">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1D4DFE22" w14:textId="77777777" w:rsidR="004A635B" w:rsidRPr="00D10926" w:rsidRDefault="004A635B" w:rsidP="004C5C3C">
            <w:pPr>
              <w:keepNext/>
              <w:spacing w:before="60" w:after="60"/>
              <w:rPr>
                <w:b/>
              </w:rPr>
            </w:pPr>
            <w:r w:rsidRPr="00D10926">
              <w:rPr>
                <w:b/>
              </w:rPr>
              <w:t>Competency assessment</w:t>
            </w:r>
          </w:p>
        </w:tc>
        <w:tc>
          <w:tcPr>
            <w:tcW w:w="6241" w:type="dxa"/>
            <w:tcBorders>
              <w:top w:val="single" w:sz="4" w:space="0" w:color="auto"/>
              <w:left w:val="single" w:sz="4" w:space="0" w:color="auto"/>
              <w:bottom w:val="single" w:sz="4" w:space="0" w:color="auto"/>
              <w:right w:val="single" w:sz="4" w:space="0" w:color="auto"/>
            </w:tcBorders>
          </w:tcPr>
          <w:p w14:paraId="541B16FF" w14:textId="77777777" w:rsidR="004A635B" w:rsidRPr="00B212BC" w:rsidRDefault="004A635B" w:rsidP="004A635B">
            <w:pPr>
              <w:pStyle w:val="Tabletext"/>
              <w:numPr>
                <w:ilvl w:val="0"/>
                <w:numId w:val="4"/>
              </w:numPr>
              <w:spacing w:after="0"/>
              <w:rPr>
                <w:rFonts w:cs="Arial"/>
                <w:sz w:val="24"/>
              </w:rPr>
            </w:pPr>
            <w:r w:rsidRPr="00796F45">
              <w:rPr>
                <w:rFonts w:cs="Arial"/>
                <w:sz w:val="24"/>
                <w:lang w:val="en-GB" w:eastAsia="en-GB"/>
              </w:rPr>
              <w:t xml:space="preserve">Pharmacists or </w:t>
            </w:r>
            <w:r w:rsidRPr="00796F45">
              <w:rPr>
                <w:rFonts w:cs="Arial"/>
                <w:sz w:val="24"/>
                <w:highlight w:val="yellow"/>
                <w:lang w:val="en-GB" w:eastAsia="en-GB"/>
              </w:rPr>
              <w:t>pharmacy technicians</w:t>
            </w:r>
            <w:r w:rsidRPr="00796F45">
              <w:rPr>
                <w:rFonts w:cs="Arial"/>
                <w:sz w:val="24"/>
                <w:lang w:val="en-GB" w:eastAsia="en-GB"/>
              </w:rPr>
              <w:t xml:space="preserve"> operating under this PGD must have declared their competence and must be authorised by a manager within their organisation to provide the service </w:t>
            </w:r>
            <w:bookmarkStart w:id="4" w:name="_Hlk200706932"/>
            <w:r w:rsidRPr="00796F45">
              <w:rPr>
                <w:rFonts w:cs="Arial"/>
                <w:sz w:val="24"/>
                <w:lang w:val="en-GB" w:eastAsia="en-GB"/>
              </w:rPr>
              <w:t>(</w:t>
            </w:r>
            <w:r w:rsidRPr="00B212BC">
              <w:rPr>
                <w:rFonts w:cs="Arial"/>
                <w:sz w:val="24"/>
              </w:rPr>
              <w:t xml:space="preserve">see </w:t>
            </w:r>
            <w:hyperlink w:anchor="AppendixA" w:history="1">
              <w:r w:rsidRPr="00510F5F">
                <w:rPr>
                  <w:rStyle w:val="Hyperlink"/>
                  <w:b/>
                  <w:bCs/>
                  <w:color w:val="1E6DFF" w:themeColor="accent1" w:themeTint="99"/>
                </w:rPr>
                <w:t>Appendix A</w:t>
              </w:r>
            </w:hyperlink>
            <w:r w:rsidRPr="00B212BC">
              <w:rPr>
                <w:rFonts w:cs="Arial"/>
                <w:sz w:val="24"/>
              </w:rPr>
              <w:t xml:space="preserve">). </w:t>
            </w:r>
            <w:bookmarkEnd w:id="4"/>
          </w:p>
          <w:p w14:paraId="2E4E1AC4" w14:textId="77777777" w:rsidR="004A635B" w:rsidRPr="00B212BC" w:rsidRDefault="004A635B" w:rsidP="004A635B">
            <w:pPr>
              <w:pStyle w:val="Tabletext"/>
              <w:numPr>
                <w:ilvl w:val="0"/>
                <w:numId w:val="4"/>
              </w:numPr>
              <w:rPr>
                <w:rFonts w:cs="Arial"/>
                <w:sz w:val="24"/>
                <w:lang w:val="en-GB"/>
              </w:rPr>
            </w:pPr>
            <w:r w:rsidRPr="00B212BC">
              <w:rPr>
                <w:rFonts w:cs="Arial"/>
                <w:sz w:val="24"/>
                <w:lang w:val="en-GB"/>
              </w:rPr>
              <w:t xml:space="preserve">Pharmacists or </w:t>
            </w:r>
            <w:r w:rsidRPr="00B212BC">
              <w:rPr>
                <w:rFonts w:cs="Arial"/>
                <w:sz w:val="24"/>
                <w:highlight w:val="yellow"/>
                <w:lang w:val="en-GB"/>
              </w:rPr>
              <w:t>pharmacy technicians</w:t>
            </w:r>
            <w:r w:rsidRPr="00B212BC">
              <w:rPr>
                <w:rFonts w:cs="Arial"/>
                <w:sz w:val="24"/>
                <w:lang w:val="en-GB"/>
              </w:rPr>
              <w:t xml:space="preserve"> operating under this PGD are encouraged to review their competency using appropriate competency framework tools, such as the</w:t>
            </w:r>
            <w:r w:rsidRPr="00B212BC">
              <w:rPr>
                <w:rFonts w:cs="Arial"/>
                <w:b/>
                <w:sz w:val="24"/>
                <w:lang w:val="en-GB"/>
              </w:rPr>
              <w:t xml:space="preserve"> </w:t>
            </w:r>
            <w:hyperlink r:id="rId20" w:history="1">
              <w:r w:rsidRPr="00E66174">
                <w:rPr>
                  <w:rStyle w:val="Hyperlink"/>
                  <w:rFonts w:cs="Arial"/>
                  <w:b/>
                  <w:bCs/>
                  <w:color w:val="1E6DFF" w:themeColor="accent1" w:themeTint="99"/>
                  <w:lang w:val="en-GB"/>
                </w:rPr>
                <w:t>NICE Competency framework: For health professionals using patient group directions.</w:t>
              </w:r>
            </w:hyperlink>
          </w:p>
        </w:tc>
      </w:tr>
      <w:tr w:rsidR="004A635B" w:rsidRPr="00D10926" w14:paraId="112B2ED1" w14:textId="77777777" w:rsidTr="004A635B">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25EFD2BC" w14:textId="77777777" w:rsidR="004A635B" w:rsidRPr="00D10926" w:rsidRDefault="004A635B" w:rsidP="004C5C3C">
            <w:pPr>
              <w:keepNext/>
              <w:spacing w:before="60" w:after="60"/>
              <w:rPr>
                <w:b/>
              </w:rPr>
            </w:pPr>
            <w:r w:rsidRPr="00D10926">
              <w:rPr>
                <w:b/>
              </w:rPr>
              <w:t>Ongoing training and competency</w:t>
            </w:r>
          </w:p>
        </w:tc>
        <w:tc>
          <w:tcPr>
            <w:tcW w:w="6241" w:type="dxa"/>
            <w:tcBorders>
              <w:top w:val="single" w:sz="4" w:space="0" w:color="auto"/>
              <w:left w:val="single" w:sz="4" w:space="0" w:color="auto"/>
              <w:bottom w:val="single" w:sz="4" w:space="0" w:color="auto"/>
              <w:right w:val="single" w:sz="4" w:space="0" w:color="auto"/>
            </w:tcBorders>
          </w:tcPr>
          <w:p w14:paraId="7C74353C" w14:textId="77777777" w:rsidR="004A635B" w:rsidRPr="00B212BC" w:rsidRDefault="004A635B" w:rsidP="004A635B">
            <w:pPr>
              <w:pStyle w:val="Tabletext"/>
              <w:numPr>
                <w:ilvl w:val="0"/>
                <w:numId w:val="4"/>
              </w:numPr>
              <w:spacing w:after="0"/>
              <w:rPr>
                <w:rFonts w:cs="Arial"/>
                <w:sz w:val="24"/>
                <w:lang w:val="en-GB"/>
              </w:rPr>
            </w:pPr>
            <w:r w:rsidRPr="00B212BC">
              <w:rPr>
                <w:rFonts w:cs="Arial"/>
                <w:sz w:val="24"/>
                <w:lang w:val="en-GB"/>
              </w:rPr>
              <w:t xml:space="preserve">Pharmacists </w:t>
            </w:r>
            <w:r w:rsidRPr="00B212BC">
              <w:rPr>
                <w:rFonts w:cs="Arial"/>
                <w:sz w:val="24"/>
                <w:highlight w:val="yellow"/>
                <w:lang w:val="en-GB"/>
              </w:rPr>
              <w:t>or pharmacy technicians</w:t>
            </w:r>
            <w:r w:rsidRPr="00B212BC">
              <w:rPr>
                <w:rFonts w:cs="Arial"/>
                <w:sz w:val="24"/>
                <w:lang w:val="en-GB"/>
              </w:rPr>
              <w:t xml:space="preserve"> operating under this PGD are personally responsible for ensuring they remain up to date with the use of all medicines and guidance included in the PGD - if any training needs are identified these should be addressed and further training undertaken as required.</w:t>
            </w:r>
          </w:p>
        </w:tc>
      </w:tr>
      <w:tr w:rsidR="004A635B" w:rsidRPr="00D10926" w14:paraId="33E58B5D" w14:textId="77777777" w:rsidTr="004C5C3C">
        <w:tc>
          <w:tcPr>
            <w:tcW w:w="9640" w:type="dxa"/>
            <w:gridSpan w:val="2"/>
            <w:tcBorders>
              <w:top w:val="single" w:sz="4" w:space="0" w:color="auto"/>
              <w:left w:val="single" w:sz="4" w:space="0" w:color="auto"/>
              <w:bottom w:val="single" w:sz="4" w:space="0" w:color="auto"/>
              <w:right w:val="single" w:sz="4" w:space="0" w:color="auto"/>
            </w:tcBorders>
          </w:tcPr>
          <w:p w14:paraId="40AFD0AE" w14:textId="77777777" w:rsidR="004A635B" w:rsidRPr="00B212BC" w:rsidRDefault="004A635B" w:rsidP="004C5C3C">
            <w:pPr>
              <w:keepNext/>
            </w:pPr>
            <w:r w:rsidRPr="00B212BC">
              <w:t xml:space="preserve">The decision to supply any medication rests with the individual pharmacist </w:t>
            </w:r>
            <w:r w:rsidRPr="00B212BC">
              <w:rPr>
                <w:highlight w:val="yellow"/>
              </w:rPr>
              <w:t>or pharmacy technician</w:t>
            </w:r>
            <w:r w:rsidRPr="00B212BC">
              <w:t xml:space="preserve"> who must abide by the PGD and any associated organisational policies.  </w:t>
            </w:r>
          </w:p>
        </w:tc>
      </w:tr>
    </w:tbl>
    <w:p w14:paraId="63B9FE88" w14:textId="77777777" w:rsidR="001D21C1" w:rsidRDefault="001D21C1" w:rsidP="001D21C1"/>
    <w:p w14:paraId="63E0E42E" w14:textId="77777777" w:rsidR="00AF52F2" w:rsidRPr="001D21C1" w:rsidRDefault="00AF52F2" w:rsidP="001D21C1"/>
    <w:p w14:paraId="5021C356" w14:textId="77777777" w:rsidR="00C03D72" w:rsidRDefault="00C03D72" w:rsidP="00C03D72">
      <w:pPr>
        <w:pStyle w:val="h2numbered"/>
      </w:pPr>
      <w:r w:rsidRPr="00D10926">
        <w:lastRenderedPageBreak/>
        <w:t>Clinical condition or situation to which this PGD applies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45"/>
      </w:tblGrid>
      <w:tr w:rsidR="00DE0B31" w:rsidRPr="009112CA" w14:paraId="06DE46E8" w14:textId="77777777" w:rsidTr="00DE0B31">
        <w:tc>
          <w:tcPr>
            <w:tcW w:w="3403" w:type="dxa"/>
            <w:shd w:val="clear" w:color="auto" w:fill="BFBFBF" w:themeFill="text1" w:themeFillShade="BF"/>
          </w:tcPr>
          <w:p w14:paraId="25C78512" w14:textId="77777777" w:rsidR="00DE0B31" w:rsidRPr="00AF42D9" w:rsidRDefault="00DE0B31" w:rsidP="004C5C3C">
            <w:pPr>
              <w:overflowPunct w:val="0"/>
              <w:autoSpaceDE w:val="0"/>
              <w:autoSpaceDN w:val="0"/>
              <w:adjustRightInd w:val="0"/>
              <w:spacing w:before="60" w:after="60"/>
              <w:textAlignment w:val="baseline"/>
              <w:rPr>
                <w:rFonts w:cs="Arial"/>
                <w:b/>
              </w:rPr>
            </w:pPr>
            <w:r w:rsidRPr="00AF42D9">
              <w:rPr>
                <w:rFonts w:cs="Arial"/>
                <w:b/>
              </w:rPr>
              <w:t>Clinical condition or situation to which this PGD applies</w:t>
            </w:r>
          </w:p>
        </w:tc>
        <w:tc>
          <w:tcPr>
            <w:tcW w:w="6945" w:type="dxa"/>
          </w:tcPr>
          <w:p w14:paraId="7248D7AE" w14:textId="77777777" w:rsidR="00DE0B31" w:rsidRPr="00DC438C" w:rsidRDefault="00DE0B31" w:rsidP="00DE0B31">
            <w:pPr>
              <w:numPr>
                <w:ilvl w:val="0"/>
                <w:numId w:val="7"/>
              </w:numPr>
              <w:overflowPunct w:val="0"/>
              <w:autoSpaceDE w:val="0"/>
              <w:autoSpaceDN w:val="0"/>
              <w:adjustRightInd w:val="0"/>
              <w:spacing w:after="160" w:line="278" w:lineRule="auto"/>
              <w:textAlignment w:val="baseline"/>
              <w:textboxTightWrap w:val="none"/>
              <w:rPr>
                <w:rFonts w:cs="Arial"/>
              </w:rPr>
            </w:pPr>
            <w:r w:rsidRPr="00070803">
              <w:rPr>
                <w:rFonts w:cs="Arial"/>
              </w:rPr>
              <w:t xml:space="preserve">This PGD applies to the </w:t>
            </w:r>
            <w:hyperlink r:id="rId21" w:history="1">
              <w:r w:rsidRPr="00E66174">
                <w:rPr>
                  <w:rStyle w:val="Hyperlink"/>
                  <w:rFonts w:cs="Arial"/>
                  <w:b/>
                  <w:bCs/>
                  <w:color w:val="1E6DFF" w:themeColor="accent1" w:themeTint="99"/>
                </w:rPr>
                <w:t>NHS Pharmacy Contraception Service</w:t>
              </w:r>
            </w:hyperlink>
            <w:r w:rsidRPr="00070803">
              <w:rPr>
                <w:rFonts w:cs="Arial"/>
              </w:rPr>
              <w:t xml:space="preserve"> only</w:t>
            </w:r>
            <w:r>
              <w:rPr>
                <w:rFonts w:cs="Arial"/>
              </w:rPr>
              <w:t>:</w:t>
            </w:r>
          </w:p>
          <w:p w14:paraId="6F872DBC" w14:textId="77777777" w:rsidR="00DE0B31" w:rsidRPr="007A42B0"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2B3C03">
              <w:rPr>
                <w:rFonts w:cs="Arial"/>
              </w:rPr>
              <w:t xml:space="preserve">Initiation of oral contraception </w:t>
            </w:r>
            <w:r>
              <w:rPr>
                <w:rFonts w:cs="Arial"/>
                <w:highlight w:val="yellow"/>
              </w:rPr>
              <w:t>for contraceptive purposes</w:t>
            </w:r>
          </w:p>
          <w:p w14:paraId="2FF28B7F" w14:textId="77777777" w:rsidR="00DE0B31" w:rsidRPr="009112CA"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7A42B0">
              <w:rPr>
                <w:rFonts w:cs="Arial"/>
              </w:rPr>
              <w:t xml:space="preserve">Review and ongoing supply of oral contraception </w:t>
            </w:r>
            <w:r w:rsidRPr="002B3C03">
              <w:rPr>
                <w:rFonts w:cs="Arial"/>
                <w:highlight w:val="yellow"/>
              </w:rPr>
              <w:t>for contraceptive purposes where</w:t>
            </w:r>
            <w:r w:rsidRPr="007A42B0">
              <w:rPr>
                <w:rFonts w:cs="Arial"/>
              </w:rPr>
              <w:t xml:space="preserve"> previously </w:t>
            </w:r>
            <w:r w:rsidRPr="002B3C03">
              <w:rPr>
                <w:rFonts w:cs="Arial"/>
              </w:rPr>
              <w:t>initiated in primary care</w:t>
            </w:r>
            <w:r w:rsidRPr="00F166FA">
              <w:rPr>
                <w:rFonts w:cs="Arial"/>
              </w:rPr>
              <w:t xml:space="preserve"> or sexual health clinics (or equivalent</w:t>
            </w:r>
            <w:r w:rsidRPr="007A42B0">
              <w:rPr>
                <w:rFonts w:cs="Arial"/>
              </w:rPr>
              <w:t>).</w:t>
            </w:r>
          </w:p>
        </w:tc>
      </w:tr>
      <w:tr w:rsidR="00DE0B31" w:rsidRPr="00CD6CE3" w14:paraId="405A5B79" w14:textId="77777777" w:rsidTr="00DE0B31">
        <w:tc>
          <w:tcPr>
            <w:tcW w:w="3403" w:type="dxa"/>
            <w:shd w:val="clear" w:color="auto" w:fill="BFBFBF" w:themeFill="text1" w:themeFillShade="BF"/>
          </w:tcPr>
          <w:p w14:paraId="1852D580" w14:textId="77777777" w:rsidR="00DE0B31" w:rsidRPr="00AF42D9" w:rsidRDefault="00DE0B31" w:rsidP="004C5C3C">
            <w:pPr>
              <w:overflowPunct w:val="0"/>
              <w:autoSpaceDE w:val="0"/>
              <w:autoSpaceDN w:val="0"/>
              <w:adjustRightInd w:val="0"/>
              <w:spacing w:before="60" w:after="60"/>
              <w:textAlignment w:val="baseline"/>
              <w:rPr>
                <w:rFonts w:cs="Arial"/>
                <w:b/>
              </w:rPr>
            </w:pPr>
            <w:r w:rsidRPr="00AF42D9">
              <w:rPr>
                <w:rFonts w:cs="Arial"/>
                <w:b/>
              </w:rPr>
              <w:t>Criteria for inclusion</w:t>
            </w:r>
          </w:p>
        </w:tc>
        <w:tc>
          <w:tcPr>
            <w:tcW w:w="6945" w:type="dxa"/>
          </w:tcPr>
          <w:p w14:paraId="3CD55136"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Individual (age</w:t>
            </w:r>
            <w:r>
              <w:rPr>
                <w:rFonts w:cs="Arial"/>
              </w:rPr>
              <w:t xml:space="preserve"> </w:t>
            </w:r>
            <w:r w:rsidRPr="3C164792">
              <w:rPr>
                <w:rFonts w:cs="Arial"/>
              </w:rPr>
              <w:t>from menarche up to and including 49 years of age) presenting for:</w:t>
            </w:r>
          </w:p>
          <w:p w14:paraId="5E9969EB" w14:textId="77777777" w:rsidR="00DE0B31" w:rsidRPr="002B3C03"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Initiation of first-time oral contraception</w:t>
            </w:r>
          </w:p>
          <w:p w14:paraId="3E814C64" w14:textId="77777777" w:rsidR="00DE0B31" w:rsidRPr="002B3C03"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Initiation of oral contraception after a pill free break</w:t>
            </w:r>
          </w:p>
          <w:p w14:paraId="015C6103" w14:textId="77777777" w:rsidR="00DE0B31" w:rsidRPr="002B3C03"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 xml:space="preserve">Initiation of a new (to the </w:t>
            </w:r>
            <w:r>
              <w:rPr>
                <w:rFonts w:cs="Arial"/>
              </w:rPr>
              <w:t>individual</w:t>
            </w:r>
            <w:r w:rsidRPr="002B3C03">
              <w:rPr>
                <w:rFonts w:cs="Arial"/>
              </w:rPr>
              <w:t>) oral contraceptive</w:t>
            </w:r>
          </w:p>
          <w:p w14:paraId="50026AE8" w14:textId="77777777" w:rsidR="00DE0B31" w:rsidRPr="00B33954" w:rsidRDefault="00DE0B31" w:rsidP="00DE0B31">
            <w:pPr>
              <w:numPr>
                <w:ilvl w:val="1"/>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O</w:t>
            </w:r>
            <w:r w:rsidRPr="00B33954">
              <w:rPr>
                <w:rFonts w:cs="Arial"/>
              </w:rPr>
              <w:t xml:space="preserve">ngoing supply of their </w:t>
            </w:r>
            <w:r>
              <w:rPr>
                <w:rFonts w:cs="Arial"/>
              </w:rPr>
              <w:t>current</w:t>
            </w:r>
            <w:r w:rsidRPr="00B33954">
              <w:rPr>
                <w:rFonts w:cs="Arial"/>
              </w:rPr>
              <w:t xml:space="preserve"> oral contraception.</w:t>
            </w:r>
          </w:p>
          <w:p w14:paraId="07CC36AE" w14:textId="77777777" w:rsidR="00DE0B31" w:rsidRPr="00CD6CE3"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3C164792">
              <w:rPr>
                <w:rFonts w:cs="Arial"/>
              </w:rPr>
              <w:t>Able to confirm blood pressure and BMI, as per the specification, prior to supply</w:t>
            </w:r>
            <w:r w:rsidRPr="3C164792">
              <w:rPr>
                <w:rFonts w:eastAsia="Calibri" w:cs="Arial"/>
              </w:rPr>
              <w:t xml:space="preserve">. </w:t>
            </w:r>
          </w:p>
        </w:tc>
      </w:tr>
      <w:tr w:rsidR="00DE0B31" w:rsidRPr="005D269E" w14:paraId="39EAC916" w14:textId="77777777" w:rsidTr="00DE0B31">
        <w:tc>
          <w:tcPr>
            <w:tcW w:w="3403" w:type="dxa"/>
            <w:shd w:val="clear" w:color="auto" w:fill="BFBFBF" w:themeFill="text1" w:themeFillShade="BF"/>
          </w:tcPr>
          <w:p w14:paraId="6573F584" w14:textId="77777777" w:rsidR="00DE0B31" w:rsidRPr="00AF42D9" w:rsidRDefault="00DE0B31" w:rsidP="004C5C3C">
            <w:pPr>
              <w:overflowPunct w:val="0"/>
              <w:autoSpaceDE w:val="0"/>
              <w:autoSpaceDN w:val="0"/>
              <w:adjustRightInd w:val="0"/>
              <w:spacing w:before="60" w:after="60"/>
              <w:textAlignment w:val="baseline"/>
              <w:rPr>
                <w:rFonts w:cs="Arial"/>
              </w:rPr>
            </w:pPr>
            <w:r w:rsidRPr="00AF42D9">
              <w:rPr>
                <w:rFonts w:cs="Arial"/>
                <w:b/>
              </w:rPr>
              <w:t>Criteria for exclusion</w:t>
            </w:r>
          </w:p>
        </w:tc>
        <w:tc>
          <w:tcPr>
            <w:tcW w:w="6945" w:type="dxa"/>
          </w:tcPr>
          <w:p w14:paraId="2C9EAA83"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Individuals under 16 years of age and assessed as not competent using </w:t>
            </w:r>
            <w:hyperlink r:id="rId22" w:history="1">
              <w:r w:rsidRPr="00E66174">
                <w:rPr>
                  <w:rStyle w:val="Hyperlink"/>
                  <w:rFonts w:cs="Arial"/>
                  <w:b/>
                  <w:bCs/>
                  <w:color w:val="1E6DFF" w:themeColor="accent1" w:themeTint="99"/>
                </w:rPr>
                <w:t>Fraser Guidelines</w:t>
              </w:r>
            </w:hyperlink>
            <w:r w:rsidRPr="00B33954">
              <w:rPr>
                <w:rFonts w:cs="Arial"/>
              </w:rPr>
              <w:t>.</w:t>
            </w:r>
          </w:p>
          <w:p w14:paraId="5E002A19"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Individuals 16 years of age and over and assessed as lacking capacity to consent.</w:t>
            </w:r>
          </w:p>
          <w:p w14:paraId="475BD800"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Established pregnancy. Note – risk of pregnancy with a negative pregnancy test is not an exclusion.</w:t>
            </w:r>
          </w:p>
          <w:p w14:paraId="297A4674"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Known</w:t>
            </w:r>
            <w:r w:rsidRPr="00D5563C">
              <w:rPr>
                <w:rFonts w:eastAsia="Arial" w:cs="Arial"/>
              </w:rPr>
              <w:t xml:space="preserve"> hypersensitivity to the active ingredient or to any constituent of the product </w:t>
            </w:r>
            <w:r w:rsidRPr="00D5563C">
              <w:rPr>
                <w:rFonts w:cs="Arial"/>
              </w:rPr>
              <w:t xml:space="preserve">- see </w:t>
            </w:r>
            <w:hyperlink r:id="rId23" w:history="1">
              <w:r w:rsidRPr="00E66174">
                <w:rPr>
                  <w:rFonts w:eastAsia="Arial" w:cs="Arial"/>
                  <w:b/>
                  <w:bCs/>
                  <w:color w:val="1E6DFF" w:themeColor="accent1" w:themeTint="99"/>
                  <w:u w:val="single"/>
                </w:rPr>
                <w:t>Summary of Product Characteristics</w:t>
              </w:r>
            </w:hyperlink>
            <w:r w:rsidRPr="00D5563C">
              <w:rPr>
                <w:rFonts w:eastAsia="Calibri" w:cs="Arial"/>
              </w:rPr>
              <w:t xml:space="preserve"> (SPC</w:t>
            </w:r>
            <w:r w:rsidRPr="00B33954">
              <w:rPr>
                <w:rFonts w:cs="Arial"/>
              </w:rPr>
              <w:t>).</w:t>
            </w:r>
          </w:p>
          <w:p w14:paraId="52ED8A6F" w14:textId="77777777" w:rsidR="00DE0B31" w:rsidRPr="002B3C03"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Some COC products contain lactose/sucrose. Individuals with rare hereditary problems of galactose intolerance, total lactase deficiency, fructose intolerance</w:t>
            </w:r>
            <w:r>
              <w:rPr>
                <w:rFonts w:cs="Arial"/>
              </w:rPr>
              <w:t>,</w:t>
            </w:r>
            <w:r w:rsidRPr="3C164792">
              <w:rPr>
                <w:rFonts w:cs="Arial"/>
              </w:rPr>
              <w:t xml:space="preserve"> glucose-galactose malabsorption or sucrase-</w:t>
            </w:r>
            <w:r>
              <w:rPr>
                <w:rFonts w:cs="Arial"/>
              </w:rPr>
              <w:t xml:space="preserve"> </w:t>
            </w:r>
            <w:proofErr w:type="spellStart"/>
            <w:r w:rsidRPr="3C164792">
              <w:rPr>
                <w:rFonts w:cs="Arial"/>
              </w:rPr>
              <w:t>isomaltase</w:t>
            </w:r>
            <w:proofErr w:type="spellEnd"/>
            <w:r w:rsidRPr="3C164792">
              <w:rPr>
                <w:rFonts w:cs="Arial"/>
              </w:rPr>
              <w:t xml:space="preserve"> deficiency should not take these medicines. Where applicable, check product excipients before supplying.</w:t>
            </w:r>
          </w:p>
          <w:p w14:paraId="7DE4AA4C" w14:textId="77777777" w:rsidR="00DE0B31" w:rsidRPr="002B3C03"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Less than 21 days after childbirth (for deliveries over 24 weeks gestation).</w:t>
            </w:r>
          </w:p>
          <w:p w14:paraId="48662DFB" w14:textId="77777777" w:rsidR="00DE0B31" w:rsidRPr="002B3C03" w:rsidRDefault="00DE0B31" w:rsidP="00DE0B31">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rPr>
            </w:pPr>
            <w:r w:rsidRPr="3C164792">
              <w:rPr>
                <w:rFonts w:eastAsia="Calibri" w:cs="Arial"/>
              </w:rPr>
              <w:t xml:space="preserve">Breastfeeding and less than six weeks post-partum.  </w:t>
            </w:r>
          </w:p>
          <w:p w14:paraId="12FEC024" w14:textId="77777777" w:rsidR="00DE0B31" w:rsidRPr="002B3C03" w:rsidRDefault="00DE0B31" w:rsidP="00DE0B31">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rPr>
            </w:pPr>
            <w:r w:rsidRPr="3C164792">
              <w:rPr>
                <w:rFonts w:eastAsia="Calibri" w:cs="Arial"/>
              </w:rPr>
              <w:t xml:space="preserve">Not breastfeeding and less than 6 weeks post-partum with other risk factors for venous thromboembolism (VTE). </w:t>
            </w:r>
          </w:p>
          <w:p w14:paraId="521DE345"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Individuals aged 50 years and over.</w:t>
            </w:r>
          </w:p>
          <w:p w14:paraId="5FA49EC3"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Significant or prolonged immobility.</w:t>
            </w:r>
          </w:p>
          <w:p w14:paraId="496B90BB" w14:textId="77777777" w:rsidR="00DE0B31" w:rsidRPr="00B33954" w:rsidRDefault="00DE0B31" w:rsidP="004C5C3C">
            <w:pPr>
              <w:overflowPunct w:val="0"/>
              <w:autoSpaceDE w:val="0"/>
              <w:autoSpaceDN w:val="0"/>
              <w:adjustRightInd w:val="0"/>
              <w:ind w:left="360"/>
              <w:contextualSpacing/>
              <w:textAlignment w:val="baseline"/>
              <w:rPr>
                <w:rFonts w:cs="Arial"/>
              </w:rPr>
            </w:pPr>
          </w:p>
          <w:p w14:paraId="3E9C335F" w14:textId="77777777" w:rsidR="00DE0B31" w:rsidRPr="00AF42D9" w:rsidRDefault="00DE0B31" w:rsidP="004C5C3C">
            <w:pPr>
              <w:widowControl w:val="0"/>
              <w:rPr>
                <w:rFonts w:eastAsia="Calibri" w:cs="Arial"/>
                <w:b/>
              </w:rPr>
            </w:pPr>
            <w:r w:rsidRPr="00AF42D9">
              <w:rPr>
                <w:rFonts w:eastAsia="Calibri" w:cs="Arial"/>
                <w:b/>
              </w:rPr>
              <w:lastRenderedPageBreak/>
              <w:t>Cardiovascular disease</w:t>
            </w:r>
          </w:p>
          <w:p w14:paraId="096B8A66" w14:textId="77777777" w:rsidR="00DE0B31" w:rsidRPr="00946DC5"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AF42D9">
              <w:rPr>
                <w:rFonts w:eastAsia="Calibri" w:cs="Arial"/>
              </w:rPr>
              <w:t xml:space="preserve">Individuals aged 35 years </w:t>
            </w:r>
            <w:r>
              <w:rPr>
                <w:rFonts w:eastAsia="Calibri" w:cs="Arial"/>
              </w:rPr>
              <w:t>and over</w:t>
            </w:r>
            <w:r w:rsidRPr="00AF42D9">
              <w:rPr>
                <w:rFonts w:eastAsia="Calibri" w:cs="Arial"/>
              </w:rPr>
              <w:t xml:space="preserve"> </w:t>
            </w:r>
            <w:r>
              <w:rPr>
                <w:rFonts w:eastAsia="Calibri" w:cs="Arial"/>
              </w:rPr>
              <w:t xml:space="preserve">who currently </w:t>
            </w:r>
            <w:r w:rsidRPr="00AF42D9">
              <w:rPr>
                <w:rFonts w:eastAsia="Calibri" w:cs="Arial"/>
              </w:rPr>
              <w:t>smok</w:t>
            </w:r>
            <w:r>
              <w:rPr>
                <w:rFonts w:eastAsia="Calibri" w:cs="Arial"/>
              </w:rPr>
              <w:t>e</w:t>
            </w:r>
            <w:r w:rsidRPr="00AF42D9">
              <w:rPr>
                <w:rFonts w:eastAsia="Calibri" w:cs="Arial"/>
              </w:rPr>
              <w:t xml:space="preserve"> or stopped smoking less than one year ago</w:t>
            </w:r>
            <w:r>
              <w:rPr>
                <w:rFonts w:eastAsia="Calibri" w:cs="Arial"/>
              </w:rPr>
              <w:t xml:space="preserve"> </w:t>
            </w:r>
            <w:r w:rsidRPr="0038247A">
              <w:rPr>
                <w:rFonts w:eastAsia="Calibri" w:cs="Arial"/>
              </w:rPr>
              <w:t>(this includes vaping and the use of e-cigarettes)</w:t>
            </w:r>
            <w:r>
              <w:rPr>
                <w:rFonts w:eastAsia="Calibri" w:cs="Arial"/>
              </w:rPr>
              <w:t>.</w:t>
            </w:r>
          </w:p>
          <w:p w14:paraId="7DA91815"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Body Mass Index (BMI) equal to or greater than 35kg/m2.</w:t>
            </w:r>
          </w:p>
          <w:p w14:paraId="5B0DE433"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 xml:space="preserve">Blood pressure greater than 140/90mmHg or controlled hypertension.                                                                      </w:t>
            </w:r>
          </w:p>
          <w:p w14:paraId="3EF85B0F"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Multiple risk factors for cardiovascular disease (CVD) (such as smoking (including vaping/use of e-cigarettes), diabetes, hypertension, obesity, and dyslipidaemias).</w:t>
            </w:r>
          </w:p>
          <w:p w14:paraId="58CA22D1"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Current or past history of ischaemic heart disease, vascular disease, stroke, or transient ischaemic attack.</w:t>
            </w:r>
          </w:p>
          <w:p w14:paraId="5DA699FE"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Current or past history of venous thromboembolism.</w:t>
            </w:r>
          </w:p>
          <w:p w14:paraId="5B6E9EF5"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Complicated valvular or congenital heart disease, e.g., pulmonary hypertension, history of subacute bacterial endocarditis. </w:t>
            </w:r>
          </w:p>
          <w:p w14:paraId="3DD4F63E"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47FF50A8">
              <w:rPr>
                <w:rFonts w:cs="Arial"/>
              </w:rPr>
              <w:t>First degree relative (</w:t>
            </w:r>
            <w:r w:rsidRPr="00DE3A19">
              <w:rPr>
                <w:rFonts w:ascii="Roboto" w:eastAsia="Roboto" w:hAnsi="Roboto" w:cs="Roboto"/>
                <w:color w:val="111111"/>
              </w:rPr>
              <w:t>a person's parent, sibling, or child)</w:t>
            </w:r>
            <w:r w:rsidRPr="47FF50A8">
              <w:rPr>
                <w:rFonts w:cs="Arial"/>
              </w:rPr>
              <w:t xml:space="preserve"> with venous thromboembolism which first occurred when they were under 45 years of age.</w:t>
            </w:r>
          </w:p>
          <w:p w14:paraId="2DF78F2D"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Known thrombogenic mutations, e.g., factor V Leiden, prothrombin mutation, protein S, protein C and antithrombin deficiencies. </w:t>
            </w:r>
          </w:p>
          <w:p w14:paraId="0D3C8558"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Cardiomyopathy with impaired cardiac function.</w:t>
            </w:r>
          </w:p>
          <w:p w14:paraId="65D44C32"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B33954">
              <w:rPr>
                <w:rFonts w:cs="Arial"/>
              </w:rPr>
              <w:t>Atrial</w:t>
            </w:r>
            <w:r w:rsidRPr="00AF42D9">
              <w:rPr>
                <w:rFonts w:eastAsia="Calibri" w:cs="Arial"/>
              </w:rPr>
              <w:t xml:space="preserve"> fibrillation</w:t>
            </w:r>
            <w:r>
              <w:rPr>
                <w:rFonts w:eastAsia="Calibri" w:cs="Arial"/>
              </w:rPr>
              <w:t>.</w:t>
            </w:r>
          </w:p>
          <w:p w14:paraId="1C7C0218" w14:textId="77777777" w:rsidR="00DE0B31" w:rsidRPr="00915546" w:rsidRDefault="00DE0B31" w:rsidP="004C5C3C">
            <w:pPr>
              <w:overflowPunct w:val="0"/>
              <w:autoSpaceDE w:val="0"/>
              <w:autoSpaceDN w:val="0"/>
              <w:adjustRightInd w:val="0"/>
              <w:ind w:left="360"/>
              <w:contextualSpacing/>
              <w:textAlignment w:val="baseline"/>
              <w:rPr>
                <w:rFonts w:eastAsia="Calibri" w:cs="Arial"/>
              </w:rPr>
            </w:pPr>
          </w:p>
          <w:p w14:paraId="5C6903B8" w14:textId="77777777" w:rsidR="00DE0B31" w:rsidRPr="00AF42D9" w:rsidRDefault="00DE0B31" w:rsidP="004C5C3C">
            <w:pPr>
              <w:widowControl w:val="0"/>
              <w:rPr>
                <w:rFonts w:eastAsia="Calibri" w:cs="Arial"/>
                <w:b/>
              </w:rPr>
            </w:pPr>
            <w:r w:rsidRPr="00AF42D9">
              <w:rPr>
                <w:rFonts w:eastAsia="Calibri" w:cs="Arial"/>
                <w:b/>
              </w:rPr>
              <w:t>Neurological Conditions</w:t>
            </w:r>
          </w:p>
          <w:p w14:paraId="43C0A21B"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Current or past history of migraine with neurological symptoms including aura at any age. </w:t>
            </w:r>
          </w:p>
          <w:p w14:paraId="5017ADBD" w14:textId="77777777" w:rsidR="00DE0B31" w:rsidRPr="00134013"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sz w:val="20"/>
              </w:rPr>
            </w:pPr>
            <w:r w:rsidRPr="00B33954">
              <w:rPr>
                <w:rFonts w:cs="Arial"/>
              </w:rPr>
              <w:t xml:space="preserve">Migraine without aura, first attack </w:t>
            </w:r>
            <w:r>
              <w:rPr>
                <w:rFonts w:cs="Arial"/>
              </w:rPr>
              <w:t xml:space="preserve">occurred </w:t>
            </w:r>
            <w:r w:rsidRPr="00B33954">
              <w:rPr>
                <w:rFonts w:cs="Arial"/>
              </w:rPr>
              <w:t>when</w:t>
            </w:r>
            <w:r w:rsidRPr="00C9363A">
              <w:rPr>
                <w:rFonts w:cs="Arial"/>
              </w:rPr>
              <w:t xml:space="preserve"> on</w:t>
            </w:r>
            <w:r w:rsidRPr="00B33954">
              <w:rPr>
                <w:rFonts w:cs="Arial"/>
              </w:rPr>
              <w:t xml:space="preserve"> </w:t>
            </w:r>
            <w:r>
              <w:rPr>
                <w:rFonts w:cs="Arial"/>
              </w:rPr>
              <w:t xml:space="preserve">a </w:t>
            </w:r>
            <w:r w:rsidRPr="00B33954">
              <w:rPr>
                <w:rFonts w:cs="Arial"/>
              </w:rPr>
              <w:t>method of contraception</w:t>
            </w:r>
            <w:r w:rsidRPr="00C9363A">
              <w:rPr>
                <w:rFonts w:eastAsia="Calibri" w:cs="Arial"/>
              </w:rPr>
              <w:t xml:space="preserve"> containing an </w:t>
            </w:r>
            <w:proofErr w:type="spellStart"/>
            <w:r w:rsidRPr="00C9363A">
              <w:rPr>
                <w:rFonts w:eastAsia="Calibri" w:cs="Arial"/>
              </w:rPr>
              <w:t>estrogen</w:t>
            </w:r>
            <w:proofErr w:type="spellEnd"/>
            <w:r>
              <w:rPr>
                <w:rFonts w:eastAsia="Calibri" w:cs="Arial"/>
              </w:rPr>
              <w:t>.</w:t>
            </w:r>
          </w:p>
          <w:p w14:paraId="377113E3" w14:textId="0EE88E04" w:rsidR="00DE0B31" w:rsidRPr="0001045F" w:rsidRDefault="00DE0B31" w:rsidP="00DE0B31">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rPr>
            </w:pPr>
            <w:r w:rsidRPr="003415EF">
              <w:rPr>
                <w:rFonts w:eastAsia="Calibri" w:cs="Arial"/>
                <w:b/>
                <w:bCs/>
              </w:rPr>
              <w:t>Zoely®</w:t>
            </w:r>
            <w:r w:rsidR="001F64DE">
              <w:rPr>
                <w:rFonts w:eastAsia="Calibri" w:cs="Arial"/>
                <w:b/>
                <w:bCs/>
              </w:rPr>
              <w:t xml:space="preserve"> </w:t>
            </w:r>
            <w:r w:rsidR="001F64DE" w:rsidRPr="005553CC">
              <w:rPr>
                <w:rFonts w:eastAsia="Calibri" w:cs="Arial"/>
                <w:b/>
                <w:bCs/>
                <w:highlight w:val="yellow"/>
              </w:rPr>
              <w:t xml:space="preserve">and </w:t>
            </w:r>
            <w:proofErr w:type="spellStart"/>
            <w:r w:rsidR="001F64DE" w:rsidRPr="005553CC">
              <w:rPr>
                <w:rFonts w:eastAsia="Calibri" w:cs="Arial"/>
                <w:b/>
                <w:bCs/>
                <w:highlight w:val="yellow"/>
              </w:rPr>
              <w:t>desogestrel</w:t>
            </w:r>
            <w:proofErr w:type="spellEnd"/>
            <w:r w:rsidR="001F64DE" w:rsidRPr="005553CC">
              <w:rPr>
                <w:rFonts w:eastAsia="Calibri" w:cs="Arial"/>
                <w:b/>
                <w:bCs/>
                <w:highlight w:val="yellow"/>
              </w:rPr>
              <w:t xml:space="preserve"> containing products </w:t>
            </w:r>
            <w:r w:rsidRPr="005553CC">
              <w:rPr>
                <w:rFonts w:eastAsia="Calibri" w:cs="Arial"/>
                <w:highlight w:val="yellow"/>
              </w:rPr>
              <w:t>–</w:t>
            </w:r>
            <w:r w:rsidRPr="003415EF">
              <w:rPr>
                <w:rFonts w:eastAsia="Calibri" w:cs="Arial"/>
              </w:rPr>
              <w:t xml:space="preserve"> individuals with a meningioma or a history of meningioma.</w:t>
            </w:r>
          </w:p>
          <w:p w14:paraId="0814B858" w14:textId="77777777" w:rsidR="00DE0B31" w:rsidRPr="00915546" w:rsidRDefault="00DE0B31" w:rsidP="004C5C3C">
            <w:pPr>
              <w:overflowPunct w:val="0"/>
              <w:autoSpaceDE w:val="0"/>
              <w:autoSpaceDN w:val="0"/>
              <w:adjustRightInd w:val="0"/>
              <w:ind w:left="360"/>
              <w:contextualSpacing/>
              <w:textAlignment w:val="baseline"/>
              <w:rPr>
                <w:rFonts w:eastAsia="Calibri" w:cs="Arial"/>
                <w:sz w:val="20"/>
              </w:rPr>
            </w:pPr>
          </w:p>
          <w:p w14:paraId="1DF0C962" w14:textId="77777777" w:rsidR="00DE0B31" w:rsidRPr="00AF42D9" w:rsidRDefault="00DE0B31" w:rsidP="004C5C3C">
            <w:pPr>
              <w:widowControl w:val="0"/>
              <w:rPr>
                <w:rFonts w:eastAsia="Calibri" w:cs="Arial"/>
                <w:b/>
              </w:rPr>
            </w:pPr>
            <w:r w:rsidRPr="00AF42D9">
              <w:rPr>
                <w:rFonts w:eastAsia="Calibri" w:cs="Arial"/>
                <w:b/>
              </w:rPr>
              <w:t>Cancers</w:t>
            </w:r>
          </w:p>
          <w:p w14:paraId="396A7E08"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Past or current history of breast cancer.</w:t>
            </w:r>
          </w:p>
          <w:p w14:paraId="4571D30C" w14:textId="77777777" w:rsidR="00DE0B31" w:rsidRPr="002B3C03"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Undiagnosed breast symptoms (for initiation only)</w:t>
            </w:r>
          </w:p>
          <w:p w14:paraId="3ABA3A8B"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Carrier of known gene mutations associated with breast cancer, e.g., BRCA1or 2.</w:t>
            </w:r>
          </w:p>
          <w:p w14:paraId="1564AF67"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B33954">
              <w:rPr>
                <w:rFonts w:cs="Arial"/>
              </w:rPr>
              <w:t>Malignant liver</w:t>
            </w:r>
            <w:r w:rsidRPr="00AF42D9">
              <w:rPr>
                <w:rFonts w:eastAsia="Calibri" w:cs="Arial"/>
              </w:rPr>
              <w:t xml:space="preserve"> tumour (hepatocellular carcinoma)</w:t>
            </w:r>
            <w:r>
              <w:rPr>
                <w:rFonts w:eastAsia="Calibri" w:cs="Arial"/>
              </w:rPr>
              <w:t>.</w:t>
            </w:r>
          </w:p>
          <w:p w14:paraId="52A9D224" w14:textId="77777777" w:rsidR="00DE0B31" w:rsidRPr="00915546" w:rsidRDefault="00DE0B31" w:rsidP="004C5C3C">
            <w:pPr>
              <w:overflowPunct w:val="0"/>
              <w:autoSpaceDE w:val="0"/>
              <w:autoSpaceDN w:val="0"/>
              <w:adjustRightInd w:val="0"/>
              <w:ind w:left="360"/>
              <w:contextualSpacing/>
              <w:textAlignment w:val="baseline"/>
              <w:rPr>
                <w:rFonts w:eastAsia="Calibri" w:cs="Arial"/>
              </w:rPr>
            </w:pPr>
          </w:p>
          <w:p w14:paraId="57EF931B" w14:textId="77777777" w:rsidR="00DE0B31" w:rsidRPr="00D5563C" w:rsidRDefault="00DE0B31" w:rsidP="004C5C3C">
            <w:pPr>
              <w:widowControl w:val="0"/>
              <w:rPr>
                <w:rFonts w:eastAsia="Calibri" w:cs="Arial"/>
                <w:b/>
              </w:rPr>
            </w:pPr>
            <w:r w:rsidRPr="00AF42D9">
              <w:rPr>
                <w:rFonts w:eastAsia="Calibri" w:cs="Arial"/>
                <w:b/>
              </w:rPr>
              <w:t>Gastro-inte</w:t>
            </w:r>
            <w:r w:rsidRPr="00D5563C">
              <w:rPr>
                <w:rFonts w:eastAsia="Calibri" w:cs="Arial"/>
                <w:b/>
              </w:rPr>
              <w:t>stinal Conditions</w:t>
            </w:r>
          </w:p>
          <w:p w14:paraId="1CEB5F75" w14:textId="77777777" w:rsidR="00DE0B31" w:rsidRPr="002B3C03" w:rsidRDefault="00DE0B31" w:rsidP="00DE0B31">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rPr>
            </w:pPr>
            <w:r w:rsidRPr="002B3C03">
              <w:rPr>
                <w:rFonts w:eastAsia="Calibri" w:cs="Arial"/>
              </w:rPr>
              <w:t>Viral hepatitis, acute or flare (for initiation only).</w:t>
            </w:r>
          </w:p>
          <w:p w14:paraId="0CB9CD85" w14:textId="77777777" w:rsidR="00DE0B31" w:rsidRPr="0001045F"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B33954">
              <w:rPr>
                <w:rFonts w:cs="Arial"/>
              </w:rPr>
              <w:t xml:space="preserve">Benign </w:t>
            </w:r>
            <w:r w:rsidRPr="00D5563C">
              <w:rPr>
                <w:rFonts w:eastAsia="Calibri" w:cs="Arial"/>
              </w:rPr>
              <w:t>liver tumour (hepatocellular adenoma).</w:t>
            </w:r>
          </w:p>
          <w:p w14:paraId="4F0E1BC4"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Severe decompensated cirrhosis.</w:t>
            </w:r>
          </w:p>
          <w:p w14:paraId="6B4C0DBC"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Gall bladder disease, currently symptomatic or medically managed.</w:t>
            </w:r>
          </w:p>
          <w:p w14:paraId="5FB7D5D6"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Any bariatric or other surgery resulting in malabsorption.</w:t>
            </w:r>
          </w:p>
          <w:p w14:paraId="2A936C5A"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Cholestasis (related to past combined hormonal contraceptive use).</w:t>
            </w:r>
          </w:p>
          <w:p w14:paraId="74B08AF7" w14:textId="77777777" w:rsidR="00DE0B31" w:rsidRPr="00D5563C" w:rsidRDefault="00DE0B31" w:rsidP="004C5C3C">
            <w:pPr>
              <w:overflowPunct w:val="0"/>
              <w:autoSpaceDE w:val="0"/>
              <w:autoSpaceDN w:val="0"/>
              <w:adjustRightInd w:val="0"/>
              <w:ind w:left="360"/>
              <w:contextualSpacing/>
              <w:textAlignment w:val="baseline"/>
              <w:rPr>
                <w:rFonts w:eastAsia="Calibri" w:cs="Arial"/>
              </w:rPr>
            </w:pPr>
          </w:p>
          <w:p w14:paraId="33D01081" w14:textId="77777777" w:rsidR="00DE0B31" w:rsidRPr="00D5563C" w:rsidRDefault="00DE0B31" w:rsidP="004C5C3C">
            <w:pPr>
              <w:widowControl w:val="0"/>
              <w:rPr>
                <w:rFonts w:eastAsia="Calibri" w:cs="Arial"/>
                <w:b/>
              </w:rPr>
            </w:pPr>
            <w:r w:rsidRPr="00D5563C">
              <w:rPr>
                <w:rFonts w:eastAsia="Calibri" w:cs="Arial"/>
                <w:b/>
              </w:rPr>
              <w:t>Other conditions</w:t>
            </w:r>
          </w:p>
          <w:p w14:paraId="5015F88F"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5563C">
              <w:rPr>
                <w:rFonts w:cs="Arial"/>
              </w:rPr>
              <w:t>Imminent planned major surgery (</w:t>
            </w:r>
            <w:r w:rsidRPr="00B33954">
              <w:rPr>
                <w:rFonts w:cs="Arial"/>
              </w:rPr>
              <w:t>COC should be stopped at least 4 weeks prior to planned major surgery or expected period of limited mobility).</w:t>
            </w:r>
          </w:p>
          <w:p w14:paraId="75ED5BAA"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Diabetes with end organ disease (retinopathy, nephropathy, neuropathy).</w:t>
            </w:r>
          </w:p>
          <w:p w14:paraId="2DE2812B"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Positive anti-phospholipid antibodies (with or without systemic lupus erythematosus).</w:t>
            </w:r>
          </w:p>
          <w:p w14:paraId="65822490"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Organ transplant, with complications.</w:t>
            </w:r>
          </w:p>
          <w:p w14:paraId="4CC18F43"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Known severe renal impairment or acute renal failure.</w:t>
            </w:r>
          </w:p>
          <w:p w14:paraId="38A1ED35" w14:textId="77777777"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B33954">
              <w:rPr>
                <w:rFonts w:cs="Arial"/>
              </w:rPr>
              <w:t>Acute porphyria</w:t>
            </w:r>
            <w:r w:rsidRPr="00D5563C">
              <w:rPr>
                <w:rFonts w:eastAsia="Calibri" w:cs="Arial"/>
              </w:rPr>
              <w:t>.</w:t>
            </w:r>
          </w:p>
          <w:p w14:paraId="3715EB5D" w14:textId="77777777" w:rsidR="00DE0B31" w:rsidRPr="00D5563C" w:rsidRDefault="00DE0B31" w:rsidP="004C5C3C">
            <w:pPr>
              <w:overflowPunct w:val="0"/>
              <w:autoSpaceDE w:val="0"/>
              <w:autoSpaceDN w:val="0"/>
              <w:adjustRightInd w:val="0"/>
              <w:contextualSpacing/>
              <w:textAlignment w:val="baseline"/>
              <w:rPr>
                <w:rFonts w:eastAsia="Calibri" w:cs="Arial"/>
              </w:rPr>
            </w:pPr>
          </w:p>
          <w:p w14:paraId="5EF311D8" w14:textId="77777777" w:rsidR="00DE0B31" w:rsidRPr="00D5563C" w:rsidRDefault="00DE0B31" w:rsidP="004C5C3C">
            <w:pPr>
              <w:rPr>
                <w:rFonts w:eastAsia="Calibri" w:cs="Arial"/>
                <w:b/>
              </w:rPr>
            </w:pPr>
            <w:r w:rsidRPr="00D5563C">
              <w:rPr>
                <w:rFonts w:eastAsia="Calibri" w:cs="Arial"/>
                <w:b/>
              </w:rPr>
              <w:t>Medicines</w:t>
            </w:r>
          </w:p>
          <w:p w14:paraId="2E007B1D"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Individuals using enzyme-inducing drugs/herbal products or within 4 weeks of stopping them.</w:t>
            </w:r>
          </w:p>
          <w:p w14:paraId="637FD3BC" w14:textId="77777777" w:rsidR="00DE0B31" w:rsidRPr="005D269E"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B33954">
              <w:rPr>
                <w:rFonts w:cs="Arial"/>
              </w:rPr>
              <w:t>Interacting medicines (other than enzyme inducers) including any medicines</w:t>
            </w:r>
            <w:r w:rsidRPr="00D5563C">
              <w:rPr>
                <w:rFonts w:eastAsia="Calibri" w:cs="Arial"/>
              </w:rPr>
              <w:t xml:space="preserve"> or herbal products purchased–</w:t>
            </w:r>
            <w:r w:rsidRPr="005D269E">
              <w:rPr>
                <w:rFonts w:eastAsia="Calibri" w:cs="Arial"/>
              </w:rPr>
              <w:t xml:space="preserve"> see c</w:t>
            </w:r>
            <w:r w:rsidRPr="00570452">
              <w:rPr>
                <w:rFonts w:eastAsia="Calibri" w:cs="Arial"/>
              </w:rPr>
              <w:t xml:space="preserve">urrent British National Formulary (BNF) </w:t>
            </w:r>
            <w:hyperlink r:id="rId24" w:history="1">
              <w:r w:rsidRPr="00E66174">
                <w:rPr>
                  <w:rStyle w:val="Hyperlink"/>
                  <w:rFonts w:eastAsia="Calibri" w:cs="Arial"/>
                  <w:b/>
                  <w:bCs/>
                  <w:color w:val="1E6DFF" w:themeColor="accent1" w:themeTint="99"/>
                </w:rPr>
                <w:t>http://www.bnf.org</w:t>
              </w:r>
            </w:hyperlink>
            <w:r>
              <w:rPr>
                <w:rFonts w:eastAsia="Calibri" w:cs="Arial"/>
              </w:rPr>
              <w:t xml:space="preserve"> </w:t>
            </w:r>
            <w:r w:rsidRPr="005D269E">
              <w:rPr>
                <w:rFonts w:eastAsia="Calibri" w:cs="Arial"/>
              </w:rPr>
              <w:t xml:space="preserve">or individual product SPC </w:t>
            </w:r>
            <w:r>
              <w:fldChar w:fldCharType="begin"/>
            </w:r>
            <w:r>
              <w:instrText>HYPERLINK "http://www.medicines.org.uk"</w:instrText>
            </w:r>
            <w:r>
              <w:fldChar w:fldCharType="separate"/>
            </w:r>
            <w:r w:rsidRPr="00E66174">
              <w:rPr>
                <w:rFonts w:eastAsia="Calibri" w:cs="Arial"/>
                <w:b/>
                <w:bCs/>
                <w:color w:val="1E6DFF" w:themeColor="accent1" w:themeTint="99"/>
                <w:u w:val="single"/>
              </w:rPr>
              <w:t>http://www.medicines.org.uk</w:t>
            </w:r>
            <w:r>
              <w:fldChar w:fldCharType="end"/>
            </w:r>
            <w:r>
              <w:rPr>
                <w:rFonts w:eastAsia="Calibri" w:cs="Arial"/>
              </w:rPr>
              <w:t>.</w:t>
            </w:r>
          </w:p>
        </w:tc>
      </w:tr>
      <w:tr w:rsidR="00DE0B31" w:rsidRPr="006916F7" w14:paraId="5B268F7D" w14:textId="77777777" w:rsidTr="00DE0B31">
        <w:trPr>
          <w:trHeight w:val="269"/>
        </w:trPr>
        <w:tc>
          <w:tcPr>
            <w:tcW w:w="3403" w:type="dxa"/>
            <w:shd w:val="clear" w:color="auto" w:fill="BFBFBF" w:themeFill="text1" w:themeFillShade="BF"/>
          </w:tcPr>
          <w:p w14:paraId="7F311925" w14:textId="77777777" w:rsidR="00DE0B31" w:rsidRPr="00AF42D9" w:rsidRDefault="00DE0B31" w:rsidP="004C5C3C">
            <w:pPr>
              <w:overflowPunct w:val="0"/>
              <w:autoSpaceDE w:val="0"/>
              <w:autoSpaceDN w:val="0"/>
              <w:adjustRightInd w:val="0"/>
              <w:spacing w:before="60" w:after="60"/>
              <w:textAlignment w:val="baseline"/>
              <w:rPr>
                <w:rFonts w:cs="Arial"/>
                <w:b/>
              </w:rPr>
            </w:pPr>
            <w:r w:rsidRPr="00AF42D9">
              <w:rPr>
                <w:rFonts w:cs="Arial"/>
                <w:b/>
              </w:rPr>
              <w:lastRenderedPageBreak/>
              <w:t>Cautions including any relevant action to be taken</w:t>
            </w:r>
          </w:p>
        </w:tc>
        <w:tc>
          <w:tcPr>
            <w:tcW w:w="6945" w:type="dxa"/>
          </w:tcPr>
          <w:p w14:paraId="199E9D93" w14:textId="77777777" w:rsidR="00DE0B31" w:rsidRPr="00AF42D9"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F42D9">
              <w:rPr>
                <w:rFonts w:cs="Arial"/>
              </w:rPr>
              <w:t>If the individual is less than 16 years of age</w:t>
            </w:r>
            <w:r>
              <w:rPr>
                <w:rFonts w:cs="Arial"/>
              </w:rPr>
              <w:t>,</w:t>
            </w:r>
            <w:r w:rsidRPr="00AF42D9">
              <w:rPr>
                <w:rFonts w:cs="Arial"/>
              </w:rPr>
              <w:t xml:space="preserve"> an assessment based on </w:t>
            </w:r>
            <w:hyperlink r:id="rId25" w:anchor="skip-to-content" w:history="1">
              <w:r w:rsidRPr="0065222D">
                <w:rPr>
                  <w:rStyle w:val="Hyperlink"/>
                  <w:rFonts w:cs="Arial"/>
                  <w:b/>
                  <w:bCs/>
                  <w:color w:val="1E6DFF" w:themeColor="accent1" w:themeTint="99"/>
                </w:rPr>
                <w:t>Fraser guidelines</w:t>
              </w:r>
            </w:hyperlink>
            <w:r w:rsidRPr="00AF42D9">
              <w:rPr>
                <w:rFonts w:cs="Arial"/>
              </w:rPr>
              <w:t xml:space="preserve"> must be made and documented. </w:t>
            </w:r>
          </w:p>
          <w:p w14:paraId="750FD110" w14:textId="303B09EE" w:rsidR="00DE0B31"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F42D9">
              <w:rPr>
                <w:rFonts w:cs="Arial"/>
              </w:rPr>
              <w:t>If the individual is less than 13 years of age</w:t>
            </w:r>
            <w:r>
              <w:rPr>
                <w:rFonts w:cs="Arial"/>
              </w:rPr>
              <w:t>,</w:t>
            </w:r>
            <w:r w:rsidRPr="00AF42D9">
              <w:rPr>
                <w:rFonts w:cs="Arial"/>
              </w:rPr>
              <w:t xml:space="preserve"> the </w:t>
            </w:r>
            <w:r>
              <w:rPr>
                <w:rFonts w:cs="Arial"/>
              </w:rPr>
              <w:t>pharmacist</w:t>
            </w:r>
            <w:r w:rsidR="00DA14FE">
              <w:rPr>
                <w:rFonts w:cs="Arial"/>
              </w:rPr>
              <w:t xml:space="preserve"> or pharmacy technician</w:t>
            </w:r>
            <w:r w:rsidRPr="00AF42D9">
              <w:rPr>
                <w:rFonts w:cs="Arial"/>
              </w:rPr>
              <w:t xml:space="preserve"> should speak to </w:t>
            </w:r>
            <w:r>
              <w:rPr>
                <w:rFonts w:cs="Arial"/>
              </w:rPr>
              <w:t xml:space="preserve">the </w:t>
            </w:r>
            <w:r w:rsidRPr="00AF42D9">
              <w:rPr>
                <w:rFonts w:cs="Arial"/>
              </w:rPr>
              <w:t>local safeguarding lead and follow the local safeguarding policy.</w:t>
            </w:r>
          </w:p>
          <w:p w14:paraId="7AD449A5" w14:textId="77777777" w:rsidR="00DE0B31" w:rsidRPr="00AA6FFC" w:rsidRDefault="00DE0B31" w:rsidP="00DE0B31">
            <w:pPr>
              <w:numPr>
                <w:ilvl w:val="0"/>
                <w:numId w:val="6"/>
              </w:numPr>
              <w:overflowPunct w:val="0"/>
              <w:autoSpaceDE w:val="0"/>
              <w:autoSpaceDN w:val="0"/>
              <w:spacing w:after="0" w:line="240" w:lineRule="auto"/>
              <w:textAlignment w:val="baseline"/>
              <w:textboxTightWrap w:val="none"/>
              <w:rPr>
                <w:rFonts w:ascii="Calibri" w:hAnsi="Calibri" w:cs="Calibri"/>
              </w:rPr>
            </w:pPr>
            <w:r w:rsidRPr="00AA6FFC">
              <w:rPr>
                <w:rFonts w:cs="Arial"/>
              </w:rPr>
              <w:t xml:space="preserve">If there are reasons to believe an individual aged 16 or over lacks capacity, an assessment of capacity to consent should be conducted and recorded in their notes. Particular </w:t>
            </w:r>
            <w:r w:rsidRPr="00AA6FFC">
              <w:rPr>
                <w:rFonts w:cs="Arial"/>
              </w:rPr>
              <w:lastRenderedPageBreak/>
              <w:t>consideration should be given to any concern of sexual assault or sexual violence in vulnerable adults.</w:t>
            </w:r>
          </w:p>
          <w:p w14:paraId="3D1A4271"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F42D9">
              <w:rPr>
                <w:rFonts w:cs="Arial"/>
              </w:rPr>
              <w:t xml:space="preserve">Discuss with appropriate medical/independent non-medical prescriber any medical condition or medication of which the </w:t>
            </w:r>
            <w:r>
              <w:rPr>
                <w:rFonts w:cs="Arial"/>
              </w:rPr>
              <w:t>pharmacist</w:t>
            </w:r>
            <w:r w:rsidRPr="00AF42D9">
              <w:rPr>
                <w:rFonts w:cs="Arial"/>
              </w:rPr>
              <w:t xml:space="preserve"> is unsure or uncertain.</w:t>
            </w:r>
          </w:p>
          <w:p w14:paraId="3373BA80"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Individuals taking lamotrigine should be advised that COC may interact with lamotrigine; this could result in reduced seizure control or lamotrigine toxicity.</w:t>
            </w:r>
          </w:p>
          <w:p w14:paraId="79C684FB" w14:textId="77777777" w:rsidR="00DE0B31" w:rsidRPr="001E6C3F"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Consideration should be given to the current disease status of those with severe malabsorption syndromes, such as acute/active inflammatory bowel disease or Crohn’s disease. Although the use of COC is not contra-indicated it may be less effective and so these individuals should be advised to consider Long-Acting Reversible Contraception (LARC).</w:t>
            </w:r>
          </w:p>
          <w:p w14:paraId="4FE89222" w14:textId="77777777" w:rsidR="00DE0B31" w:rsidRPr="00C62778"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C62778">
              <w:rPr>
                <w:rFonts w:cs="Arial"/>
                <w:highlight w:val="yellow"/>
              </w:rPr>
              <w:t xml:space="preserve">Individuals should be advised that it is possible that medications that induce diarrhoea and/or vomiting (e.g. orlistat, laxatives, GLP-1 agonists) could reduce the effectiveness of COC. </w:t>
            </w:r>
          </w:p>
          <w:p w14:paraId="283B136C" w14:textId="497EE363" w:rsidR="00DE0B31" w:rsidRPr="00C62778"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C62778">
              <w:rPr>
                <w:rFonts w:cs="Arial"/>
                <w:highlight w:val="yellow"/>
              </w:rPr>
              <w:t>Individuals receiving GLP-1 agonists must use effective contraception. Note some GLP-1 agonists may reduce the effectiveness of oral contraception and additional barrier methods are recommended - refer to SmPC and</w:t>
            </w:r>
            <w:hyperlink r:id="rId26" w:history="1">
              <w:r w:rsidRPr="00BC4884">
                <w:rPr>
                  <w:rStyle w:val="Hyperlink"/>
                  <w:rFonts w:cs="Arial"/>
                  <w:highlight w:val="yellow"/>
                </w:rPr>
                <w:t xml:space="preserve"> </w:t>
              </w:r>
              <w:proofErr w:type="spellStart"/>
              <w:r w:rsidR="000D345C">
                <w:rPr>
                  <w:rStyle w:val="Hyperlink"/>
                  <w:rFonts w:cs="Arial"/>
                  <w:b/>
                  <w:bCs/>
                  <w:color w:val="1E6DFF" w:themeColor="accent1" w:themeTint="99"/>
                  <w:highlight w:val="yellow"/>
                </w:rPr>
                <w:t>Co</w:t>
              </w:r>
              <w:r w:rsidRPr="0065222D">
                <w:rPr>
                  <w:rStyle w:val="Hyperlink"/>
                  <w:rFonts w:cs="Arial"/>
                  <w:b/>
                  <w:bCs/>
                  <w:color w:val="1E6DFF" w:themeColor="accent1" w:themeTint="99"/>
                  <w:highlight w:val="yellow"/>
                </w:rPr>
                <w:t>SRH</w:t>
              </w:r>
              <w:proofErr w:type="spellEnd"/>
              <w:r w:rsidRPr="0065222D">
                <w:rPr>
                  <w:rStyle w:val="Hyperlink"/>
                  <w:rFonts w:cs="Arial"/>
                  <w:b/>
                  <w:bCs/>
                  <w:color w:val="1E6DFF" w:themeColor="accent1" w:themeTint="99"/>
                  <w:highlight w:val="yellow"/>
                </w:rPr>
                <w:t xml:space="preserve"> advice</w:t>
              </w:r>
            </w:hyperlink>
            <w:r w:rsidRPr="00C62778">
              <w:rPr>
                <w:rFonts w:cs="Arial"/>
                <w:highlight w:val="yellow"/>
              </w:rPr>
              <w:t xml:space="preserve"> regarding GLP 1 agonists and contraception. Provide </w:t>
            </w:r>
            <w:hyperlink r:id="rId27" w:history="1">
              <w:proofErr w:type="spellStart"/>
              <w:r w:rsidR="003D51D0">
                <w:rPr>
                  <w:rStyle w:val="Hyperlink"/>
                  <w:rFonts w:cs="Arial"/>
                  <w:b/>
                  <w:bCs/>
                  <w:color w:val="1E6DFF" w:themeColor="accent1" w:themeTint="99"/>
                  <w:highlight w:val="yellow"/>
                </w:rPr>
                <w:t>Co</w:t>
              </w:r>
              <w:r w:rsidRPr="0065222D">
                <w:rPr>
                  <w:rStyle w:val="Hyperlink"/>
                  <w:rFonts w:cs="Arial"/>
                  <w:b/>
                  <w:bCs/>
                  <w:color w:val="1E6DFF" w:themeColor="accent1" w:themeTint="99"/>
                  <w:highlight w:val="yellow"/>
                </w:rPr>
                <w:t>SRH</w:t>
              </w:r>
              <w:proofErr w:type="spellEnd"/>
              <w:r w:rsidRPr="0065222D">
                <w:rPr>
                  <w:rStyle w:val="Hyperlink"/>
                  <w:rFonts w:cs="Arial"/>
                  <w:b/>
                  <w:bCs/>
                  <w:color w:val="1E6DFF" w:themeColor="accent1" w:themeTint="99"/>
                  <w:highlight w:val="yellow"/>
                </w:rPr>
                <w:t xml:space="preserve"> patient information leaflet (PIL).</w:t>
              </w:r>
            </w:hyperlink>
          </w:p>
          <w:p w14:paraId="7D64CD61" w14:textId="77777777" w:rsidR="00DE0B31" w:rsidRPr="00D5563C"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b/>
                <w:szCs w:val="20"/>
              </w:rPr>
            </w:pPr>
            <w:r w:rsidRPr="00D5563C">
              <w:rPr>
                <w:rFonts w:cs="Arial"/>
                <w:b/>
                <w:szCs w:val="20"/>
              </w:rPr>
              <w:t>The option of LARC should be discussed with all individuals, in particular those with medical conditions for whom pregnancy presents an unacceptable risk and those on a pregnancy prevention plan. If this option is accepted, individuals should be signposted to where they can access LARC.</w:t>
            </w:r>
          </w:p>
          <w:p w14:paraId="1F27F674" w14:textId="4D8FCF2A" w:rsidR="00DE0B31" w:rsidRPr="006916F7"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szCs w:val="20"/>
              </w:rPr>
            </w:pPr>
            <w:r w:rsidRPr="006916F7">
              <w:rPr>
                <w:rFonts w:cs="Arial"/>
                <w:b/>
              </w:rPr>
              <w:t>If an individual is known to be taking a medication which is known to be harmful to pregnancy,</w:t>
            </w:r>
            <w:r w:rsidRPr="009A4140">
              <w:rPr>
                <w:rFonts w:cs="Arial"/>
                <w:b/>
              </w:rPr>
              <w:t xml:space="preserve"> a highly effective form of contraception is recommended.  Highly effective methods include the LARC methods: </w:t>
            </w:r>
            <w:r>
              <w:rPr>
                <w:rFonts w:cs="Arial"/>
                <w:b/>
              </w:rPr>
              <w:t>intrauterine device</w:t>
            </w:r>
            <w:r w:rsidRPr="009A4140">
              <w:rPr>
                <w:rFonts w:cs="Arial"/>
                <w:b/>
              </w:rPr>
              <w:t xml:space="preserve">, </w:t>
            </w:r>
            <w:r>
              <w:rPr>
                <w:rFonts w:cs="Arial"/>
                <w:b/>
              </w:rPr>
              <w:t>intrauterine system</w:t>
            </w:r>
            <w:r w:rsidRPr="009A4140">
              <w:rPr>
                <w:rFonts w:cs="Arial"/>
                <w:b/>
              </w:rPr>
              <w:t xml:space="preserve"> and implant.  If a LARC method is unacceptable/unsuitable </w:t>
            </w:r>
            <w:r w:rsidRPr="00801D79">
              <w:rPr>
                <w:rFonts w:cs="Arial"/>
                <w:b/>
              </w:rPr>
              <w:t xml:space="preserve">and a COC is chosen, then an additional barrier method of contraception is advised. See </w:t>
            </w:r>
            <w:hyperlink r:id="rId28" w:history="1">
              <w:proofErr w:type="spellStart"/>
              <w:r w:rsidR="003D51D0">
                <w:rPr>
                  <w:rStyle w:val="Hyperlink"/>
                  <w:rFonts w:cs="Arial"/>
                  <w:b/>
                  <w:bCs/>
                  <w:color w:val="1E6DFF" w:themeColor="accent1" w:themeTint="99"/>
                </w:rPr>
                <w:t>Co</w:t>
              </w:r>
              <w:r w:rsidRPr="00E66174">
                <w:rPr>
                  <w:rStyle w:val="Hyperlink"/>
                  <w:rFonts w:cs="Arial"/>
                  <w:b/>
                  <w:bCs/>
                  <w:color w:val="1E6DFF" w:themeColor="accent1" w:themeTint="99"/>
                </w:rPr>
                <w:t>SRH</w:t>
              </w:r>
              <w:proofErr w:type="spellEnd"/>
              <w:r w:rsidRPr="00E66174">
                <w:rPr>
                  <w:rStyle w:val="Hyperlink"/>
                  <w:rFonts w:cs="Arial"/>
                  <w:b/>
                  <w:bCs/>
                  <w:color w:val="1E6DFF" w:themeColor="accent1" w:themeTint="99"/>
                </w:rPr>
                <w:t xml:space="preserve"> advice</w:t>
              </w:r>
            </w:hyperlink>
            <w:r w:rsidRPr="006916F7">
              <w:rPr>
                <w:rFonts w:cs="Arial"/>
                <w:b/>
              </w:rPr>
              <w:t>.</w:t>
            </w:r>
          </w:p>
        </w:tc>
      </w:tr>
      <w:tr w:rsidR="00DE0B31" w:rsidRPr="00AF42D9" w14:paraId="5320A95D" w14:textId="77777777" w:rsidTr="00DE0B31">
        <w:trPr>
          <w:trHeight w:val="841"/>
        </w:trPr>
        <w:tc>
          <w:tcPr>
            <w:tcW w:w="3403" w:type="dxa"/>
            <w:shd w:val="clear" w:color="auto" w:fill="BFBFBF" w:themeFill="text1" w:themeFillShade="BF"/>
          </w:tcPr>
          <w:p w14:paraId="715B95F5" w14:textId="77777777" w:rsidR="00DE0B31" w:rsidRPr="00AF42D9" w:rsidRDefault="00DE0B31" w:rsidP="004C5C3C">
            <w:pPr>
              <w:overflowPunct w:val="0"/>
              <w:autoSpaceDE w:val="0"/>
              <w:autoSpaceDN w:val="0"/>
              <w:adjustRightInd w:val="0"/>
              <w:spacing w:before="60" w:after="60"/>
              <w:textAlignment w:val="baseline"/>
              <w:rPr>
                <w:rFonts w:cs="Arial"/>
              </w:rPr>
            </w:pPr>
            <w:r w:rsidRPr="00AF42D9">
              <w:rPr>
                <w:rFonts w:cs="Arial"/>
                <w:b/>
              </w:rPr>
              <w:lastRenderedPageBreak/>
              <w:t xml:space="preserve">Action to be taken if the individual is excluded or declines treatment </w:t>
            </w:r>
          </w:p>
        </w:tc>
        <w:tc>
          <w:tcPr>
            <w:tcW w:w="6945" w:type="dxa"/>
          </w:tcPr>
          <w:p w14:paraId="6194D941"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Explain the reasons for exclusion to the individual and document in the </w:t>
            </w:r>
            <w:r>
              <w:rPr>
                <w:rFonts w:cs="Arial"/>
              </w:rPr>
              <w:t>clinical</w:t>
            </w:r>
            <w:r w:rsidRPr="00B33954">
              <w:rPr>
                <w:rFonts w:cs="Arial"/>
              </w:rPr>
              <w:t xml:space="preserve"> record.</w:t>
            </w:r>
          </w:p>
          <w:p w14:paraId="265F7931" w14:textId="77777777" w:rsidR="00DE0B31" w:rsidRPr="00B33954"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t xml:space="preserve">Record reason for declining treatment in the </w:t>
            </w:r>
            <w:r>
              <w:rPr>
                <w:rFonts w:cs="Arial"/>
              </w:rPr>
              <w:t>clinical</w:t>
            </w:r>
            <w:r w:rsidRPr="00B33954">
              <w:rPr>
                <w:rFonts w:cs="Arial"/>
              </w:rPr>
              <w:t xml:space="preserve"> record.</w:t>
            </w:r>
          </w:p>
          <w:p w14:paraId="37B919D4" w14:textId="77777777" w:rsidR="00DE0B31" w:rsidRPr="00AF42D9" w:rsidRDefault="00DE0B31" w:rsidP="00DE0B31">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B33954">
              <w:rPr>
                <w:rFonts w:cs="Arial"/>
              </w:rPr>
              <w:lastRenderedPageBreak/>
              <w:t>Where required, refer the individual to a suitable health service provider</w:t>
            </w:r>
            <w:r>
              <w:rPr>
                <w:rFonts w:eastAsia="Calibri" w:cs="Arial"/>
              </w:rPr>
              <w:t>,</w:t>
            </w:r>
            <w:r w:rsidRPr="00AF42D9">
              <w:rPr>
                <w:rFonts w:eastAsia="Calibri" w:cs="Arial"/>
              </w:rPr>
              <w:t xml:space="preserve"> if appropriate</w:t>
            </w:r>
            <w:r>
              <w:rPr>
                <w:rFonts w:eastAsia="Calibri" w:cs="Arial"/>
              </w:rPr>
              <w:t>,</w:t>
            </w:r>
            <w:r w:rsidRPr="00AF42D9">
              <w:rPr>
                <w:rFonts w:eastAsia="Calibri" w:cs="Arial"/>
              </w:rPr>
              <w:t xml:space="preserve"> and/or provide them with information about further options.</w:t>
            </w:r>
          </w:p>
        </w:tc>
      </w:tr>
    </w:tbl>
    <w:p w14:paraId="2BDA7AD7" w14:textId="77777777" w:rsidR="00C03D72" w:rsidRPr="00C03D72" w:rsidRDefault="00C03D72" w:rsidP="00C03D72"/>
    <w:p w14:paraId="6B930B98" w14:textId="77777777" w:rsidR="000B3541" w:rsidRDefault="000B3541" w:rsidP="000B3541">
      <w:pPr>
        <w:pStyle w:val="h2numbered"/>
      </w:pPr>
      <w:r w:rsidRPr="00D10926">
        <w:t>Description of treatment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945"/>
      </w:tblGrid>
      <w:tr w:rsidR="0080528C" w:rsidRPr="00AF42D9" w14:paraId="0600D4E3" w14:textId="77777777" w:rsidTr="0080528C">
        <w:tc>
          <w:tcPr>
            <w:tcW w:w="3403" w:type="dxa"/>
            <w:shd w:val="clear" w:color="auto" w:fill="BFBFBF" w:themeFill="text1" w:themeFillShade="BF"/>
          </w:tcPr>
          <w:p w14:paraId="4C5F4296"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Name, strength &amp; formulation of drug</w:t>
            </w:r>
          </w:p>
        </w:tc>
        <w:tc>
          <w:tcPr>
            <w:tcW w:w="6945" w:type="dxa"/>
            <w:tcBorders>
              <w:top w:val="single" w:sz="4" w:space="0" w:color="auto"/>
              <w:left w:val="single" w:sz="4" w:space="0" w:color="auto"/>
              <w:bottom w:val="single" w:sz="4" w:space="0" w:color="auto"/>
              <w:right w:val="single" w:sz="4" w:space="0" w:color="auto"/>
            </w:tcBorders>
          </w:tcPr>
          <w:p w14:paraId="7D8A57D8" w14:textId="77777777" w:rsidR="0080528C" w:rsidRPr="00B371C3" w:rsidRDefault="0080528C" w:rsidP="0080528C">
            <w:pPr>
              <w:numPr>
                <w:ilvl w:val="0"/>
                <w:numId w:val="10"/>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 xml:space="preserve">See </w:t>
            </w:r>
            <w:hyperlink w:anchor="AppendixB" w:history="1">
              <w:r w:rsidRPr="00B96947">
                <w:rPr>
                  <w:rStyle w:val="Hyperlink"/>
                  <w:b/>
                  <w:bCs/>
                  <w:color w:val="1E6DFF" w:themeColor="accent1" w:themeTint="99"/>
                </w:rPr>
                <w:t>Appendix B</w:t>
              </w:r>
            </w:hyperlink>
            <w:r w:rsidRPr="00B96947">
              <w:rPr>
                <w:rFonts w:cs="Arial"/>
                <w:b/>
                <w:bCs/>
                <w:color w:val="1E6DFF" w:themeColor="accent1" w:themeTint="99"/>
              </w:rPr>
              <w:t>.</w:t>
            </w:r>
          </w:p>
          <w:p w14:paraId="3F58F420" w14:textId="77777777" w:rsidR="0080528C" w:rsidRPr="00B371C3" w:rsidRDefault="0080528C" w:rsidP="0080528C">
            <w:pPr>
              <w:numPr>
                <w:ilvl w:val="0"/>
                <w:numId w:val="10"/>
              </w:numPr>
              <w:overflowPunct w:val="0"/>
              <w:autoSpaceDE w:val="0"/>
              <w:autoSpaceDN w:val="0"/>
              <w:adjustRightInd w:val="0"/>
              <w:spacing w:after="160" w:line="278" w:lineRule="auto"/>
              <w:contextualSpacing/>
              <w:textAlignment w:val="baseline"/>
              <w:textboxTightWrap w:val="none"/>
              <w:rPr>
                <w:rFonts w:cs="Arial"/>
              </w:rPr>
            </w:pPr>
            <w:r w:rsidRPr="00B371C3">
              <w:rPr>
                <w:rFonts w:cs="Arial"/>
              </w:rPr>
              <w:t xml:space="preserve">This PGD does not restrict which brands can be supplied – local formularies/restrictions should be referred to. </w:t>
            </w:r>
            <w:r w:rsidRPr="002B3C03">
              <w:rPr>
                <w:rFonts w:cs="Arial"/>
              </w:rPr>
              <w:t>Please refer to your local integrated care board (ICB) formulary for further information</w:t>
            </w:r>
            <w:r w:rsidRPr="00B371C3">
              <w:rPr>
                <w:rFonts w:cs="Arial"/>
              </w:rPr>
              <w:t>.</w:t>
            </w:r>
          </w:p>
          <w:p w14:paraId="529A56CD" w14:textId="247E183B" w:rsidR="0080528C" w:rsidRPr="00B371C3" w:rsidRDefault="0080528C" w:rsidP="0080528C">
            <w:pPr>
              <w:numPr>
                <w:ilvl w:val="0"/>
                <w:numId w:val="10"/>
              </w:numPr>
              <w:overflowPunct w:val="0"/>
              <w:autoSpaceDE w:val="0"/>
              <w:autoSpaceDN w:val="0"/>
              <w:adjustRightInd w:val="0"/>
              <w:spacing w:before="60" w:after="160" w:line="278" w:lineRule="auto"/>
              <w:contextualSpacing/>
              <w:textAlignment w:val="baseline"/>
              <w:textboxTightWrap w:val="none"/>
              <w:rPr>
                <w:rFonts w:cs="Arial"/>
                <w:u w:val="single"/>
              </w:rPr>
            </w:pPr>
            <w:r w:rsidRPr="000274B9">
              <w:rPr>
                <w:rFonts w:cs="Arial"/>
                <w:highlight w:val="yellow"/>
              </w:rPr>
              <w:t xml:space="preserve">See </w:t>
            </w:r>
            <w:hyperlink r:id="rId29" w:history="1">
              <w:r w:rsidRPr="000274B9">
                <w:rPr>
                  <w:rStyle w:val="Hyperlink"/>
                  <w:rFonts w:cs="Arial"/>
                  <w:b/>
                  <w:bCs/>
                  <w:color w:val="1E6DFF" w:themeColor="accent1" w:themeTint="99"/>
                  <w:highlight w:val="yellow"/>
                </w:rPr>
                <w:t>http://www.mhra.gov.uk/spc-pil/</w:t>
              </w:r>
            </w:hyperlink>
            <w:r w:rsidRPr="000274B9">
              <w:rPr>
                <w:rFonts w:cs="Arial"/>
                <w:highlight w:val="yellow"/>
              </w:rPr>
              <w:t xml:space="preserve">  or </w:t>
            </w:r>
            <w:hyperlink r:id="rId30" w:history="1">
              <w:r w:rsidR="00DC55F9" w:rsidRPr="000274B9">
                <w:rPr>
                  <w:rFonts w:eastAsia="Calibri" w:cs="Arial"/>
                  <w:b/>
                  <w:bCs/>
                  <w:color w:val="1E6DFF" w:themeColor="accent1" w:themeTint="99"/>
                  <w:highlight w:val="yellow"/>
                  <w:u w:val="single"/>
                </w:rPr>
                <w:t>http://www.medic</w:t>
              </w:r>
              <w:r w:rsidR="00DC55F9" w:rsidRPr="000274B9">
                <w:rPr>
                  <w:rFonts w:eastAsia="Calibri" w:cs="Arial"/>
                  <w:b/>
                  <w:bCs/>
                  <w:color w:val="1E6DFF" w:themeColor="accent1" w:themeTint="99"/>
                  <w:highlight w:val="yellow"/>
                  <w:u w:val="single"/>
                </w:rPr>
                <w:t>ines.org.uk</w:t>
              </w:r>
            </w:hyperlink>
            <w:r w:rsidRPr="000274B9">
              <w:rPr>
                <w:rFonts w:cs="Arial"/>
                <w:color w:val="1E6DFF" w:themeColor="accent1" w:themeTint="99"/>
                <w:highlight w:val="yellow"/>
              </w:rPr>
              <w:t xml:space="preserve"> </w:t>
            </w:r>
            <w:r w:rsidRPr="000274B9">
              <w:rPr>
                <w:rFonts w:cs="Arial"/>
                <w:highlight w:val="yellow"/>
              </w:rPr>
              <w:t xml:space="preserve">for </w:t>
            </w:r>
            <w:r w:rsidRPr="00B05C61">
              <w:rPr>
                <w:rFonts w:cs="Arial"/>
                <w:highlight w:val="yellow"/>
              </w:rPr>
              <w:t>further information and further brand information including full details of adverse effects and interactions.</w:t>
            </w:r>
            <w:r w:rsidRPr="00B371C3" w:rsidDel="00B371C3">
              <w:rPr>
                <w:rFonts w:cs="Arial"/>
              </w:rPr>
              <w:t xml:space="preserve"> </w:t>
            </w:r>
            <w:r w:rsidRPr="3C164792">
              <w:rPr>
                <w:rFonts w:cs="Arial"/>
              </w:rPr>
              <w:t xml:space="preserve">COC containing ≤30micrograms </w:t>
            </w:r>
            <w:proofErr w:type="spellStart"/>
            <w:r w:rsidRPr="3C164792">
              <w:rPr>
                <w:rFonts w:cs="Arial"/>
              </w:rPr>
              <w:t>ethinylestradiol</w:t>
            </w:r>
            <w:proofErr w:type="spellEnd"/>
            <w:r w:rsidRPr="3C164792">
              <w:rPr>
                <w:rFonts w:cs="Arial"/>
              </w:rPr>
              <w:t xml:space="preserve"> in combination with levonorgestrel or norethisterone is a reasonable first-line choice of COC to minimise cardiovascular risk.</w:t>
            </w:r>
          </w:p>
        </w:tc>
      </w:tr>
      <w:tr w:rsidR="0080528C" w:rsidRPr="00AF42D9" w14:paraId="520EE988" w14:textId="77777777" w:rsidTr="0080528C">
        <w:tc>
          <w:tcPr>
            <w:tcW w:w="3403" w:type="dxa"/>
            <w:shd w:val="clear" w:color="auto" w:fill="BFBFBF" w:themeFill="text1" w:themeFillShade="BF"/>
          </w:tcPr>
          <w:p w14:paraId="68F3B6D8"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Legal category</w:t>
            </w:r>
          </w:p>
        </w:tc>
        <w:tc>
          <w:tcPr>
            <w:tcW w:w="6945" w:type="dxa"/>
          </w:tcPr>
          <w:p w14:paraId="68BA6704" w14:textId="77777777" w:rsidR="0080528C" w:rsidRPr="00AF42D9" w:rsidRDefault="0080528C" w:rsidP="004C5C3C">
            <w:pPr>
              <w:overflowPunct w:val="0"/>
              <w:autoSpaceDE w:val="0"/>
              <w:autoSpaceDN w:val="0"/>
              <w:adjustRightInd w:val="0"/>
              <w:textAlignment w:val="baseline"/>
              <w:rPr>
                <w:rFonts w:cs="Arial"/>
              </w:rPr>
            </w:pPr>
            <w:r w:rsidRPr="00AF42D9">
              <w:rPr>
                <w:rFonts w:cs="Arial"/>
              </w:rPr>
              <w:t>POM</w:t>
            </w:r>
          </w:p>
        </w:tc>
      </w:tr>
      <w:tr w:rsidR="0080528C" w:rsidRPr="00AF42D9" w14:paraId="38AA297B" w14:textId="77777777" w:rsidTr="0080528C">
        <w:tc>
          <w:tcPr>
            <w:tcW w:w="3403" w:type="dxa"/>
            <w:shd w:val="clear" w:color="auto" w:fill="BFBFBF" w:themeFill="text1" w:themeFillShade="BF"/>
          </w:tcPr>
          <w:p w14:paraId="2121E185"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Route of administration</w:t>
            </w:r>
          </w:p>
        </w:tc>
        <w:tc>
          <w:tcPr>
            <w:tcW w:w="6945" w:type="dxa"/>
          </w:tcPr>
          <w:p w14:paraId="2BD5805D" w14:textId="77777777" w:rsidR="0080528C" w:rsidRPr="00AF42D9" w:rsidRDefault="0080528C" w:rsidP="004C5C3C">
            <w:pPr>
              <w:overflowPunct w:val="0"/>
              <w:autoSpaceDE w:val="0"/>
              <w:autoSpaceDN w:val="0"/>
              <w:adjustRightInd w:val="0"/>
              <w:textAlignment w:val="baseline"/>
              <w:rPr>
                <w:rFonts w:cs="Arial"/>
                <w:spacing w:val="-2"/>
              </w:rPr>
            </w:pPr>
            <w:r w:rsidRPr="00AF42D9">
              <w:rPr>
                <w:rFonts w:cs="Arial"/>
                <w:spacing w:val="-2"/>
              </w:rPr>
              <w:t>Oral</w:t>
            </w:r>
          </w:p>
        </w:tc>
      </w:tr>
      <w:tr w:rsidR="0080528C" w:rsidRPr="00AF42D9" w14:paraId="335BCF85" w14:textId="77777777" w:rsidTr="0080528C">
        <w:tc>
          <w:tcPr>
            <w:tcW w:w="3403" w:type="dxa"/>
            <w:shd w:val="clear" w:color="auto" w:fill="BFBFBF" w:themeFill="text1" w:themeFillShade="BF"/>
          </w:tcPr>
          <w:p w14:paraId="73062846" w14:textId="77777777" w:rsidR="0080528C" w:rsidRPr="00AF42D9" w:rsidRDefault="0080528C" w:rsidP="004C5C3C">
            <w:pPr>
              <w:overflowPunct w:val="0"/>
              <w:autoSpaceDE w:val="0"/>
              <w:autoSpaceDN w:val="0"/>
              <w:adjustRightInd w:val="0"/>
              <w:spacing w:before="60" w:after="60"/>
              <w:contextualSpacing/>
              <w:textAlignment w:val="baseline"/>
              <w:rPr>
                <w:rFonts w:cs="Arial"/>
                <w:b/>
              </w:rPr>
            </w:pPr>
            <w:r w:rsidRPr="00AF42D9">
              <w:rPr>
                <w:rFonts w:cs="Arial"/>
                <w:b/>
              </w:rPr>
              <w:t>Off label use</w:t>
            </w:r>
          </w:p>
        </w:tc>
        <w:tc>
          <w:tcPr>
            <w:tcW w:w="6945" w:type="dxa"/>
          </w:tcPr>
          <w:p w14:paraId="4E440867" w14:textId="340219B5" w:rsidR="0080528C" w:rsidRPr="00AF42D9" w:rsidRDefault="0080528C" w:rsidP="004C5C3C">
            <w:pPr>
              <w:overflowPunct w:val="0"/>
              <w:autoSpaceDE w:val="0"/>
              <w:autoSpaceDN w:val="0"/>
              <w:adjustRightInd w:val="0"/>
              <w:textAlignment w:val="baseline"/>
              <w:rPr>
                <w:rFonts w:eastAsia="Calibri" w:cs="Arial"/>
              </w:rPr>
            </w:pPr>
            <w:r w:rsidRPr="00AF42D9">
              <w:rPr>
                <w:rFonts w:eastAsia="Calibri" w:cs="Arial"/>
              </w:rPr>
              <w:t xml:space="preserve">Best practice advice is given by the </w:t>
            </w:r>
            <w:proofErr w:type="spellStart"/>
            <w:r w:rsidR="00DB2755">
              <w:rPr>
                <w:rFonts w:eastAsia="Calibri" w:cs="Arial"/>
              </w:rPr>
              <w:t>Co</w:t>
            </w:r>
            <w:r w:rsidRPr="00AF42D9">
              <w:rPr>
                <w:rFonts w:eastAsia="Calibri" w:cs="Arial"/>
              </w:rPr>
              <w:t>SRH</w:t>
            </w:r>
            <w:proofErr w:type="spellEnd"/>
            <w:r w:rsidRPr="00AF42D9">
              <w:rPr>
                <w:rFonts w:eastAsia="Calibri" w:cs="Arial"/>
              </w:rPr>
              <w:t xml:space="preserve"> and is used for guidance in this PGD and may vary from the </w:t>
            </w:r>
            <w:r>
              <w:rPr>
                <w:rFonts w:eastAsia="Calibri" w:cs="Arial"/>
              </w:rPr>
              <w:t>SPC.</w:t>
            </w:r>
            <w:r w:rsidRPr="00AF42D9">
              <w:rPr>
                <w:rFonts w:eastAsia="Calibri" w:cs="Arial"/>
              </w:rPr>
              <w:t xml:space="preserve"> </w:t>
            </w:r>
          </w:p>
          <w:p w14:paraId="230344BE" w14:textId="00B8BA32" w:rsidR="0080528C" w:rsidRDefault="0080528C" w:rsidP="004C5C3C">
            <w:pPr>
              <w:overflowPunct w:val="0"/>
              <w:autoSpaceDE w:val="0"/>
              <w:autoSpaceDN w:val="0"/>
              <w:adjustRightInd w:val="0"/>
              <w:textAlignment w:val="baseline"/>
              <w:rPr>
                <w:rFonts w:eastAsia="Calibri" w:cs="Arial"/>
              </w:rPr>
            </w:pPr>
            <w:r w:rsidRPr="00AF42D9">
              <w:rPr>
                <w:rFonts w:eastAsia="Calibri" w:cs="Arial"/>
              </w:rPr>
              <w:t>This PGD includes inclusion criteria, exclusion criteria and dosage regimen which are outside the market authorisation for many of the available products</w:t>
            </w:r>
            <w:r>
              <w:rPr>
                <w:rFonts w:eastAsia="Calibri" w:cs="Arial"/>
              </w:rPr>
              <w:t>,</w:t>
            </w:r>
            <w:r w:rsidRPr="00AF42D9">
              <w:rPr>
                <w:rFonts w:eastAsia="Calibri" w:cs="Arial"/>
              </w:rPr>
              <w:t xml:space="preserve"> but which are included within </w:t>
            </w:r>
            <w:proofErr w:type="spellStart"/>
            <w:r w:rsidR="00DB2755">
              <w:rPr>
                <w:rFonts w:eastAsia="Calibri" w:cs="Arial"/>
              </w:rPr>
              <w:t>Co</w:t>
            </w:r>
            <w:r w:rsidRPr="00AF42D9">
              <w:rPr>
                <w:rFonts w:eastAsia="Calibri" w:cs="Arial"/>
              </w:rPr>
              <w:t>SRH</w:t>
            </w:r>
            <w:proofErr w:type="spellEnd"/>
            <w:r w:rsidRPr="00AF42D9">
              <w:rPr>
                <w:rFonts w:eastAsia="Calibri" w:cs="Arial"/>
              </w:rPr>
              <w:t xml:space="preserve"> guidance.  Specifically</w:t>
            </w:r>
            <w:r>
              <w:rPr>
                <w:rFonts w:eastAsia="Calibri" w:cs="Arial"/>
              </w:rPr>
              <w:t>:</w:t>
            </w:r>
          </w:p>
          <w:p w14:paraId="4F70E106" w14:textId="69B54CC9" w:rsidR="0080528C" w:rsidRPr="00A0765F" w:rsidRDefault="0080528C" w:rsidP="0080528C">
            <w:pPr>
              <w:numPr>
                <w:ilvl w:val="0"/>
                <w:numId w:val="11"/>
              </w:numPr>
              <w:overflowPunct w:val="0"/>
              <w:autoSpaceDE w:val="0"/>
              <w:autoSpaceDN w:val="0"/>
              <w:adjustRightInd w:val="0"/>
              <w:spacing w:after="160" w:line="278" w:lineRule="auto"/>
              <w:textAlignment w:val="baseline"/>
              <w:textboxTightWrap w:val="none"/>
              <w:rPr>
                <w:rFonts w:eastAsia="Calibri" w:cs="Arial"/>
              </w:rPr>
            </w:pPr>
            <w:r w:rsidRPr="00B33954">
              <w:rPr>
                <w:rFonts w:cs="Arial"/>
              </w:rPr>
              <w:t xml:space="preserve">the use of tailored COC regimen is outside the manufacturer’s licence but is supported by the </w:t>
            </w:r>
            <w:proofErr w:type="spellStart"/>
            <w:r w:rsidR="00DB2755">
              <w:rPr>
                <w:rFonts w:cs="Arial"/>
              </w:rPr>
              <w:t>Co</w:t>
            </w:r>
            <w:r w:rsidRPr="00B33954">
              <w:rPr>
                <w:rFonts w:cs="Arial"/>
              </w:rPr>
              <w:t>SRH</w:t>
            </w:r>
            <w:proofErr w:type="spellEnd"/>
            <w:r w:rsidRPr="00B33954">
              <w:rPr>
                <w:rFonts w:cs="Arial"/>
              </w:rPr>
              <w:t>. The regimen</w:t>
            </w:r>
            <w:r w:rsidRPr="00AF42D9">
              <w:rPr>
                <w:rFonts w:eastAsia="Calibri" w:cs="Arial"/>
              </w:rPr>
              <w:t xml:space="preserve"> detailed within this PGD are permitted under this PGD. </w:t>
            </w:r>
          </w:p>
          <w:p w14:paraId="38757F44" w14:textId="77777777" w:rsidR="0080528C" w:rsidRPr="00AF42D9" w:rsidRDefault="0080528C" w:rsidP="004C5C3C">
            <w:pPr>
              <w:overflowPunct w:val="0"/>
              <w:autoSpaceDE w:val="0"/>
              <w:autoSpaceDN w:val="0"/>
              <w:adjustRightInd w:val="0"/>
              <w:textAlignment w:val="baseline"/>
              <w:rPr>
                <w:rFonts w:eastAsia="Calibri" w:cs="Arial"/>
              </w:rPr>
            </w:pPr>
            <w:r w:rsidRPr="00AF42D9">
              <w:rPr>
                <w:rFonts w:eastAsia="Calibri" w:cs="Arial"/>
              </w:rPr>
              <w:t xml:space="preserve">Medicines should be stored according to the conditions detailed in </w:t>
            </w:r>
            <w:r w:rsidRPr="00D5563C">
              <w:rPr>
                <w:rFonts w:eastAsia="Calibri" w:cs="Arial"/>
              </w:rPr>
              <w:t>the manufacturers’ guidance. However, in the event of an inadvertent or unavoidable deviation of these</w:t>
            </w:r>
            <w:r w:rsidRPr="00AF42D9">
              <w:rPr>
                <w:rFonts w:eastAsia="Calibri" w:cs="Arial"/>
              </w:rPr>
              <w:t xml:space="preserve"> conditions the </w:t>
            </w:r>
            <w:r>
              <w:rPr>
                <w:rFonts w:eastAsia="Calibri" w:cs="Arial"/>
              </w:rPr>
              <w:t>Responsible P</w:t>
            </w:r>
            <w:r w:rsidRPr="00AF42D9">
              <w:rPr>
                <w:rFonts w:eastAsia="Calibri" w:cs="Arial"/>
              </w:rPr>
              <w:t>harmac</w:t>
            </w:r>
            <w:r>
              <w:rPr>
                <w:rFonts w:eastAsia="Calibri" w:cs="Arial"/>
              </w:rPr>
              <w:t>ist</w:t>
            </w:r>
            <w:r w:rsidRPr="00AF42D9">
              <w:rPr>
                <w:rFonts w:eastAsia="Calibri" w:cs="Arial"/>
              </w:rPr>
              <w:t xml:space="preserve"> must be consulted. Where medicines have been assessed by</w:t>
            </w:r>
            <w:r>
              <w:rPr>
                <w:rFonts w:eastAsia="Calibri" w:cs="Arial"/>
              </w:rPr>
              <w:t xml:space="preserve"> a</w:t>
            </w:r>
            <w:r w:rsidRPr="00AF42D9">
              <w:rPr>
                <w:rFonts w:eastAsia="Calibri" w:cs="Arial"/>
              </w:rPr>
              <w:t xml:space="preserve"> </w:t>
            </w:r>
            <w:r>
              <w:rPr>
                <w:rFonts w:eastAsia="Calibri" w:cs="Arial"/>
              </w:rPr>
              <w:t>Responsible P</w:t>
            </w:r>
            <w:r w:rsidRPr="00AF42D9">
              <w:rPr>
                <w:rFonts w:eastAsia="Calibri" w:cs="Arial"/>
              </w:rPr>
              <w:t>harmac</w:t>
            </w:r>
            <w:r>
              <w:rPr>
                <w:rFonts w:eastAsia="Calibri" w:cs="Arial"/>
              </w:rPr>
              <w:t>ist,</w:t>
            </w:r>
            <w:r w:rsidRPr="00AF42D9">
              <w:rPr>
                <w:rFonts w:eastAsia="Calibri" w:cs="Arial"/>
              </w:rPr>
              <w:t xml:space="preserve"> in accordance with national or specific product </w:t>
            </w:r>
            <w:r w:rsidRPr="00AF42D9">
              <w:rPr>
                <w:rFonts w:eastAsia="Calibri" w:cs="Arial"/>
              </w:rPr>
              <w:lastRenderedPageBreak/>
              <w:t>recommendations</w:t>
            </w:r>
            <w:r>
              <w:rPr>
                <w:rFonts w:eastAsia="Calibri" w:cs="Arial"/>
              </w:rPr>
              <w:t>,</w:t>
            </w:r>
            <w:r w:rsidRPr="00AF42D9">
              <w:rPr>
                <w:rFonts w:eastAsia="Calibri" w:cs="Arial"/>
              </w:rPr>
              <w:t xml:space="preserve"> as appropriate for continued use</w:t>
            </w:r>
            <w:r>
              <w:rPr>
                <w:rFonts w:eastAsia="Calibri" w:cs="Arial"/>
              </w:rPr>
              <w:t>,</w:t>
            </w:r>
            <w:r w:rsidRPr="00AF42D9">
              <w:rPr>
                <w:rFonts w:eastAsia="Calibri" w:cs="Arial"/>
              </w:rPr>
              <w:t xml:space="preserve"> this would constitute off-label administration under this PGD. The responsibility for the decision to release the affected medicines for use lies with </w:t>
            </w:r>
            <w:r>
              <w:rPr>
                <w:rFonts w:eastAsia="Calibri" w:cs="Arial"/>
              </w:rPr>
              <w:t>the Responsible P</w:t>
            </w:r>
            <w:r w:rsidRPr="00AF42D9">
              <w:rPr>
                <w:rFonts w:eastAsia="Calibri" w:cs="Arial"/>
              </w:rPr>
              <w:t>harmac</w:t>
            </w:r>
            <w:r>
              <w:rPr>
                <w:rFonts w:eastAsia="Calibri" w:cs="Arial"/>
              </w:rPr>
              <w:t>ist</w:t>
            </w:r>
            <w:r w:rsidRPr="00AF42D9">
              <w:rPr>
                <w:rFonts w:eastAsia="Calibri" w:cs="Arial"/>
              </w:rPr>
              <w:t>.</w:t>
            </w:r>
          </w:p>
          <w:p w14:paraId="0EA0369D" w14:textId="77777777" w:rsidR="0080528C" w:rsidRPr="00AF42D9" w:rsidRDefault="0080528C" w:rsidP="004C5C3C">
            <w:pPr>
              <w:overflowPunct w:val="0"/>
              <w:autoSpaceDE w:val="0"/>
              <w:autoSpaceDN w:val="0"/>
              <w:adjustRightInd w:val="0"/>
              <w:textAlignment w:val="baseline"/>
              <w:rPr>
                <w:rFonts w:eastAsia="Calibri" w:cs="Arial"/>
              </w:rPr>
            </w:pPr>
            <w:r w:rsidRPr="00AF42D9">
              <w:rPr>
                <w:rFonts w:eastAsia="Calibri" w:cs="Arial"/>
              </w:rPr>
              <w:t xml:space="preserve">Where a medicine is recommended </w:t>
            </w:r>
            <w:r>
              <w:rPr>
                <w:rFonts w:eastAsia="Calibri" w:cs="Arial"/>
              </w:rPr>
              <w:t xml:space="preserve">for </w:t>
            </w:r>
            <w:r w:rsidRPr="00AF42D9">
              <w:rPr>
                <w:rFonts w:eastAsia="Calibri" w:cs="Arial"/>
              </w:rPr>
              <w:t>off-label</w:t>
            </w:r>
            <w:r>
              <w:rPr>
                <w:rFonts w:eastAsia="Calibri" w:cs="Arial"/>
              </w:rPr>
              <w:t xml:space="preserve"> use,</w:t>
            </w:r>
            <w:r w:rsidRPr="00AF42D9">
              <w:rPr>
                <w:rFonts w:eastAsia="Calibri" w:cs="Arial"/>
              </w:rPr>
              <w:t xml:space="preserve"> consider, as part of the consent process, informing the individual/parent/carer that the medicine is being offered in accordance with national guidance but that this is outside the product licence. </w:t>
            </w:r>
          </w:p>
        </w:tc>
      </w:tr>
      <w:tr w:rsidR="0080528C" w:rsidRPr="00AF42D9" w14:paraId="398EBD3E" w14:textId="77777777" w:rsidTr="0080528C">
        <w:tc>
          <w:tcPr>
            <w:tcW w:w="3403" w:type="dxa"/>
            <w:shd w:val="clear" w:color="auto" w:fill="BFBFBF" w:themeFill="text1" w:themeFillShade="BF"/>
          </w:tcPr>
          <w:p w14:paraId="6434FAC7" w14:textId="77777777" w:rsidR="0080528C" w:rsidRPr="00AF42D9" w:rsidRDefault="0080528C" w:rsidP="004C5C3C">
            <w:pPr>
              <w:overflowPunct w:val="0"/>
              <w:autoSpaceDE w:val="0"/>
              <w:autoSpaceDN w:val="0"/>
              <w:adjustRightInd w:val="0"/>
              <w:spacing w:before="60" w:after="60"/>
              <w:contextualSpacing/>
              <w:textAlignment w:val="baseline"/>
              <w:rPr>
                <w:rFonts w:cs="Arial"/>
                <w:b/>
              </w:rPr>
            </w:pPr>
            <w:r w:rsidRPr="00AF42D9">
              <w:rPr>
                <w:rFonts w:cs="Arial"/>
                <w:b/>
              </w:rPr>
              <w:lastRenderedPageBreak/>
              <w:t>Dose and frequency of administration</w:t>
            </w:r>
          </w:p>
        </w:tc>
        <w:tc>
          <w:tcPr>
            <w:tcW w:w="6945" w:type="dxa"/>
          </w:tcPr>
          <w:p w14:paraId="5F859FD9" w14:textId="1A6A21B6" w:rsidR="0080528C" w:rsidRDefault="00DB2755" w:rsidP="004C5C3C">
            <w:pPr>
              <w:overflowPunct w:val="0"/>
              <w:autoSpaceDE w:val="0"/>
              <w:autoSpaceDN w:val="0"/>
              <w:adjustRightInd w:val="0"/>
              <w:textAlignment w:val="baseline"/>
              <w:rPr>
                <w:rFonts w:eastAsia="Calibri" w:cs="Arial"/>
              </w:rPr>
            </w:pPr>
            <w:proofErr w:type="spellStart"/>
            <w:r>
              <w:rPr>
                <w:rFonts w:eastAsia="Calibri" w:cs="Arial"/>
              </w:rPr>
              <w:t>Co</w:t>
            </w:r>
            <w:r w:rsidR="0080528C" w:rsidRPr="00AF42D9">
              <w:rPr>
                <w:rFonts w:eastAsia="Calibri" w:cs="Arial"/>
              </w:rPr>
              <w:t>SRH</w:t>
            </w:r>
            <w:proofErr w:type="spellEnd"/>
            <w:r w:rsidR="0080528C" w:rsidRPr="00AF42D9">
              <w:rPr>
                <w:rFonts w:eastAsia="Calibri" w:cs="Arial"/>
              </w:rPr>
              <w:t xml:space="preserve"> guidance states that COC can either be taken following a standard or tailored regimen. </w:t>
            </w:r>
          </w:p>
          <w:p w14:paraId="245235D4" w14:textId="77777777" w:rsidR="0080528C" w:rsidRDefault="0080528C" w:rsidP="004C5C3C">
            <w:pPr>
              <w:overflowPunct w:val="0"/>
              <w:autoSpaceDE w:val="0"/>
              <w:autoSpaceDN w:val="0"/>
              <w:adjustRightInd w:val="0"/>
              <w:textAlignment w:val="baseline"/>
              <w:rPr>
                <w:rFonts w:eastAsia="Calibri" w:cs="Arial"/>
              </w:rPr>
            </w:pPr>
            <w:r w:rsidRPr="00AF42D9">
              <w:rPr>
                <w:rFonts w:eastAsia="Calibri" w:cs="Arial"/>
              </w:rPr>
              <w:t>Individuals should be given information about both standard and tailored COC regimen to broaden contraceptive choice.</w:t>
            </w:r>
          </w:p>
          <w:p w14:paraId="00E7D25F" w14:textId="77777777" w:rsidR="0080528C" w:rsidRPr="00AF42D9" w:rsidRDefault="0080528C" w:rsidP="004C5C3C">
            <w:pPr>
              <w:overflowPunct w:val="0"/>
              <w:autoSpaceDE w:val="0"/>
              <w:autoSpaceDN w:val="0"/>
              <w:adjustRightInd w:val="0"/>
              <w:textAlignment w:val="baseline"/>
              <w:rPr>
                <w:rFonts w:eastAsia="Calibri" w:cs="Arial"/>
                <w:b/>
                <w:u w:val="single"/>
              </w:rPr>
            </w:pPr>
            <w:r w:rsidRPr="00AF42D9">
              <w:rPr>
                <w:rFonts w:eastAsia="Calibri" w:cs="Arial"/>
                <w:b/>
                <w:u w:val="single"/>
              </w:rPr>
              <w:t>Monophasic COC products/regimen</w:t>
            </w:r>
          </w:p>
          <w:p w14:paraId="587E3D82" w14:textId="77777777" w:rsidR="0080528C" w:rsidRPr="00AF42D9" w:rsidRDefault="0080528C" w:rsidP="0080528C">
            <w:pPr>
              <w:numPr>
                <w:ilvl w:val="0"/>
                <w:numId w:val="9"/>
              </w:numPr>
              <w:overflowPunct w:val="0"/>
              <w:autoSpaceDE w:val="0"/>
              <w:autoSpaceDN w:val="0"/>
              <w:adjustRightInd w:val="0"/>
              <w:spacing w:after="160" w:line="278" w:lineRule="auto"/>
              <w:contextualSpacing/>
              <w:textAlignment w:val="baseline"/>
              <w:textboxTightWrap w:val="none"/>
              <w:rPr>
                <w:rFonts w:eastAsia="Calibri" w:cs="Arial"/>
              </w:rPr>
            </w:pPr>
            <w:r w:rsidRPr="00AF42D9">
              <w:rPr>
                <w:rFonts w:eastAsia="Calibri" w:cs="Arial"/>
              </w:rPr>
              <w:t>Monophasic COC can either be taken as a standard regimen or in a tailored regimen depending on the choice of the individual.</w:t>
            </w:r>
          </w:p>
          <w:p w14:paraId="7E0A8A80" w14:textId="77777777" w:rsidR="0080528C" w:rsidRPr="00AF42D9" w:rsidRDefault="0080528C" w:rsidP="0080528C">
            <w:pPr>
              <w:numPr>
                <w:ilvl w:val="0"/>
                <w:numId w:val="9"/>
              </w:numPr>
              <w:overflowPunct w:val="0"/>
              <w:autoSpaceDE w:val="0"/>
              <w:autoSpaceDN w:val="0"/>
              <w:adjustRightInd w:val="0"/>
              <w:spacing w:after="160" w:line="278" w:lineRule="auto"/>
              <w:contextualSpacing/>
              <w:textAlignment w:val="baseline"/>
              <w:textboxTightWrap w:val="none"/>
              <w:rPr>
                <w:rFonts w:eastAsia="Calibri" w:cs="Arial"/>
              </w:rPr>
            </w:pPr>
            <w:r w:rsidRPr="00AF42D9">
              <w:rPr>
                <w:rFonts w:eastAsia="Calibri" w:cs="Arial"/>
              </w:rPr>
              <w:t>The regimens which can be advised are detailed below:</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38"/>
              <w:gridCol w:w="3181"/>
              <w:gridCol w:w="1701"/>
            </w:tblGrid>
            <w:tr w:rsidR="0080528C" w:rsidRPr="00AF42D9" w14:paraId="556EF1B0" w14:textId="77777777" w:rsidTr="004C5C3C">
              <w:tc>
                <w:tcPr>
                  <w:tcW w:w="1838" w:type="dxa"/>
                  <w:shd w:val="clear" w:color="auto" w:fill="D9D9D9"/>
                </w:tcPr>
                <w:p w14:paraId="757059D7" w14:textId="77777777" w:rsidR="0080528C" w:rsidRPr="00AF42D9" w:rsidRDefault="0080528C" w:rsidP="004C5C3C">
                  <w:pPr>
                    <w:overflowPunct w:val="0"/>
                    <w:autoSpaceDE w:val="0"/>
                    <w:autoSpaceDN w:val="0"/>
                    <w:adjustRightInd w:val="0"/>
                    <w:jc w:val="center"/>
                    <w:textAlignment w:val="baseline"/>
                    <w:rPr>
                      <w:b/>
                      <w:sz w:val="18"/>
                      <w:szCs w:val="18"/>
                    </w:rPr>
                  </w:pPr>
                  <w:r w:rsidRPr="00AF42D9">
                    <w:rPr>
                      <w:b/>
                      <w:sz w:val="18"/>
                      <w:szCs w:val="18"/>
                    </w:rPr>
                    <w:t>Type of regimen</w:t>
                  </w:r>
                </w:p>
              </w:tc>
              <w:tc>
                <w:tcPr>
                  <w:tcW w:w="3181" w:type="dxa"/>
                  <w:shd w:val="clear" w:color="auto" w:fill="D9D9D9"/>
                </w:tcPr>
                <w:p w14:paraId="72338B5B" w14:textId="77777777" w:rsidR="0080528C" w:rsidRPr="00AF42D9" w:rsidRDefault="0080528C" w:rsidP="004C5C3C">
                  <w:pPr>
                    <w:overflowPunct w:val="0"/>
                    <w:autoSpaceDE w:val="0"/>
                    <w:autoSpaceDN w:val="0"/>
                    <w:adjustRightInd w:val="0"/>
                    <w:jc w:val="center"/>
                    <w:textAlignment w:val="baseline"/>
                    <w:rPr>
                      <w:b/>
                      <w:sz w:val="18"/>
                      <w:szCs w:val="18"/>
                    </w:rPr>
                  </w:pPr>
                  <w:r w:rsidRPr="00AF42D9">
                    <w:rPr>
                      <w:b/>
                      <w:sz w:val="18"/>
                      <w:szCs w:val="18"/>
                    </w:rPr>
                    <w:t>Period of COC use</w:t>
                  </w:r>
                </w:p>
              </w:tc>
              <w:tc>
                <w:tcPr>
                  <w:tcW w:w="1701" w:type="dxa"/>
                  <w:shd w:val="clear" w:color="auto" w:fill="D9D9D9"/>
                </w:tcPr>
                <w:p w14:paraId="3E7624CF" w14:textId="77777777" w:rsidR="0080528C" w:rsidRPr="00AF42D9" w:rsidRDefault="0080528C" w:rsidP="004C5C3C">
                  <w:pPr>
                    <w:overflowPunct w:val="0"/>
                    <w:autoSpaceDE w:val="0"/>
                    <w:autoSpaceDN w:val="0"/>
                    <w:adjustRightInd w:val="0"/>
                    <w:jc w:val="center"/>
                    <w:textAlignment w:val="baseline"/>
                    <w:rPr>
                      <w:b/>
                      <w:sz w:val="18"/>
                      <w:szCs w:val="18"/>
                    </w:rPr>
                  </w:pPr>
                  <w:r w:rsidRPr="00AF42D9">
                    <w:rPr>
                      <w:b/>
                      <w:sz w:val="18"/>
                      <w:szCs w:val="18"/>
                    </w:rPr>
                    <w:t>Hormone (pill) free interval</w:t>
                  </w:r>
                </w:p>
              </w:tc>
            </w:tr>
            <w:tr w:rsidR="0080528C" w:rsidRPr="00AF42D9" w14:paraId="18E24FB2" w14:textId="77777777" w:rsidTr="004C5C3C">
              <w:tc>
                <w:tcPr>
                  <w:tcW w:w="6720" w:type="dxa"/>
                  <w:gridSpan w:val="3"/>
                  <w:shd w:val="clear" w:color="auto" w:fill="F2F2F2"/>
                </w:tcPr>
                <w:p w14:paraId="1C3ADAA3" w14:textId="77777777" w:rsidR="0080528C" w:rsidRPr="00AF42D9" w:rsidRDefault="0080528C" w:rsidP="004C5C3C">
                  <w:pPr>
                    <w:overflowPunct w:val="0"/>
                    <w:autoSpaceDE w:val="0"/>
                    <w:autoSpaceDN w:val="0"/>
                    <w:adjustRightInd w:val="0"/>
                    <w:jc w:val="center"/>
                    <w:textAlignment w:val="baseline"/>
                    <w:rPr>
                      <w:b/>
                      <w:sz w:val="18"/>
                      <w:szCs w:val="18"/>
                    </w:rPr>
                  </w:pPr>
                  <w:r w:rsidRPr="00AF42D9">
                    <w:rPr>
                      <w:b/>
                      <w:sz w:val="18"/>
                      <w:szCs w:val="18"/>
                    </w:rPr>
                    <w:t>Standard use</w:t>
                  </w:r>
                </w:p>
              </w:tc>
            </w:tr>
            <w:tr w:rsidR="0080528C" w:rsidRPr="00AF42D9" w14:paraId="3DDD6171" w14:textId="77777777" w:rsidTr="004C5C3C">
              <w:tc>
                <w:tcPr>
                  <w:tcW w:w="1838" w:type="dxa"/>
                </w:tcPr>
                <w:p w14:paraId="3D182725"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Standard use</w:t>
                  </w:r>
                </w:p>
              </w:tc>
              <w:tc>
                <w:tcPr>
                  <w:tcW w:w="3181" w:type="dxa"/>
                </w:tcPr>
                <w:p w14:paraId="62A29B38"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21 days (21 active pills)</w:t>
                  </w:r>
                </w:p>
              </w:tc>
              <w:tc>
                <w:tcPr>
                  <w:tcW w:w="1701" w:type="dxa"/>
                </w:tcPr>
                <w:p w14:paraId="132998F3"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7 days</w:t>
                  </w:r>
                </w:p>
              </w:tc>
            </w:tr>
            <w:tr w:rsidR="0080528C" w:rsidRPr="00AF42D9" w14:paraId="43D3E55A" w14:textId="77777777" w:rsidTr="004C5C3C">
              <w:tc>
                <w:tcPr>
                  <w:tcW w:w="6720" w:type="dxa"/>
                  <w:gridSpan w:val="3"/>
                  <w:shd w:val="clear" w:color="auto" w:fill="F2F2F2"/>
                </w:tcPr>
                <w:p w14:paraId="70F00A9C" w14:textId="77777777" w:rsidR="0080528C" w:rsidRPr="00AF42D9" w:rsidRDefault="0080528C" w:rsidP="004C5C3C">
                  <w:pPr>
                    <w:overflowPunct w:val="0"/>
                    <w:autoSpaceDE w:val="0"/>
                    <w:autoSpaceDN w:val="0"/>
                    <w:adjustRightInd w:val="0"/>
                    <w:jc w:val="center"/>
                    <w:textAlignment w:val="baseline"/>
                    <w:rPr>
                      <w:b/>
                      <w:sz w:val="18"/>
                      <w:szCs w:val="18"/>
                    </w:rPr>
                  </w:pPr>
                  <w:r w:rsidRPr="00AF42D9">
                    <w:rPr>
                      <w:b/>
                      <w:sz w:val="18"/>
                      <w:szCs w:val="18"/>
                    </w:rPr>
                    <w:t>Tailored use</w:t>
                  </w:r>
                </w:p>
              </w:tc>
            </w:tr>
            <w:tr w:rsidR="0080528C" w:rsidRPr="00AF42D9" w14:paraId="6953A064" w14:textId="77777777" w:rsidTr="004C5C3C">
              <w:tc>
                <w:tcPr>
                  <w:tcW w:w="1838" w:type="dxa"/>
                </w:tcPr>
                <w:p w14:paraId="33129014"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Shortened hormone-free interval</w:t>
                  </w:r>
                </w:p>
              </w:tc>
              <w:tc>
                <w:tcPr>
                  <w:tcW w:w="3181" w:type="dxa"/>
                </w:tcPr>
                <w:p w14:paraId="6A2E15B2"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21 days (21 active pills)</w:t>
                  </w:r>
                </w:p>
              </w:tc>
              <w:tc>
                <w:tcPr>
                  <w:tcW w:w="1701" w:type="dxa"/>
                </w:tcPr>
                <w:p w14:paraId="050343FB"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4 days</w:t>
                  </w:r>
                </w:p>
              </w:tc>
            </w:tr>
            <w:tr w:rsidR="0080528C" w:rsidRPr="00AF42D9" w14:paraId="64C393E0" w14:textId="77777777" w:rsidTr="004C5C3C">
              <w:tc>
                <w:tcPr>
                  <w:tcW w:w="1838" w:type="dxa"/>
                </w:tcPr>
                <w:p w14:paraId="483CFC9C"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Extended use (tri-cycling)</w:t>
                  </w:r>
                </w:p>
              </w:tc>
              <w:tc>
                <w:tcPr>
                  <w:tcW w:w="3181" w:type="dxa"/>
                </w:tcPr>
                <w:p w14:paraId="66B3D62B"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9 weeks (3x21 active pills)</w:t>
                  </w:r>
                </w:p>
              </w:tc>
              <w:tc>
                <w:tcPr>
                  <w:tcW w:w="1701" w:type="dxa"/>
                </w:tcPr>
                <w:p w14:paraId="1C2C263C"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4 or 7 days</w:t>
                  </w:r>
                </w:p>
              </w:tc>
            </w:tr>
            <w:tr w:rsidR="0080528C" w:rsidRPr="00AF42D9" w14:paraId="46ABBB52" w14:textId="77777777" w:rsidTr="004C5C3C">
              <w:tc>
                <w:tcPr>
                  <w:tcW w:w="1838" w:type="dxa"/>
                </w:tcPr>
                <w:p w14:paraId="3E0CEE8A"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lastRenderedPageBreak/>
                    <w:t>Flexible extended use</w:t>
                  </w:r>
                </w:p>
              </w:tc>
              <w:tc>
                <w:tcPr>
                  <w:tcW w:w="3181" w:type="dxa"/>
                </w:tcPr>
                <w:p w14:paraId="1127E8C5"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Continuous use (≥21 days) of active pills until breakthrough bleeding occurs for 3–4 days</w:t>
                  </w:r>
                </w:p>
              </w:tc>
              <w:tc>
                <w:tcPr>
                  <w:tcW w:w="1701" w:type="dxa"/>
                </w:tcPr>
                <w:p w14:paraId="43198FBA"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4 days</w:t>
                  </w:r>
                </w:p>
              </w:tc>
            </w:tr>
            <w:tr w:rsidR="0080528C" w:rsidRPr="00AF42D9" w14:paraId="2581B9ED" w14:textId="77777777" w:rsidTr="004C5C3C">
              <w:tc>
                <w:tcPr>
                  <w:tcW w:w="1838" w:type="dxa"/>
                </w:tcPr>
                <w:p w14:paraId="453E1015"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Continuous use</w:t>
                  </w:r>
                </w:p>
              </w:tc>
              <w:tc>
                <w:tcPr>
                  <w:tcW w:w="3181" w:type="dxa"/>
                </w:tcPr>
                <w:p w14:paraId="78FBC08E"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Continuous use of active pills</w:t>
                  </w:r>
                </w:p>
              </w:tc>
              <w:tc>
                <w:tcPr>
                  <w:tcW w:w="1701" w:type="dxa"/>
                </w:tcPr>
                <w:p w14:paraId="6D16FA00" w14:textId="77777777" w:rsidR="0080528C" w:rsidRPr="00AF42D9" w:rsidRDefault="0080528C" w:rsidP="004C5C3C">
                  <w:pPr>
                    <w:overflowPunct w:val="0"/>
                    <w:autoSpaceDE w:val="0"/>
                    <w:autoSpaceDN w:val="0"/>
                    <w:adjustRightInd w:val="0"/>
                    <w:jc w:val="center"/>
                    <w:textAlignment w:val="baseline"/>
                    <w:rPr>
                      <w:sz w:val="18"/>
                      <w:szCs w:val="18"/>
                    </w:rPr>
                  </w:pPr>
                  <w:r w:rsidRPr="00AF42D9">
                    <w:rPr>
                      <w:sz w:val="18"/>
                      <w:szCs w:val="18"/>
                    </w:rPr>
                    <w:t>None</w:t>
                  </w:r>
                </w:p>
              </w:tc>
            </w:tr>
          </w:tbl>
          <w:p w14:paraId="7CC69089" w14:textId="77777777" w:rsidR="0080528C" w:rsidRPr="00EB5059" w:rsidRDefault="0080528C" w:rsidP="0080528C">
            <w:pPr>
              <w:numPr>
                <w:ilvl w:val="0"/>
                <w:numId w:val="8"/>
              </w:numPr>
              <w:overflowPunct w:val="0"/>
              <w:autoSpaceDE w:val="0"/>
              <w:autoSpaceDN w:val="0"/>
              <w:adjustRightInd w:val="0"/>
              <w:spacing w:after="160" w:line="278" w:lineRule="auto"/>
              <w:contextualSpacing/>
              <w:textAlignment w:val="baseline"/>
              <w:textboxTightWrap w:val="none"/>
              <w:rPr>
                <w:rFonts w:eastAsia="Calibri" w:cs="Arial"/>
              </w:rPr>
            </w:pPr>
            <w:r w:rsidRPr="00DE57F0">
              <w:rPr>
                <w:rFonts w:eastAsia="Calibri" w:cs="Arial"/>
              </w:rPr>
              <w:t>For the monophasic regimen detailed above</w:t>
            </w:r>
            <w:r>
              <w:rPr>
                <w:rFonts w:eastAsia="Calibri" w:cs="Arial"/>
              </w:rPr>
              <w:t>,</w:t>
            </w:r>
            <w:r w:rsidRPr="00DE57F0">
              <w:rPr>
                <w:rFonts w:eastAsia="Calibri" w:cs="Arial"/>
              </w:rPr>
              <w:t xml:space="preserve"> a single tablet is to be taken at the same time each day</w:t>
            </w:r>
            <w:r>
              <w:rPr>
                <w:rFonts w:eastAsia="Calibri" w:cs="Arial"/>
              </w:rPr>
              <w:t>,</w:t>
            </w:r>
            <w:r w:rsidRPr="00DE57F0">
              <w:rPr>
                <w:rFonts w:eastAsia="Calibri" w:cs="Arial"/>
              </w:rPr>
              <w:t xml:space="preserve"> starting on day 1-5 of the menstrual cycle with no need for additional precautions.</w:t>
            </w:r>
          </w:p>
          <w:p w14:paraId="68A3D6FF" w14:textId="77777777" w:rsidR="0080528C" w:rsidRDefault="0080528C" w:rsidP="0080528C">
            <w:pPr>
              <w:numPr>
                <w:ilvl w:val="0"/>
                <w:numId w:val="8"/>
              </w:numPr>
              <w:overflowPunct w:val="0"/>
              <w:autoSpaceDE w:val="0"/>
              <w:autoSpaceDN w:val="0"/>
              <w:adjustRightInd w:val="0"/>
              <w:spacing w:after="160" w:line="278" w:lineRule="auto"/>
              <w:contextualSpacing/>
              <w:textAlignment w:val="baseline"/>
              <w:textboxTightWrap w:val="none"/>
              <w:rPr>
                <w:rFonts w:eastAsia="Calibri" w:cs="Arial"/>
              </w:rPr>
            </w:pPr>
            <w:r w:rsidRPr="00DE57F0">
              <w:rPr>
                <w:rFonts w:eastAsia="Calibri" w:cs="Arial"/>
              </w:rPr>
              <w:t xml:space="preserve">Individuals should have access to clear information (either written or digital) to support tailored COC use. </w:t>
            </w:r>
          </w:p>
          <w:p w14:paraId="707BDEF5" w14:textId="77777777" w:rsidR="0080528C" w:rsidRPr="00A84F40" w:rsidRDefault="0080528C" w:rsidP="004C5C3C">
            <w:pPr>
              <w:overflowPunct w:val="0"/>
              <w:autoSpaceDE w:val="0"/>
              <w:autoSpaceDN w:val="0"/>
              <w:adjustRightInd w:val="0"/>
              <w:ind w:left="360"/>
              <w:contextualSpacing/>
              <w:textAlignment w:val="baseline"/>
              <w:rPr>
                <w:rFonts w:eastAsia="Calibri" w:cs="Arial"/>
              </w:rPr>
            </w:pPr>
          </w:p>
          <w:p w14:paraId="5B25538A" w14:textId="77777777" w:rsidR="0080528C" w:rsidRPr="00AF42D9" w:rsidRDefault="0080528C" w:rsidP="004C5C3C">
            <w:pPr>
              <w:overflowPunct w:val="0"/>
              <w:autoSpaceDE w:val="0"/>
              <w:autoSpaceDN w:val="0"/>
              <w:adjustRightInd w:val="0"/>
              <w:textAlignment w:val="baseline"/>
              <w:rPr>
                <w:rFonts w:eastAsia="Calibri" w:cs="Arial"/>
                <w:b/>
                <w:u w:val="single"/>
              </w:rPr>
            </w:pPr>
            <w:r w:rsidRPr="00AF42D9">
              <w:rPr>
                <w:rFonts w:eastAsia="Calibri" w:cs="Arial"/>
                <w:b/>
                <w:u w:val="single"/>
              </w:rPr>
              <w:t xml:space="preserve">Monophasic </w:t>
            </w:r>
            <w:proofErr w:type="spellStart"/>
            <w:r w:rsidRPr="00AF42D9">
              <w:rPr>
                <w:rFonts w:eastAsia="Calibri" w:cs="Arial"/>
                <w:b/>
                <w:u w:val="single"/>
              </w:rPr>
              <w:t>everyday</w:t>
            </w:r>
            <w:proofErr w:type="spellEnd"/>
            <w:r w:rsidRPr="00AF42D9">
              <w:rPr>
                <w:rFonts w:eastAsia="Calibri" w:cs="Arial"/>
                <w:b/>
                <w:u w:val="single"/>
              </w:rPr>
              <w:t xml:space="preserve">, phasic and phasic everyday COC products/regimens </w:t>
            </w:r>
          </w:p>
          <w:p w14:paraId="4202BCC2" w14:textId="77777777" w:rsidR="0080528C" w:rsidRPr="00BD493B" w:rsidRDefault="0080528C" w:rsidP="0080528C">
            <w:pPr>
              <w:numPr>
                <w:ilvl w:val="0"/>
                <w:numId w:val="8"/>
              </w:numPr>
              <w:overflowPunct w:val="0"/>
              <w:autoSpaceDE w:val="0"/>
              <w:autoSpaceDN w:val="0"/>
              <w:adjustRightInd w:val="0"/>
              <w:spacing w:after="160" w:line="278" w:lineRule="auto"/>
              <w:contextualSpacing/>
              <w:textAlignment w:val="baseline"/>
              <w:textboxTightWrap w:val="none"/>
              <w:rPr>
                <w:rFonts w:eastAsia="Calibri" w:cs="Arial"/>
              </w:rPr>
            </w:pPr>
            <w:r w:rsidRPr="00AF42D9">
              <w:rPr>
                <w:rFonts w:eastAsia="Calibri" w:cs="Arial"/>
              </w:rPr>
              <w:t xml:space="preserve">For monophasic </w:t>
            </w:r>
            <w:proofErr w:type="spellStart"/>
            <w:r w:rsidRPr="00AF42D9">
              <w:rPr>
                <w:rFonts w:eastAsia="Calibri" w:cs="Arial"/>
              </w:rPr>
              <w:t>everyday</w:t>
            </w:r>
            <w:proofErr w:type="spellEnd"/>
            <w:r w:rsidRPr="00AF42D9">
              <w:rPr>
                <w:rFonts w:eastAsia="Calibri" w:cs="Arial"/>
              </w:rPr>
              <w:t>, phasic, and phasic everyday regimens</w:t>
            </w:r>
            <w:r>
              <w:rPr>
                <w:rFonts w:eastAsia="Calibri" w:cs="Arial"/>
              </w:rPr>
              <w:t>,</w:t>
            </w:r>
            <w:r w:rsidRPr="00AF42D9">
              <w:rPr>
                <w:rFonts w:eastAsia="Calibri" w:cs="Arial"/>
              </w:rPr>
              <w:t xml:space="preserve"> a single tablet is to be taken at the same time each day</w:t>
            </w:r>
            <w:r>
              <w:rPr>
                <w:rFonts w:eastAsia="Calibri" w:cs="Arial"/>
              </w:rPr>
              <w:t>,</w:t>
            </w:r>
            <w:r w:rsidRPr="00AF42D9">
              <w:rPr>
                <w:rFonts w:eastAsia="Calibri" w:cs="Arial"/>
              </w:rPr>
              <w:t xml:space="preserve"> starting on day 1-5 of the menstrual cycle with no need for additional precautions.</w:t>
            </w:r>
          </w:p>
          <w:p w14:paraId="7E104054" w14:textId="77777777" w:rsidR="0080528C" w:rsidRPr="00B60F03" w:rsidRDefault="0080528C" w:rsidP="004C5C3C">
            <w:pPr>
              <w:overflowPunct w:val="0"/>
              <w:autoSpaceDE w:val="0"/>
              <w:autoSpaceDN w:val="0"/>
              <w:adjustRightInd w:val="0"/>
              <w:contextualSpacing/>
              <w:textAlignment w:val="baseline"/>
              <w:rPr>
                <w:rFonts w:eastAsia="Calibri" w:cs="Arial"/>
              </w:rPr>
            </w:pPr>
            <w:r w:rsidRPr="00F51543">
              <w:rPr>
                <w:rFonts w:eastAsia="Calibri" w:cs="Arial"/>
              </w:rPr>
              <w:t xml:space="preserve">The exceptions to this are: </w:t>
            </w:r>
          </w:p>
          <w:p w14:paraId="5080DF42" w14:textId="77777777" w:rsidR="0080528C" w:rsidRPr="00B60F03" w:rsidRDefault="0080528C" w:rsidP="0080528C">
            <w:pPr>
              <w:numPr>
                <w:ilvl w:val="1"/>
                <w:numId w:val="8"/>
              </w:numPr>
              <w:overflowPunct w:val="0"/>
              <w:autoSpaceDE w:val="0"/>
              <w:autoSpaceDN w:val="0"/>
              <w:adjustRightInd w:val="0"/>
              <w:spacing w:after="160" w:line="278" w:lineRule="auto"/>
              <w:contextualSpacing/>
              <w:textAlignment w:val="baseline"/>
              <w:textboxTightWrap w:val="none"/>
              <w:rPr>
                <w:rFonts w:eastAsia="Calibri" w:cs="Arial"/>
              </w:rPr>
            </w:pPr>
            <w:proofErr w:type="spellStart"/>
            <w:r w:rsidRPr="00AF42D9">
              <w:rPr>
                <w:rFonts w:eastAsia="Calibri" w:cs="Arial"/>
              </w:rPr>
              <w:t>Qlaira</w:t>
            </w:r>
            <w:proofErr w:type="spellEnd"/>
            <w:r w:rsidRPr="00AF42D9">
              <w:rPr>
                <w:rFonts w:eastAsia="Calibri" w:cs="Arial"/>
              </w:rPr>
              <w:t xml:space="preserve">®, which should be started on day 1, or if not, additional precautions should be used for 9 days after starting.  </w:t>
            </w:r>
          </w:p>
          <w:p w14:paraId="7B01D3D8" w14:textId="77777777" w:rsidR="0080528C" w:rsidRPr="00DE57F0" w:rsidRDefault="0080528C" w:rsidP="0080528C">
            <w:pPr>
              <w:numPr>
                <w:ilvl w:val="1"/>
                <w:numId w:val="8"/>
              </w:numPr>
              <w:overflowPunct w:val="0"/>
              <w:autoSpaceDE w:val="0"/>
              <w:autoSpaceDN w:val="0"/>
              <w:adjustRightInd w:val="0"/>
              <w:spacing w:after="160" w:line="278" w:lineRule="auto"/>
              <w:contextualSpacing/>
              <w:textAlignment w:val="baseline"/>
              <w:textboxTightWrap w:val="none"/>
              <w:rPr>
                <w:rFonts w:eastAsia="Calibri" w:cs="Arial"/>
              </w:rPr>
            </w:pPr>
            <w:r w:rsidRPr="00BF62D2">
              <w:rPr>
                <w:rFonts w:eastAsia="Calibri" w:cs="Arial"/>
              </w:rPr>
              <w:t>Zoely®,</w:t>
            </w:r>
            <w:r w:rsidRPr="00BF62D2">
              <w:t xml:space="preserve"> </w:t>
            </w:r>
            <w:r w:rsidRPr="00BF62D2">
              <w:rPr>
                <w:rFonts w:eastAsia="Calibri" w:cs="Arial"/>
              </w:rPr>
              <w:t xml:space="preserve">which should be started on day 1, or if not, additional precautions should be used for 7 days after starting.  </w:t>
            </w:r>
          </w:p>
          <w:p w14:paraId="102902C1" w14:textId="77777777" w:rsidR="0080528C" w:rsidRDefault="0080528C" w:rsidP="0080528C">
            <w:pPr>
              <w:numPr>
                <w:ilvl w:val="0"/>
                <w:numId w:val="8"/>
              </w:numPr>
              <w:overflowPunct w:val="0"/>
              <w:autoSpaceDE w:val="0"/>
              <w:autoSpaceDN w:val="0"/>
              <w:adjustRightInd w:val="0"/>
              <w:spacing w:after="160" w:line="278" w:lineRule="auto"/>
              <w:contextualSpacing/>
              <w:textAlignment w:val="baseline"/>
              <w:textboxTightWrap w:val="none"/>
              <w:rPr>
                <w:rFonts w:eastAsia="Calibri" w:cs="Arial"/>
              </w:rPr>
            </w:pPr>
            <w:r w:rsidRPr="00AF42D9">
              <w:rPr>
                <w:rFonts w:eastAsia="Calibri" w:cs="Arial"/>
              </w:rPr>
              <w:t>Thereafter</w:t>
            </w:r>
            <w:r>
              <w:rPr>
                <w:rFonts w:eastAsia="Calibri" w:cs="Arial"/>
              </w:rPr>
              <w:t>,</w:t>
            </w:r>
            <w:r w:rsidRPr="00AF42D9">
              <w:rPr>
                <w:rFonts w:eastAsia="Calibri" w:cs="Arial"/>
              </w:rPr>
              <w:t xml:space="preserve"> follow manufacturer’s instructions for individual product use.</w:t>
            </w:r>
          </w:p>
          <w:p w14:paraId="105B4E34" w14:textId="77777777" w:rsidR="0080528C" w:rsidRDefault="0080528C" w:rsidP="004C5C3C">
            <w:pPr>
              <w:overflowPunct w:val="0"/>
              <w:autoSpaceDE w:val="0"/>
              <w:autoSpaceDN w:val="0"/>
              <w:adjustRightInd w:val="0"/>
              <w:contextualSpacing/>
              <w:textAlignment w:val="baseline"/>
              <w:rPr>
                <w:rFonts w:eastAsia="Calibri" w:cs="Arial"/>
              </w:rPr>
            </w:pPr>
          </w:p>
          <w:p w14:paraId="19D3DB30" w14:textId="77777777" w:rsidR="0080528C" w:rsidRPr="002B3C03" w:rsidRDefault="0080528C" w:rsidP="004C5C3C">
            <w:pPr>
              <w:overflowPunct w:val="0"/>
              <w:autoSpaceDE w:val="0"/>
              <w:autoSpaceDN w:val="0"/>
              <w:adjustRightInd w:val="0"/>
              <w:textAlignment w:val="baseline"/>
              <w:rPr>
                <w:rFonts w:eastAsia="Calibri" w:cs="Arial"/>
                <w:b/>
                <w:u w:val="single"/>
              </w:rPr>
            </w:pPr>
            <w:r w:rsidRPr="002B3C03">
              <w:rPr>
                <w:rFonts w:eastAsia="Calibri" w:cs="Arial"/>
                <w:b/>
                <w:u w:val="single"/>
              </w:rPr>
              <w:t>For all COC products/regimens</w:t>
            </w:r>
          </w:p>
          <w:p w14:paraId="6F8C800D" w14:textId="77777777" w:rsidR="0080528C" w:rsidRPr="002B3C03"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3C164792">
              <w:rPr>
                <w:rFonts w:eastAsia="Calibri" w:cs="Arial"/>
              </w:rPr>
              <w:t xml:space="preserve">COC can be started at any time after day 5 of the menstrual cycle if it is reasonably certain that the individual is not pregnant. Additional precautions are then required for 7 days after starting (9 days for </w:t>
            </w:r>
            <w:proofErr w:type="spellStart"/>
            <w:r w:rsidRPr="3C164792">
              <w:rPr>
                <w:rFonts w:eastAsia="Calibri" w:cs="Arial"/>
              </w:rPr>
              <w:t>Qlaira</w:t>
            </w:r>
            <w:proofErr w:type="spellEnd"/>
            <w:r w:rsidRPr="3C164792">
              <w:rPr>
                <w:rFonts w:eastAsia="Calibri" w:cs="Arial"/>
              </w:rPr>
              <w:t xml:space="preserve">®). </w:t>
            </w:r>
          </w:p>
          <w:p w14:paraId="7C1954BA" w14:textId="359A0E99" w:rsidR="0080528C" w:rsidRPr="002B3C03"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3C164792">
              <w:rPr>
                <w:rFonts w:eastAsia="Calibri" w:cs="Arial"/>
              </w:rPr>
              <w:t>When starting or restarting the COC as quick start after levonorgestrel emergency contraception, additional contraception is required for 7</w:t>
            </w:r>
            <w:r w:rsidR="00080C57">
              <w:rPr>
                <w:rFonts w:eastAsia="Calibri" w:cs="Arial"/>
              </w:rPr>
              <w:t xml:space="preserve"> </w:t>
            </w:r>
            <w:r w:rsidR="00080C57" w:rsidRPr="3C164792">
              <w:rPr>
                <w:rFonts w:eastAsia="Calibri" w:cs="Arial"/>
              </w:rPr>
              <w:t>days,</w:t>
            </w:r>
            <w:r w:rsidRPr="3C164792">
              <w:rPr>
                <w:rFonts w:eastAsia="Calibri" w:cs="Arial"/>
              </w:rPr>
              <w:t xml:space="preserve"> and a pregnancy test should be performed 21 days after the last unprotected sexual intercourse.</w:t>
            </w:r>
          </w:p>
          <w:p w14:paraId="72D453E3" w14:textId="2995E5BA" w:rsidR="0080528C"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3C164792">
              <w:rPr>
                <w:rFonts w:eastAsia="Calibri" w:cs="Arial"/>
              </w:rPr>
              <w:t xml:space="preserve">In line with </w:t>
            </w:r>
            <w:proofErr w:type="spellStart"/>
            <w:r w:rsidR="00DB2755">
              <w:rPr>
                <w:rFonts w:eastAsia="Calibri" w:cs="Arial"/>
              </w:rPr>
              <w:t>Co</w:t>
            </w:r>
            <w:r w:rsidRPr="3C164792">
              <w:rPr>
                <w:rFonts w:eastAsia="Calibri" w:cs="Arial"/>
              </w:rPr>
              <w:t>SRH</w:t>
            </w:r>
            <w:proofErr w:type="spellEnd"/>
            <w:r w:rsidRPr="3C164792">
              <w:rPr>
                <w:rFonts w:eastAsia="Calibri" w:cs="Arial"/>
              </w:rPr>
              <w:t xml:space="preserve"> guidance, individuals using hormonal contraception should delay restarting their regular hormonal contraception for 5 days following ulipristal acetate use. </w:t>
            </w:r>
            <w:r w:rsidRPr="3C164792">
              <w:rPr>
                <w:rFonts w:eastAsia="Calibri" w:cs="Arial"/>
              </w:rPr>
              <w:lastRenderedPageBreak/>
              <w:t>Avoidance of pregnancy risk (i.e. use of condoms or abstinence from intercourse) should be advised until fully effective.  For COC this is 7 days after re-starting this method</w:t>
            </w:r>
            <w:r w:rsidRPr="002A0007">
              <w:rPr>
                <w:rFonts w:eastAsia="Calibri" w:cs="Arial"/>
              </w:rPr>
              <w:t xml:space="preserve"> (9 days for </w:t>
            </w:r>
            <w:proofErr w:type="spellStart"/>
            <w:r w:rsidRPr="002A0007">
              <w:rPr>
                <w:rFonts w:eastAsia="Calibri" w:cs="Arial"/>
              </w:rPr>
              <w:t>Qlaira</w:t>
            </w:r>
            <w:proofErr w:type="spellEnd"/>
            <w:r w:rsidRPr="002A0007">
              <w:rPr>
                <w:rFonts w:eastAsia="Calibri" w:cs="Arial"/>
              </w:rPr>
              <w:t>®).</w:t>
            </w:r>
          </w:p>
          <w:p w14:paraId="56A31018" w14:textId="4F57565A" w:rsidR="0080528C" w:rsidRPr="005553CC"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highlight w:val="yellow"/>
              </w:rPr>
            </w:pPr>
            <w:r w:rsidRPr="005553CC">
              <w:rPr>
                <w:rFonts w:eastAsia="Calibri" w:cs="Arial"/>
                <w:highlight w:val="yellow"/>
              </w:rPr>
              <w:t xml:space="preserve">If, in a current user of 30mcg EE/LNG COC, two </w:t>
            </w:r>
            <w:r w:rsidR="001F64DE" w:rsidRPr="005553CC">
              <w:rPr>
                <w:rFonts w:eastAsia="Calibri" w:cs="Arial"/>
                <w:highlight w:val="yellow"/>
              </w:rPr>
              <w:t xml:space="preserve">to seven </w:t>
            </w:r>
            <w:r w:rsidRPr="005553CC">
              <w:rPr>
                <w:rFonts w:eastAsia="Calibri" w:cs="Arial"/>
                <w:highlight w:val="yellow"/>
              </w:rPr>
              <w:t>pills are missed in the first week of pill taking, it may be appropriate to offer UPA-EC and restart COC on a quick starting basis.</w:t>
            </w:r>
            <w:r w:rsidR="001F64DE" w:rsidRPr="005553CC">
              <w:rPr>
                <w:rFonts w:cs="Arial"/>
                <w:highlight w:val="yellow"/>
              </w:rPr>
              <w:t xml:space="preserve"> </w:t>
            </w:r>
            <w:r w:rsidR="001F64DE" w:rsidRPr="005553CC">
              <w:rPr>
                <w:rFonts w:eastAsia="Calibri" w:cs="Arial"/>
                <w:highlight w:val="yellow"/>
              </w:rPr>
              <w:t xml:space="preserve">The individual should be referred to a prescriber in this specific circumstance. See </w:t>
            </w:r>
            <w:hyperlink r:id="rId31" w:history="1">
              <w:proofErr w:type="spellStart"/>
              <w:r w:rsidR="00DB2755" w:rsidRPr="005553CC">
                <w:rPr>
                  <w:rStyle w:val="Hyperlink"/>
                  <w:rFonts w:eastAsia="Calibri" w:cs="Arial"/>
                  <w:b/>
                  <w:bCs/>
                  <w:color w:val="1E6DFF" w:themeColor="accent1" w:themeTint="99"/>
                  <w:highlight w:val="yellow"/>
                </w:rPr>
                <w:t>Co</w:t>
              </w:r>
              <w:r w:rsidR="001F64DE" w:rsidRPr="005553CC">
                <w:rPr>
                  <w:rStyle w:val="Hyperlink"/>
                  <w:rFonts w:eastAsia="Calibri" w:cs="Arial"/>
                  <w:b/>
                  <w:bCs/>
                  <w:color w:val="1E6DFF" w:themeColor="accent1" w:themeTint="99"/>
                  <w:highlight w:val="yellow"/>
                </w:rPr>
                <w:t>SRH</w:t>
              </w:r>
              <w:proofErr w:type="spellEnd"/>
              <w:r w:rsidR="001F64DE" w:rsidRPr="005553CC">
                <w:rPr>
                  <w:rStyle w:val="Hyperlink"/>
                  <w:rFonts w:eastAsia="Calibri" w:cs="Arial"/>
                  <w:b/>
                  <w:bCs/>
                  <w:color w:val="1E6DFF" w:themeColor="accent1" w:themeTint="99"/>
                  <w:highlight w:val="yellow"/>
                </w:rPr>
                <w:t xml:space="preserve"> guidance</w:t>
              </w:r>
            </w:hyperlink>
            <w:r w:rsidR="001F64DE" w:rsidRPr="005553CC">
              <w:rPr>
                <w:rStyle w:val="Hyperlink"/>
                <w:rFonts w:eastAsia="Calibri"/>
                <w:b/>
                <w:bCs/>
                <w:color w:val="1E6DFF" w:themeColor="accent1" w:themeTint="99"/>
                <w:highlight w:val="yellow"/>
              </w:rPr>
              <w:t>.</w:t>
            </w:r>
          </w:p>
          <w:p w14:paraId="48AD4076" w14:textId="4A1B0077" w:rsidR="0080528C" w:rsidRPr="0006187D" w:rsidRDefault="0080528C" w:rsidP="0080528C">
            <w:pPr>
              <w:numPr>
                <w:ilvl w:val="0"/>
                <w:numId w:val="8"/>
              </w:numPr>
              <w:overflowPunct w:val="0"/>
              <w:autoSpaceDE w:val="0"/>
              <w:autoSpaceDN w:val="0"/>
              <w:adjustRightInd w:val="0"/>
              <w:spacing w:after="160" w:line="278" w:lineRule="auto"/>
              <w:contextualSpacing/>
              <w:textAlignment w:val="baseline"/>
              <w:textboxTightWrap w:val="none"/>
              <w:rPr>
                <w:rFonts w:eastAsia="Calibri" w:cs="Arial"/>
              </w:rPr>
            </w:pPr>
            <w:r w:rsidRPr="3C164792">
              <w:rPr>
                <w:rFonts w:eastAsia="Calibri" w:cs="Arial"/>
              </w:rPr>
              <w:t xml:space="preserve">For guidance on changing from one contraceptive method to another, and when to start after an abortion and postpartum, refer to the </w:t>
            </w:r>
            <w:hyperlink r:id="rId32" w:history="1">
              <w:proofErr w:type="spellStart"/>
              <w:r w:rsidR="007030FB" w:rsidRPr="001A5B42">
                <w:rPr>
                  <w:rStyle w:val="Hyperlink"/>
                  <w:rFonts w:eastAsia="Calibri" w:cs="Arial"/>
                  <w:color w:val="auto"/>
                  <w:u w:val="none"/>
                </w:rPr>
                <w:t>Co</w:t>
              </w:r>
              <w:r w:rsidRPr="001A5B42">
                <w:rPr>
                  <w:rStyle w:val="Hyperlink"/>
                  <w:rFonts w:eastAsia="Calibri" w:cs="Arial"/>
                  <w:color w:val="auto"/>
                  <w:u w:val="none"/>
                </w:rPr>
                <w:t>SRH</w:t>
              </w:r>
              <w:proofErr w:type="spellEnd"/>
              <w:r w:rsidRPr="001A5B42">
                <w:rPr>
                  <w:rStyle w:val="Hyperlink"/>
                  <w:rFonts w:eastAsia="Calibri" w:cs="Arial"/>
                  <w:color w:val="auto"/>
                  <w:u w:val="none"/>
                </w:rPr>
                <w:t xml:space="preserve"> guidance</w:t>
              </w:r>
            </w:hyperlink>
            <w:r w:rsidRPr="001A5B42">
              <w:rPr>
                <w:rFonts w:eastAsia="Calibri" w:cs="Arial"/>
                <w:color w:val="auto"/>
                <w:highlight w:val="yellow"/>
              </w:rPr>
              <w:t>.</w:t>
            </w:r>
          </w:p>
        </w:tc>
      </w:tr>
      <w:tr w:rsidR="0080528C" w:rsidRPr="00AF42D9" w14:paraId="7357A01C" w14:textId="77777777" w:rsidTr="0080528C">
        <w:tc>
          <w:tcPr>
            <w:tcW w:w="3403" w:type="dxa"/>
            <w:shd w:val="clear" w:color="auto" w:fill="BFBFBF" w:themeFill="text1" w:themeFillShade="BF"/>
          </w:tcPr>
          <w:p w14:paraId="33FECD37"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lastRenderedPageBreak/>
              <w:t>Duration of treatment</w:t>
            </w:r>
          </w:p>
        </w:tc>
        <w:tc>
          <w:tcPr>
            <w:tcW w:w="6945" w:type="dxa"/>
          </w:tcPr>
          <w:p w14:paraId="51137AB7" w14:textId="77777777" w:rsidR="0080528C" w:rsidRPr="00AF42D9"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F42D9">
              <w:rPr>
                <w:rFonts w:cs="Arial"/>
              </w:rPr>
              <w:t xml:space="preserve">For as long as </w:t>
            </w:r>
            <w:r>
              <w:rPr>
                <w:rFonts w:cs="Arial"/>
              </w:rPr>
              <w:t xml:space="preserve">the </w:t>
            </w:r>
            <w:r w:rsidRPr="00AF42D9">
              <w:rPr>
                <w:rFonts w:cs="Arial"/>
              </w:rPr>
              <w:t>individual requires COC</w:t>
            </w:r>
            <w:r>
              <w:rPr>
                <w:rFonts w:cs="Arial"/>
              </w:rPr>
              <w:t>, meets the inclusion criteria,</w:t>
            </w:r>
            <w:r w:rsidRPr="00AF42D9">
              <w:rPr>
                <w:rFonts w:cs="Arial"/>
              </w:rPr>
              <w:t xml:space="preserve"> and has no contraindications to the use of COC.</w:t>
            </w:r>
          </w:p>
        </w:tc>
      </w:tr>
      <w:tr w:rsidR="0080528C" w:rsidRPr="00AF42D9" w14:paraId="432FFF98" w14:textId="77777777" w:rsidTr="0080528C">
        <w:tc>
          <w:tcPr>
            <w:tcW w:w="3403" w:type="dxa"/>
            <w:shd w:val="clear" w:color="auto" w:fill="BFBFBF" w:themeFill="text1" w:themeFillShade="BF"/>
          </w:tcPr>
          <w:p w14:paraId="03A64604"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 xml:space="preserve">Quantity to be supplied </w:t>
            </w:r>
          </w:p>
        </w:tc>
        <w:tc>
          <w:tcPr>
            <w:tcW w:w="6945" w:type="dxa"/>
          </w:tcPr>
          <w:p w14:paraId="1CD8B40A" w14:textId="77777777" w:rsidR="0080528C" w:rsidRPr="002B3C0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 xml:space="preserve">Initiation - </w:t>
            </w:r>
            <w:r w:rsidRPr="3C164792">
              <w:rPr>
                <w:rFonts w:cs="Arial"/>
                <w:b/>
                <w:bCs/>
              </w:rPr>
              <w:t>Supply of up to three months</w:t>
            </w:r>
            <w:r w:rsidRPr="3C164792">
              <w:rPr>
                <w:rFonts w:cs="Arial"/>
              </w:rPr>
              <w:t xml:space="preserve"> in appropriately labelled original packs.  </w:t>
            </w:r>
          </w:p>
          <w:p w14:paraId="407F9A08" w14:textId="2D5E47E7" w:rsidR="0080528C" w:rsidRPr="00001E5D"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Ongoing Supply</w:t>
            </w:r>
            <w:r w:rsidRPr="3C164792">
              <w:rPr>
                <w:rFonts w:cs="Arial"/>
                <w:b/>
                <w:bCs/>
              </w:rPr>
              <w:t xml:space="preserve"> </w:t>
            </w:r>
            <w:r w:rsidRPr="3C164792">
              <w:rPr>
                <w:rFonts w:cs="Arial"/>
              </w:rPr>
              <w:t xml:space="preserve">- </w:t>
            </w:r>
            <w:r w:rsidRPr="3C164792">
              <w:rPr>
                <w:rFonts w:cs="Arial"/>
                <w:b/>
                <w:bCs/>
              </w:rPr>
              <w:t>Supply of up to twelve months</w:t>
            </w:r>
            <w:r w:rsidRPr="3C164792">
              <w:rPr>
                <w:rFonts w:cs="Arial"/>
              </w:rPr>
              <w:t xml:space="preserve"> in appropriately labelled original packs.</w:t>
            </w:r>
            <w:r w:rsidRPr="00A8122C">
              <w:rPr>
                <w:rFonts w:cs="Arial"/>
                <w:b/>
                <w:bCs/>
                <w:highlight w:val="yellow"/>
              </w:rPr>
              <w:t xml:space="preserve"> </w:t>
            </w:r>
            <w:r w:rsidRPr="002B3C03">
              <w:rPr>
                <w:rFonts w:cs="Arial"/>
                <w:b/>
                <w:bCs/>
                <w:highlight w:val="yellow"/>
              </w:rPr>
              <w:t xml:space="preserve">A minimum of six months </w:t>
            </w:r>
            <w:r w:rsidRPr="002B3C03">
              <w:rPr>
                <w:rFonts w:cs="Arial"/>
                <w:highlight w:val="yellow"/>
              </w:rPr>
              <w:t xml:space="preserve">should be supplied unless there are </w:t>
            </w:r>
            <w:r>
              <w:rPr>
                <w:rFonts w:cs="Arial"/>
                <w:highlight w:val="yellow"/>
              </w:rPr>
              <w:t xml:space="preserve">clinical </w:t>
            </w:r>
            <w:r w:rsidRPr="002B3C03">
              <w:rPr>
                <w:rFonts w:cs="Arial"/>
                <w:highlight w:val="yellow"/>
              </w:rPr>
              <w:t xml:space="preserve">reasons not to. Such reasons should be documented in the </w:t>
            </w:r>
            <w:r>
              <w:rPr>
                <w:rFonts w:cs="Arial"/>
                <w:highlight w:val="yellow"/>
              </w:rPr>
              <w:t>individual’s</w:t>
            </w:r>
            <w:r w:rsidRPr="002B3C03">
              <w:rPr>
                <w:rFonts w:cs="Arial"/>
                <w:highlight w:val="yellow"/>
              </w:rPr>
              <w:t xml:space="preserve"> </w:t>
            </w:r>
            <w:r>
              <w:rPr>
                <w:rFonts w:cs="Arial"/>
                <w:highlight w:val="yellow"/>
              </w:rPr>
              <w:t>clinical</w:t>
            </w:r>
            <w:r w:rsidRPr="002B3C03">
              <w:rPr>
                <w:rFonts w:cs="Arial"/>
                <w:highlight w:val="yellow"/>
              </w:rPr>
              <w:t xml:space="preserve"> record.</w:t>
            </w:r>
          </w:p>
          <w:p w14:paraId="7A44F9CC" w14:textId="77777777" w:rsidR="0080528C" w:rsidRPr="00D5563C"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5563C">
              <w:rPr>
                <w:rFonts w:cs="Arial"/>
              </w:rPr>
              <w:t xml:space="preserve">For all supplies, be aware that the regimen to be taken may not be reflected in the dosage information printed on the product packaging or within the supplied PIL – ensure full details of the regimen to be followed are supplied.  </w:t>
            </w:r>
          </w:p>
        </w:tc>
      </w:tr>
      <w:tr w:rsidR="0080528C" w:rsidRPr="00AF42D9" w14:paraId="34C4D001" w14:textId="77777777" w:rsidTr="0080528C">
        <w:tc>
          <w:tcPr>
            <w:tcW w:w="3403" w:type="dxa"/>
            <w:shd w:val="clear" w:color="auto" w:fill="BFBFBF" w:themeFill="text1" w:themeFillShade="BF"/>
          </w:tcPr>
          <w:p w14:paraId="236D470F" w14:textId="77777777" w:rsidR="0080528C" w:rsidRPr="00AF42D9" w:rsidRDefault="0080528C" w:rsidP="004C5C3C">
            <w:pPr>
              <w:overflowPunct w:val="0"/>
              <w:autoSpaceDE w:val="0"/>
              <w:autoSpaceDN w:val="0"/>
              <w:adjustRightInd w:val="0"/>
              <w:spacing w:before="60" w:after="60"/>
              <w:textAlignment w:val="baseline"/>
              <w:rPr>
                <w:rFonts w:cs="Arial"/>
                <w:b/>
                <w:vertAlign w:val="superscript"/>
              </w:rPr>
            </w:pPr>
            <w:r w:rsidRPr="00AF42D9">
              <w:rPr>
                <w:rFonts w:cs="Arial"/>
                <w:b/>
              </w:rPr>
              <w:t>Drug interactions</w:t>
            </w:r>
          </w:p>
        </w:tc>
        <w:tc>
          <w:tcPr>
            <w:tcW w:w="6945" w:type="dxa"/>
          </w:tcPr>
          <w:p w14:paraId="324BBFF3" w14:textId="77777777" w:rsidR="0080528C" w:rsidRPr="00D5563C" w:rsidRDefault="0080528C" w:rsidP="004C5C3C">
            <w:pPr>
              <w:widowControl w:val="0"/>
              <w:rPr>
                <w:rFonts w:eastAsia="Calibri" w:cs="Arial"/>
              </w:rPr>
            </w:pPr>
            <w:r w:rsidRPr="00D5563C">
              <w:rPr>
                <w:rFonts w:eastAsia="Calibri" w:cs="Arial"/>
              </w:rPr>
              <w:t>All concurrent medications and herbal products, including those purchased, should be considered for interactions.</w:t>
            </w:r>
          </w:p>
          <w:p w14:paraId="2C535A52" w14:textId="77777777" w:rsidR="0080528C" w:rsidRDefault="0080528C" w:rsidP="004C5C3C">
            <w:pPr>
              <w:widowControl w:val="0"/>
              <w:rPr>
                <w:rFonts w:eastAsia="Arial" w:cs="Arial"/>
                <w:color w:val="0000FF"/>
              </w:rPr>
            </w:pPr>
            <w:r w:rsidRPr="00D5563C">
              <w:rPr>
                <w:rFonts w:eastAsia="Calibri" w:cs="Arial"/>
              </w:rPr>
              <w:t>A detailed list of drug interactions is available in the individual product SPC, which is available from the electronic Medicines Compendium website</w:t>
            </w:r>
            <w:r w:rsidRPr="0062250D">
              <w:rPr>
                <w:rFonts w:eastAsia="Calibri" w:cs="Arial"/>
                <w:b/>
                <w:bCs/>
                <w:color w:val="1E6DFF" w:themeColor="accent1" w:themeTint="99"/>
              </w:rPr>
              <w:t xml:space="preserve"> </w:t>
            </w:r>
            <w:r w:rsidRPr="0062250D">
              <w:rPr>
                <w:rFonts w:eastAsia="Arial" w:cs="Arial"/>
                <w:b/>
                <w:bCs/>
                <w:color w:val="1E6DFF" w:themeColor="accent1" w:themeTint="99"/>
                <w:u w:val="single"/>
              </w:rPr>
              <w:t>www.</w:t>
            </w:r>
            <w:hyperlink r:id="rId33" w:history="1">
              <w:r w:rsidRPr="0062250D">
                <w:rPr>
                  <w:rStyle w:val="Hyperlink"/>
                  <w:rFonts w:eastAsia="Arial" w:cs="Arial"/>
                  <w:b/>
                  <w:bCs/>
                  <w:color w:val="1E6DFF" w:themeColor="accent1" w:themeTint="99"/>
                </w:rPr>
                <w:t>medicines.org.uk</w:t>
              </w:r>
            </w:hyperlink>
            <w:r>
              <w:rPr>
                <w:rFonts w:eastAsia="Arial" w:cs="Arial"/>
              </w:rPr>
              <w:t xml:space="preserve">, </w:t>
            </w:r>
            <w:r w:rsidRPr="00D5563C">
              <w:rPr>
                <w:rFonts w:eastAsia="Arial" w:cs="Arial"/>
              </w:rPr>
              <w:t>the BNF</w:t>
            </w:r>
            <w:r w:rsidRPr="00D5563C">
              <w:rPr>
                <w:rFonts w:eastAsia="Arial" w:cs="Arial"/>
                <w:u w:val="single"/>
              </w:rPr>
              <w:t xml:space="preserve"> </w:t>
            </w:r>
            <w:hyperlink r:id="rId34" w:history="1">
              <w:r w:rsidRPr="0062250D">
                <w:rPr>
                  <w:rFonts w:eastAsia="Arial" w:cs="Arial"/>
                  <w:b/>
                  <w:bCs/>
                  <w:color w:val="1E6DFF" w:themeColor="accent1" w:themeTint="99"/>
                  <w:u w:val="single"/>
                </w:rPr>
                <w:t>www.bnf.org</w:t>
              </w:r>
            </w:hyperlink>
            <w:r w:rsidR="00B128B4">
              <w:rPr>
                <w:rFonts w:eastAsia="Arial" w:cs="Arial"/>
                <w:color w:val="0000FF"/>
              </w:rPr>
              <w:t>.</w:t>
            </w:r>
          </w:p>
          <w:p w14:paraId="0AFA98F8" w14:textId="77777777" w:rsidR="00543AA7" w:rsidRDefault="00B128B4" w:rsidP="00543AA7">
            <w:pPr>
              <w:widowControl w:val="0"/>
              <w:rPr>
                <w:rFonts w:eastAsia="Arial" w:cs="Arial"/>
                <w:b/>
                <w:bCs/>
                <w:color w:val="1E6DFF" w:themeColor="accent1" w:themeTint="99"/>
                <w:u w:val="single"/>
              </w:rPr>
            </w:pPr>
            <w:r w:rsidRPr="007622E6">
              <w:rPr>
                <w:rFonts w:eastAsia="Arial" w:cs="Arial"/>
              </w:rPr>
              <w:t xml:space="preserve">Refer also to </w:t>
            </w:r>
            <w:hyperlink r:id="rId35" w:history="1">
              <w:proofErr w:type="spellStart"/>
              <w:r w:rsidRPr="009D3839">
                <w:rPr>
                  <w:rFonts w:eastAsia="Arial" w:cs="Arial"/>
                  <w:b/>
                  <w:bCs/>
                  <w:color w:val="1E6DFF" w:themeColor="accent1" w:themeTint="99"/>
                  <w:u w:val="single"/>
                </w:rPr>
                <w:t>CoSRH</w:t>
              </w:r>
              <w:proofErr w:type="spellEnd"/>
              <w:r w:rsidRPr="009D3839">
                <w:rPr>
                  <w:rFonts w:eastAsia="Arial" w:cs="Arial"/>
                  <w:b/>
                  <w:bCs/>
                  <w:color w:val="1E6DFF" w:themeColor="accent1" w:themeTint="99"/>
                  <w:u w:val="single"/>
                </w:rPr>
                <w:t xml:space="preserve"> guidance on drug interactions with hormonal contraception</w:t>
              </w:r>
            </w:hyperlink>
            <w:r w:rsidR="003761C6" w:rsidRPr="009D3839">
              <w:rPr>
                <w:rFonts w:eastAsia="Arial" w:cs="Arial"/>
                <w:b/>
                <w:bCs/>
                <w:color w:val="1E6DFF" w:themeColor="accent1" w:themeTint="99"/>
                <w:u w:val="single"/>
              </w:rPr>
              <w:t>.</w:t>
            </w:r>
          </w:p>
          <w:p w14:paraId="1F0F9B48" w14:textId="1D2D83F9" w:rsidR="004702ED" w:rsidRPr="00543AA7" w:rsidRDefault="004702ED" w:rsidP="00543AA7">
            <w:pPr>
              <w:widowControl w:val="0"/>
              <w:rPr>
                <w:rFonts w:eastAsia="Arial" w:cs="Arial"/>
                <w:b/>
                <w:bCs/>
                <w:color w:val="1E6DFF" w:themeColor="accent1" w:themeTint="99"/>
                <w:u w:val="single"/>
              </w:rPr>
            </w:pPr>
            <w:r w:rsidRPr="00543AA7">
              <w:rPr>
                <w:rFonts w:eastAsia="Calibri" w:cs="Arial"/>
                <w:highlight w:val="cyan"/>
              </w:rPr>
              <w:t xml:space="preserve">Concomitant use with the medicinal products containing </w:t>
            </w:r>
            <w:proofErr w:type="spellStart"/>
            <w:r w:rsidRPr="00543AA7">
              <w:rPr>
                <w:rFonts w:eastAsia="Calibri" w:cs="Arial"/>
                <w:highlight w:val="cyan"/>
              </w:rPr>
              <w:t>containing</w:t>
            </w:r>
            <w:proofErr w:type="spellEnd"/>
            <w:r w:rsidRPr="00543AA7">
              <w:rPr>
                <w:rFonts w:eastAsia="Calibri" w:cs="Arial"/>
                <w:highlight w:val="cyan"/>
              </w:rPr>
              <w:t xml:space="preserve"> </w:t>
            </w:r>
            <w:proofErr w:type="spellStart"/>
            <w:r w:rsidRPr="00543AA7">
              <w:rPr>
                <w:rFonts w:eastAsia="Calibri" w:cs="Arial"/>
                <w:highlight w:val="cyan"/>
              </w:rPr>
              <w:t>glecaprevir</w:t>
            </w:r>
            <w:proofErr w:type="spellEnd"/>
            <w:r w:rsidRPr="00543AA7">
              <w:rPr>
                <w:rFonts w:eastAsia="Calibri" w:cs="Arial"/>
                <w:highlight w:val="cyan"/>
              </w:rPr>
              <w:t>/</w:t>
            </w:r>
            <w:proofErr w:type="spellStart"/>
            <w:r w:rsidRPr="00543AA7">
              <w:rPr>
                <w:rFonts w:eastAsia="Calibri" w:cs="Arial"/>
                <w:highlight w:val="cyan"/>
              </w:rPr>
              <w:t>pibrentasvir</w:t>
            </w:r>
            <w:proofErr w:type="spellEnd"/>
            <w:r w:rsidRPr="00543AA7">
              <w:rPr>
                <w:rFonts w:eastAsia="Calibri" w:cs="Arial"/>
                <w:highlight w:val="cyan"/>
              </w:rPr>
              <w:t xml:space="preserve"> or sofosbuvir/</w:t>
            </w:r>
            <w:proofErr w:type="spellStart"/>
            <w:r w:rsidRPr="00543AA7">
              <w:rPr>
                <w:rFonts w:eastAsia="Calibri" w:cs="Arial"/>
                <w:highlight w:val="cyan"/>
              </w:rPr>
              <w:t>velpatasvir</w:t>
            </w:r>
            <w:proofErr w:type="spellEnd"/>
            <w:r w:rsidRPr="00543AA7">
              <w:rPr>
                <w:rFonts w:eastAsia="Calibri" w:cs="Arial"/>
                <w:highlight w:val="cyan"/>
              </w:rPr>
              <w:t>/</w:t>
            </w:r>
            <w:proofErr w:type="spellStart"/>
            <w:r w:rsidRPr="00543AA7">
              <w:rPr>
                <w:rFonts w:eastAsia="Calibri" w:cs="Arial"/>
                <w:highlight w:val="cyan"/>
              </w:rPr>
              <w:t>voxilaprevir</w:t>
            </w:r>
            <w:proofErr w:type="spellEnd"/>
            <w:r w:rsidRPr="00543AA7">
              <w:rPr>
                <w:rFonts w:eastAsia="Calibri" w:cs="Arial"/>
                <w:highlight w:val="cyan"/>
              </w:rPr>
              <w:t xml:space="preserve"> is contraindicated. See </w:t>
            </w:r>
            <w:hyperlink r:id="rId36" w:history="1">
              <w:r w:rsidRPr="00543AA7">
                <w:rPr>
                  <w:rFonts w:eastAsia="Arial" w:cs="Arial"/>
                  <w:b/>
                  <w:bCs/>
                  <w:color w:val="1E6DFF" w:themeColor="accent1" w:themeTint="99"/>
                  <w:highlight w:val="cyan"/>
                  <w:u w:val="single"/>
                </w:rPr>
                <w:t>Liverpool HEP Interactions</w:t>
              </w:r>
            </w:hyperlink>
            <w:r w:rsidR="00543AA7" w:rsidRPr="00543AA7">
              <w:rPr>
                <w:rFonts w:eastAsia="Arial" w:cs="Arial"/>
                <w:b/>
                <w:bCs/>
                <w:color w:val="1E6DFF" w:themeColor="accent1" w:themeTint="99"/>
                <w:highlight w:val="cyan"/>
                <w:u w:val="single"/>
              </w:rPr>
              <w:t>.</w:t>
            </w:r>
          </w:p>
        </w:tc>
      </w:tr>
      <w:tr w:rsidR="0080528C" w:rsidRPr="00AF42D9" w14:paraId="2B045200" w14:textId="77777777" w:rsidTr="0080528C">
        <w:tc>
          <w:tcPr>
            <w:tcW w:w="3403" w:type="dxa"/>
            <w:shd w:val="clear" w:color="auto" w:fill="BFBFBF" w:themeFill="text1" w:themeFillShade="BF"/>
          </w:tcPr>
          <w:p w14:paraId="7D6C8EB3"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lastRenderedPageBreak/>
              <w:t>Identification &amp; management of adverse reactions</w:t>
            </w:r>
          </w:p>
        </w:tc>
        <w:tc>
          <w:tcPr>
            <w:tcW w:w="6945" w:type="dxa"/>
          </w:tcPr>
          <w:p w14:paraId="48AB6F26" w14:textId="77777777" w:rsidR="0080528C" w:rsidRPr="00C9363A" w:rsidRDefault="0080528C" w:rsidP="004C5C3C">
            <w:pPr>
              <w:widowControl w:val="0"/>
              <w:rPr>
                <w:rFonts w:eastAsia="Calibri" w:cs="Arial"/>
              </w:rPr>
            </w:pPr>
            <w:r w:rsidRPr="00AF42D9">
              <w:rPr>
                <w:rFonts w:eastAsia="Calibri" w:cs="Arial"/>
              </w:rPr>
              <w:t xml:space="preserve">A detailed list of adverse reactions is available in the individual product SPC, which is available from the electronic Medicines Compendium website: </w:t>
            </w:r>
            <w:hyperlink r:id="rId37" w:history="1">
              <w:r w:rsidRPr="002F131C">
                <w:rPr>
                  <w:rFonts w:eastAsia="Calibri" w:cs="Arial"/>
                  <w:b/>
                  <w:bCs/>
                  <w:color w:val="1E6DFF" w:themeColor="accent1" w:themeTint="99"/>
                  <w:u w:val="single"/>
                </w:rPr>
                <w:t>www.medicines.org.uk</w:t>
              </w:r>
            </w:hyperlink>
            <w:r w:rsidRPr="00AF42D9">
              <w:rPr>
                <w:rFonts w:eastAsia="Calibri" w:cs="Arial"/>
              </w:rPr>
              <w:t xml:space="preserve"> and BNF </w:t>
            </w:r>
            <w:hyperlink r:id="rId38" w:history="1">
              <w:r w:rsidRPr="002F131C">
                <w:rPr>
                  <w:rFonts w:eastAsia="Calibri" w:cs="Arial"/>
                  <w:b/>
                  <w:bCs/>
                  <w:color w:val="1E6DFF" w:themeColor="accent1" w:themeTint="99"/>
                  <w:u w:val="single"/>
                </w:rPr>
                <w:t>www.bnf.org</w:t>
              </w:r>
            </w:hyperlink>
            <w:r w:rsidRPr="00AF42D9">
              <w:rPr>
                <w:rFonts w:eastAsia="Calibri" w:cs="Arial"/>
              </w:rPr>
              <w:t xml:space="preserve">  </w:t>
            </w:r>
            <w:r w:rsidRPr="00C9363A">
              <w:rPr>
                <w:rFonts w:eastAsia="Calibri" w:cs="Arial"/>
              </w:rPr>
              <w:t>The following possible adverse effects are commonly reported with</w:t>
            </w:r>
            <w:r w:rsidRPr="00C9363A">
              <w:rPr>
                <w:rFonts w:ascii="Calibri" w:eastAsia="Calibri" w:hAnsi="Calibri"/>
              </w:rPr>
              <w:t xml:space="preserve"> </w:t>
            </w:r>
            <w:r w:rsidRPr="00C9363A">
              <w:rPr>
                <w:rFonts w:eastAsia="Calibri" w:cs="Arial"/>
              </w:rPr>
              <w:t>COC (but may not reflect all reported adverse effects):</w:t>
            </w:r>
          </w:p>
          <w:p w14:paraId="73D3E409"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Nausea</w:t>
            </w:r>
          </w:p>
          <w:p w14:paraId="22E0284E"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Breast tenderness</w:t>
            </w:r>
          </w:p>
          <w:p w14:paraId="0C76F5B5"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 xml:space="preserve">Headache and migraine                                                                                         </w:t>
            </w:r>
          </w:p>
          <w:p w14:paraId="4ABCCB2A"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Temporary disturbances of bleeding patterns</w:t>
            </w:r>
          </w:p>
          <w:p w14:paraId="47CADCC1"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Change in mood, including depression</w:t>
            </w:r>
          </w:p>
          <w:p w14:paraId="4C83B16D"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Fluid retention</w:t>
            </w:r>
          </w:p>
          <w:p w14:paraId="733A9037"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Change in libido</w:t>
            </w:r>
          </w:p>
          <w:p w14:paraId="28BB8438" w14:textId="77777777" w:rsidR="0080528C"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DD1473">
              <w:rPr>
                <w:rFonts w:cs="Arial"/>
              </w:rPr>
              <w:t>Skin changes, including</w:t>
            </w:r>
            <w:r w:rsidRPr="00D5563C">
              <w:rPr>
                <w:rFonts w:eastAsia="Calibri" w:cs="Arial"/>
              </w:rPr>
              <w:t xml:space="preserve"> acne</w:t>
            </w:r>
          </w:p>
          <w:p w14:paraId="3CCC2419" w14:textId="77777777" w:rsidR="0080528C" w:rsidRPr="00D5563C" w:rsidRDefault="0080528C" w:rsidP="004C5C3C">
            <w:pPr>
              <w:overflowPunct w:val="0"/>
              <w:autoSpaceDE w:val="0"/>
              <w:autoSpaceDN w:val="0"/>
              <w:adjustRightInd w:val="0"/>
              <w:ind w:left="360"/>
              <w:contextualSpacing/>
              <w:textAlignment w:val="baseline"/>
              <w:rPr>
                <w:rFonts w:eastAsia="Calibri" w:cs="Arial"/>
              </w:rPr>
            </w:pPr>
          </w:p>
          <w:p w14:paraId="7E919F0E" w14:textId="77777777" w:rsidR="0080528C" w:rsidRPr="00D5563C" w:rsidRDefault="0080528C" w:rsidP="004C5C3C">
            <w:pPr>
              <w:widowControl w:val="0"/>
              <w:rPr>
                <w:rFonts w:eastAsia="Calibri" w:cs="Arial"/>
              </w:rPr>
            </w:pPr>
            <w:r w:rsidRPr="00D5563C">
              <w:rPr>
                <w:rFonts w:eastAsia="Calibri" w:cs="Arial"/>
              </w:rPr>
              <w:t>Serious adverse effects - these are less common, but the risks should be discussed with the individual:</w:t>
            </w:r>
          </w:p>
          <w:p w14:paraId="338FE355"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Venous thromboembolic events (VTE)</w:t>
            </w:r>
          </w:p>
          <w:p w14:paraId="32110879"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Arterial thromboembolic events (ATE) (including ischaemic heart disease)</w:t>
            </w:r>
          </w:p>
          <w:p w14:paraId="527EE691"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Strokes (e.g., transient ischaemic attack, ischaemic stroke, haemorrhagic stroke)</w:t>
            </w:r>
          </w:p>
          <w:p w14:paraId="696035FE" w14:textId="77777777" w:rsidR="0080528C" w:rsidRPr="00AF42D9"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DD1473">
              <w:rPr>
                <w:rFonts w:cs="Arial"/>
              </w:rPr>
              <w:t>Hypertension</w:t>
            </w:r>
          </w:p>
        </w:tc>
      </w:tr>
      <w:tr w:rsidR="0080528C" w:rsidRPr="00AF42D9" w14:paraId="0648CCF6" w14:textId="77777777" w:rsidTr="0080528C">
        <w:tc>
          <w:tcPr>
            <w:tcW w:w="3403" w:type="dxa"/>
            <w:shd w:val="clear" w:color="auto" w:fill="BFBFBF" w:themeFill="text1" w:themeFillShade="BF"/>
          </w:tcPr>
          <w:p w14:paraId="5FCAA616"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Management of and reporting procedure for adverse reactions</w:t>
            </w:r>
          </w:p>
        </w:tc>
        <w:tc>
          <w:tcPr>
            <w:tcW w:w="6945" w:type="dxa"/>
          </w:tcPr>
          <w:p w14:paraId="7C527CE5" w14:textId="77777777" w:rsidR="0080528C" w:rsidRPr="00C62778"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00C62778">
              <w:rPr>
                <w:rFonts w:eastAsia="Calibri" w:cs="Arial"/>
              </w:rPr>
              <w:t xml:space="preserve">Record all adverse drug reactions (ADRs) in the </w:t>
            </w:r>
            <w:r>
              <w:rPr>
                <w:rFonts w:eastAsia="Calibri" w:cs="Arial"/>
              </w:rPr>
              <w:t>individual</w:t>
            </w:r>
            <w:r w:rsidRPr="00C62778">
              <w:rPr>
                <w:rFonts w:eastAsia="Calibri" w:cs="Arial"/>
              </w:rPr>
              <w:t>’s medical record.</w:t>
            </w:r>
          </w:p>
          <w:p w14:paraId="038E5468" w14:textId="77777777" w:rsidR="0080528C" w:rsidRPr="00C62778" w:rsidRDefault="0080528C" w:rsidP="0080528C">
            <w:pPr>
              <w:numPr>
                <w:ilvl w:val="0"/>
                <w:numId w:val="8"/>
              </w:numPr>
              <w:overflowPunct w:val="0"/>
              <w:autoSpaceDE w:val="0"/>
              <w:autoSpaceDN w:val="0"/>
              <w:adjustRightInd w:val="0"/>
              <w:spacing w:after="0" w:line="240" w:lineRule="auto"/>
              <w:contextualSpacing/>
              <w:textAlignment w:val="baseline"/>
              <w:textboxTightWrap w:val="none"/>
              <w:rPr>
                <w:rFonts w:cs="Arial"/>
              </w:rPr>
            </w:pPr>
            <w:r w:rsidRPr="00C62778">
              <w:rPr>
                <w:rFonts w:eastAsia="Calibri" w:cs="Arial"/>
              </w:rPr>
              <w:t>Pharmacists</w:t>
            </w:r>
            <w:r>
              <w:rPr>
                <w:rFonts w:eastAsia="Calibri" w:cs="Arial"/>
              </w:rPr>
              <w:t>, pharmacy technicians</w:t>
            </w:r>
            <w:r w:rsidRPr="00C62778">
              <w:rPr>
                <w:rFonts w:eastAsia="Calibri" w:cs="Arial"/>
              </w:rPr>
              <w:t xml:space="preserve"> and </w:t>
            </w:r>
            <w:r>
              <w:rPr>
                <w:rFonts w:eastAsia="Calibri" w:cs="Arial"/>
              </w:rPr>
              <w:t>individuals</w:t>
            </w:r>
            <w:r w:rsidRPr="00C62778">
              <w:rPr>
                <w:rFonts w:eastAsia="Calibri" w:cs="Arial"/>
              </w:rPr>
              <w:t>/carers are encouraged to report suspected adverse</w:t>
            </w:r>
            <w:r w:rsidRPr="00C62778">
              <w:rPr>
                <w:rFonts w:eastAsia="Arial" w:cs="Arial"/>
                <w:spacing w:val="29"/>
              </w:rPr>
              <w:t xml:space="preserve"> </w:t>
            </w:r>
            <w:r w:rsidRPr="00C62778">
              <w:rPr>
                <w:rFonts w:eastAsia="Arial" w:cs="Arial"/>
              </w:rPr>
              <w:t>reactions</w:t>
            </w:r>
            <w:r w:rsidRPr="00C62778">
              <w:rPr>
                <w:rFonts w:eastAsia="Arial" w:cs="Arial"/>
                <w:spacing w:val="10"/>
              </w:rPr>
              <w:t xml:space="preserve"> </w:t>
            </w:r>
            <w:r w:rsidRPr="00C62778">
              <w:rPr>
                <w:rFonts w:eastAsia="Arial" w:cs="Arial"/>
              </w:rPr>
              <w:t>to</w:t>
            </w:r>
            <w:r w:rsidRPr="00C62778">
              <w:rPr>
                <w:rFonts w:eastAsia="Arial" w:cs="Arial"/>
                <w:spacing w:val="14"/>
              </w:rPr>
              <w:t xml:space="preserve"> </w:t>
            </w:r>
            <w:r w:rsidRPr="00C62778">
              <w:rPr>
                <w:rFonts w:eastAsia="Arial" w:cs="Arial"/>
              </w:rPr>
              <w:t>the</w:t>
            </w:r>
            <w:r w:rsidRPr="00C62778">
              <w:rPr>
                <w:rFonts w:eastAsia="Arial" w:cs="Arial"/>
                <w:w w:val="98"/>
              </w:rPr>
              <w:t xml:space="preserve"> </w:t>
            </w:r>
            <w:r w:rsidRPr="00C62778">
              <w:rPr>
                <w:rFonts w:eastAsia="Arial" w:cs="Arial"/>
              </w:rPr>
              <w:t>Medicines</w:t>
            </w:r>
            <w:r w:rsidRPr="00C62778">
              <w:rPr>
                <w:rFonts w:eastAsia="Arial" w:cs="Arial"/>
                <w:spacing w:val="22"/>
              </w:rPr>
              <w:t xml:space="preserve"> </w:t>
            </w:r>
            <w:r w:rsidRPr="00C62778">
              <w:rPr>
                <w:rFonts w:eastAsia="Arial" w:cs="Arial"/>
              </w:rPr>
              <w:t>and</w:t>
            </w:r>
            <w:r w:rsidRPr="00C62778">
              <w:rPr>
                <w:rFonts w:eastAsia="Arial" w:cs="Arial"/>
                <w:spacing w:val="19"/>
              </w:rPr>
              <w:t xml:space="preserve"> </w:t>
            </w:r>
            <w:r w:rsidRPr="00C62778">
              <w:rPr>
                <w:rFonts w:eastAsia="Arial" w:cs="Arial"/>
              </w:rPr>
              <w:t>Healthcare</w:t>
            </w:r>
            <w:r w:rsidRPr="00C62778">
              <w:rPr>
                <w:rFonts w:eastAsia="Arial" w:cs="Arial"/>
                <w:spacing w:val="18"/>
              </w:rPr>
              <w:t xml:space="preserve"> </w:t>
            </w:r>
            <w:r w:rsidRPr="00C62778">
              <w:rPr>
                <w:rFonts w:eastAsia="Arial" w:cs="Arial"/>
              </w:rPr>
              <w:t>products</w:t>
            </w:r>
            <w:r w:rsidRPr="00C62778">
              <w:rPr>
                <w:rFonts w:eastAsia="Arial" w:cs="Arial"/>
                <w:spacing w:val="23"/>
              </w:rPr>
              <w:t xml:space="preserve"> </w:t>
            </w:r>
            <w:r w:rsidRPr="00C62778">
              <w:rPr>
                <w:rFonts w:eastAsia="Arial" w:cs="Arial"/>
              </w:rPr>
              <w:t>Regulatory</w:t>
            </w:r>
            <w:r w:rsidRPr="00C62778">
              <w:rPr>
                <w:rFonts w:eastAsia="Arial" w:cs="Arial"/>
                <w:spacing w:val="7"/>
              </w:rPr>
              <w:t xml:space="preserve"> </w:t>
            </w:r>
            <w:r w:rsidRPr="00C62778">
              <w:rPr>
                <w:rFonts w:eastAsia="Arial" w:cs="Arial"/>
              </w:rPr>
              <w:t>Agency</w:t>
            </w:r>
            <w:r w:rsidRPr="00C62778">
              <w:rPr>
                <w:rFonts w:eastAsia="Arial" w:cs="Arial"/>
                <w:spacing w:val="38"/>
              </w:rPr>
              <w:t xml:space="preserve"> </w:t>
            </w:r>
            <w:r w:rsidRPr="00C62778">
              <w:rPr>
                <w:rFonts w:eastAsia="Arial" w:cs="Arial"/>
              </w:rPr>
              <w:t>(MHRA)</w:t>
            </w:r>
            <w:r w:rsidRPr="00C62778">
              <w:rPr>
                <w:rFonts w:eastAsia="Arial" w:cs="Arial"/>
                <w:w w:val="101"/>
              </w:rPr>
              <w:t xml:space="preserve"> </w:t>
            </w:r>
            <w:r w:rsidRPr="00C62778">
              <w:rPr>
                <w:rFonts w:eastAsia="Arial" w:cs="Arial"/>
              </w:rPr>
              <w:t>using</w:t>
            </w:r>
            <w:r w:rsidRPr="00C62778">
              <w:rPr>
                <w:rFonts w:eastAsia="Arial" w:cs="Arial"/>
                <w:spacing w:val="9"/>
              </w:rPr>
              <w:t xml:space="preserve"> </w:t>
            </w:r>
            <w:r w:rsidRPr="00C62778">
              <w:rPr>
                <w:rFonts w:eastAsia="Arial" w:cs="Arial"/>
              </w:rPr>
              <w:t>the</w:t>
            </w:r>
            <w:r w:rsidRPr="00C62778">
              <w:rPr>
                <w:rFonts w:eastAsia="Arial" w:cs="Arial"/>
                <w:spacing w:val="11"/>
              </w:rPr>
              <w:t xml:space="preserve"> </w:t>
            </w:r>
            <w:r w:rsidRPr="00C62778">
              <w:rPr>
                <w:rFonts w:eastAsia="Arial" w:cs="Arial"/>
              </w:rPr>
              <w:t>Yellow</w:t>
            </w:r>
            <w:r w:rsidRPr="00C62778">
              <w:rPr>
                <w:rFonts w:eastAsia="Arial" w:cs="Arial"/>
                <w:spacing w:val="28"/>
              </w:rPr>
              <w:t xml:space="preserve"> </w:t>
            </w:r>
            <w:r w:rsidRPr="00C62778">
              <w:rPr>
                <w:rFonts w:eastAsia="Arial" w:cs="Arial"/>
              </w:rPr>
              <w:t>Card</w:t>
            </w:r>
            <w:r w:rsidRPr="00C62778">
              <w:rPr>
                <w:rFonts w:eastAsia="Arial" w:cs="Arial"/>
                <w:spacing w:val="16"/>
              </w:rPr>
              <w:t xml:space="preserve"> </w:t>
            </w:r>
            <w:r w:rsidRPr="00C62778">
              <w:rPr>
                <w:rFonts w:eastAsia="Arial" w:cs="Arial"/>
              </w:rPr>
              <w:t>reporting</w:t>
            </w:r>
            <w:r w:rsidRPr="00C62778">
              <w:rPr>
                <w:rFonts w:eastAsia="Arial" w:cs="Arial"/>
                <w:spacing w:val="12"/>
              </w:rPr>
              <w:t xml:space="preserve"> </w:t>
            </w:r>
            <w:r w:rsidRPr="00C62778">
              <w:rPr>
                <w:rFonts w:eastAsia="Arial" w:cs="Arial"/>
              </w:rPr>
              <w:t xml:space="preserve">scheme: </w:t>
            </w:r>
            <w:hyperlink r:id="rId39" w:history="1">
              <w:r w:rsidRPr="002F131C">
                <w:rPr>
                  <w:rFonts w:eastAsia="Calibri" w:cs="Arial"/>
                  <w:b/>
                  <w:bCs/>
                  <w:color w:val="1E6DFF" w:themeColor="accent1" w:themeTint="99"/>
                  <w:u w:val="single"/>
                </w:rPr>
                <w:t>http://yellowcard.mhra.gov.uk</w:t>
              </w:r>
            </w:hyperlink>
            <w:r w:rsidRPr="00C62778">
              <w:rPr>
                <w:rFonts w:eastAsia="Arial" w:cs="Arial"/>
                <w:color w:val="2F5496"/>
                <w:u w:val="single"/>
              </w:rPr>
              <w:t xml:space="preserve"> </w:t>
            </w:r>
          </w:p>
        </w:tc>
      </w:tr>
      <w:tr w:rsidR="0080528C" w:rsidRPr="00AF42D9" w14:paraId="0E298D15" w14:textId="77777777" w:rsidTr="0080528C">
        <w:tc>
          <w:tcPr>
            <w:tcW w:w="3403" w:type="dxa"/>
            <w:shd w:val="clear" w:color="auto" w:fill="BFBFBF" w:themeFill="text1" w:themeFillShade="BF"/>
          </w:tcPr>
          <w:p w14:paraId="31EBAF2B" w14:textId="77777777" w:rsidR="0080528C" w:rsidRPr="00AF42D9" w:rsidRDefault="0080528C" w:rsidP="004C5C3C">
            <w:pPr>
              <w:overflowPunct w:val="0"/>
              <w:autoSpaceDE w:val="0"/>
              <w:autoSpaceDN w:val="0"/>
              <w:adjustRightInd w:val="0"/>
              <w:spacing w:before="60" w:after="60"/>
              <w:textAlignment w:val="baseline"/>
              <w:rPr>
                <w:rFonts w:cs="Arial"/>
                <w:b/>
              </w:rPr>
            </w:pPr>
            <w:r>
              <w:rPr>
                <w:rFonts w:cs="Arial"/>
                <w:b/>
              </w:rPr>
              <w:t>Management of and reporting procedure for patient safety incidents</w:t>
            </w:r>
          </w:p>
        </w:tc>
        <w:tc>
          <w:tcPr>
            <w:tcW w:w="6945" w:type="dxa"/>
          </w:tcPr>
          <w:p w14:paraId="39ABC822" w14:textId="77777777" w:rsidR="0080528C" w:rsidRPr="00C62778"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ED3C1C">
              <w:rPr>
                <w:rFonts w:eastAsia="Arial" w:cs="Arial"/>
              </w:rPr>
              <w:t>The pharmacy is required to report any patient safety incidents in line with the</w:t>
            </w:r>
            <w:r>
              <w:rPr>
                <w:rFonts w:cs="Arial"/>
                <w:color w:val="202A30"/>
                <w:shd w:val="clear" w:color="auto" w:fill="FFFFFF"/>
              </w:rPr>
              <w:t xml:space="preserve"> </w:t>
            </w:r>
            <w:hyperlink r:id="rId40" w:history="1">
              <w:r w:rsidRPr="002F131C">
                <w:rPr>
                  <w:rStyle w:val="Hyperlink"/>
                  <w:rFonts w:cs="Arial"/>
                  <w:b/>
                  <w:bCs/>
                  <w:color w:val="1E6DFF" w:themeColor="accent1" w:themeTint="99"/>
                  <w:shd w:val="clear" w:color="auto" w:fill="FFFFFF"/>
                </w:rPr>
                <w:t>https://www.gov.uk/government/publications/clinical-governance-approved-particulars</w:t>
              </w:r>
            </w:hyperlink>
            <w:r>
              <w:rPr>
                <w:rFonts w:cs="Arial"/>
                <w:color w:val="202A30"/>
                <w:shd w:val="clear" w:color="auto" w:fill="FFFFFF"/>
              </w:rPr>
              <w:t>.</w:t>
            </w:r>
          </w:p>
        </w:tc>
      </w:tr>
      <w:tr w:rsidR="0080528C" w:rsidRPr="00AF42D9" w14:paraId="52C6D191" w14:textId="77777777" w:rsidTr="0080528C">
        <w:tc>
          <w:tcPr>
            <w:tcW w:w="3403" w:type="dxa"/>
            <w:shd w:val="clear" w:color="auto" w:fill="BFBFBF" w:themeFill="text1" w:themeFillShade="BF"/>
          </w:tcPr>
          <w:p w14:paraId="6B16121A"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szCs w:val="20"/>
              </w:rPr>
              <w:br w:type="page"/>
            </w:r>
            <w:r w:rsidRPr="00AF42D9">
              <w:rPr>
                <w:szCs w:val="20"/>
              </w:rPr>
              <w:br w:type="page"/>
            </w:r>
            <w:r w:rsidRPr="00AF42D9">
              <w:rPr>
                <w:rFonts w:cs="Arial"/>
                <w:b/>
              </w:rPr>
              <w:t xml:space="preserve">Written information and further advice to be given to individual </w:t>
            </w:r>
          </w:p>
        </w:tc>
        <w:tc>
          <w:tcPr>
            <w:tcW w:w="6945" w:type="dxa"/>
          </w:tcPr>
          <w:p w14:paraId="48C1677B"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 xml:space="preserve">Provide patient information leaflet (PIL) with the original pack. </w:t>
            </w:r>
          </w:p>
          <w:p w14:paraId="3EABB339"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Individuals should be informed about the superior effectiveness of LARC.</w:t>
            </w:r>
          </w:p>
          <w:p w14:paraId="5C076DDE"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lastRenderedPageBreak/>
              <w:t>Individuals should be provided with written information or a link to a trusted online resource to support safe, effective COC use.</w:t>
            </w:r>
          </w:p>
          <w:p w14:paraId="240EC786" w14:textId="77777777" w:rsidR="0080528C" w:rsidRPr="00DD147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D1473">
              <w:rPr>
                <w:rFonts w:cs="Arial"/>
              </w:rPr>
              <w:t>Explain mode of action, side effects, and benefits of the medicine.</w:t>
            </w:r>
          </w:p>
          <w:p w14:paraId="66092C67" w14:textId="77777777" w:rsidR="0080528C" w:rsidRPr="00EB5059"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rPr>
            </w:pPr>
            <w:r w:rsidRPr="00DD1473">
              <w:rPr>
                <w:rFonts w:cs="Arial"/>
              </w:rPr>
              <w:t>Advise about the risks of the medication including failure rates and serious side</w:t>
            </w:r>
            <w:r w:rsidRPr="00AF42D9">
              <w:rPr>
                <w:rFonts w:eastAsia="Arial" w:cs="Arial"/>
              </w:rPr>
              <w:t xml:space="preserve"> effects and the actions to be taken noting that the risks of using COC could outweigh the benefits.</w:t>
            </w:r>
            <w:r w:rsidRPr="00AF42D9">
              <w:rPr>
                <w:rFonts w:ascii="Calibri" w:eastAsia="Calibri" w:hAnsi="Calibri"/>
              </w:rPr>
              <w:t xml:space="preserve"> </w:t>
            </w:r>
          </w:p>
          <w:p w14:paraId="08F96BA0"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F42D9">
              <w:rPr>
                <w:rFonts w:eastAsia="Arial" w:cs="Arial"/>
                <w:b/>
              </w:rPr>
              <w:t xml:space="preserve">Serious symptoms: </w:t>
            </w:r>
            <w:r w:rsidRPr="00AF42D9">
              <w:rPr>
                <w:rFonts w:eastAsia="Arial" w:cs="Arial"/>
              </w:rPr>
              <w:t xml:space="preserve">the individual should stop taking the COC and seek medical help urgently if they experience calf swelling, heat or pain in the calf, shortness of breath, chest pain or haemoptysis. The individual should seek advice if they experience their first ever migraine or develops aura with </w:t>
            </w:r>
            <w:r w:rsidRPr="003E7D3B">
              <w:rPr>
                <w:rFonts w:cs="Arial"/>
              </w:rPr>
              <w:t>existing migraine.</w:t>
            </w:r>
          </w:p>
          <w:p w14:paraId="63A2846F"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Individuals should be advised that current use of COC is associated with a small increased risk of breast cancer which reduces with time after stopping COC.</w:t>
            </w:r>
          </w:p>
          <w:p w14:paraId="6CBF6FB6"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Individuals should be advised that current use of COC for more than 5 years is associated with a small increased risk of cervical cancer; risk which reduces over time after stopping COC and is no longer increased by about 10 years after stopping.</w:t>
            </w:r>
          </w:p>
          <w:p w14:paraId="072D8DB6"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Individuals should be advised that current use of COC is associated with an increased risk of VTE/ATE.</w:t>
            </w:r>
          </w:p>
          <w:p w14:paraId="79A22481"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Individuals using COC should be advised about reducing periods of immobility during travel.</w:t>
            </w:r>
          </w:p>
          <w:p w14:paraId="5C5F5B34"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Individuals trekking to high altitudes (above 4500m or 14500 feet) for periods of more than 1 week may be advised to consider switching to a safer alternative contraceptive method.</w:t>
            </w:r>
          </w:p>
          <w:p w14:paraId="513ABAEC" w14:textId="77777777" w:rsidR="0080528C" w:rsidRPr="00C9363A"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rPr>
            </w:pPr>
            <w:r w:rsidRPr="003E7D3B">
              <w:rPr>
                <w:rFonts w:cs="Arial"/>
              </w:rPr>
              <w:t>Individuals</w:t>
            </w:r>
            <w:r w:rsidRPr="00C9363A">
              <w:rPr>
                <w:rFonts w:eastAsia="Arial" w:cs="Arial"/>
              </w:rPr>
              <w:t xml:space="preserve"> should be advised to stop C</w:t>
            </w:r>
            <w:r>
              <w:rPr>
                <w:rFonts w:eastAsia="Arial" w:cs="Arial"/>
              </w:rPr>
              <w:t>O</w:t>
            </w:r>
            <w:r w:rsidRPr="00C9363A">
              <w:rPr>
                <w:rFonts w:eastAsia="Arial" w:cs="Arial"/>
              </w:rPr>
              <w:t xml:space="preserve">C and to switch to an alternative contraceptive method at least 4 weeks prior to planned major surgery or </w:t>
            </w:r>
            <w:r>
              <w:rPr>
                <w:rFonts w:eastAsia="Arial" w:cs="Arial"/>
              </w:rPr>
              <w:t xml:space="preserve">an </w:t>
            </w:r>
            <w:r w:rsidRPr="00C9363A">
              <w:rPr>
                <w:rFonts w:eastAsia="Arial" w:cs="Arial"/>
              </w:rPr>
              <w:t>expected period of limited mobility.</w:t>
            </w:r>
          </w:p>
          <w:p w14:paraId="5521D230" w14:textId="095B9CDB"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C9363A">
              <w:rPr>
                <w:rFonts w:eastAsia="Arial" w:cs="Arial"/>
              </w:rPr>
              <w:t>Advise on action if vomiting or severe diarrhoea</w:t>
            </w:r>
            <w:r w:rsidRPr="00AF42D9">
              <w:rPr>
                <w:rFonts w:eastAsia="Arial" w:cs="Arial"/>
              </w:rPr>
              <w:t xml:space="preserve"> occurs and missed pill advice</w:t>
            </w:r>
            <w:r w:rsidRPr="00AF42D9" w:rsidDel="00333BC8">
              <w:rPr>
                <w:rFonts w:eastAsia="Arial" w:cs="Arial"/>
              </w:rPr>
              <w:t xml:space="preserve"> </w:t>
            </w:r>
            <w:r>
              <w:rPr>
                <w:rFonts w:eastAsia="Arial" w:cs="Arial"/>
              </w:rPr>
              <w:t>–</w:t>
            </w:r>
            <w:r w:rsidRPr="00AF42D9">
              <w:rPr>
                <w:rFonts w:eastAsia="Arial" w:cs="Arial"/>
              </w:rPr>
              <w:t xml:space="preserve"> see </w:t>
            </w:r>
            <w:hyperlink r:id="rId41" w:history="1">
              <w:proofErr w:type="spellStart"/>
              <w:r w:rsidR="00AF70CD">
                <w:rPr>
                  <w:rFonts w:eastAsia="Arial" w:cs="Arial"/>
                  <w:b/>
                  <w:bCs/>
                  <w:color w:val="1E6DFF" w:themeColor="accent1" w:themeTint="99"/>
                  <w:u w:val="single"/>
                </w:rPr>
                <w:t>Co</w:t>
              </w:r>
              <w:r w:rsidRPr="002F131C">
                <w:rPr>
                  <w:rFonts w:eastAsia="Arial" w:cs="Arial"/>
                  <w:b/>
                  <w:bCs/>
                  <w:color w:val="1E6DFF" w:themeColor="accent1" w:themeTint="99"/>
                  <w:u w:val="single"/>
                </w:rPr>
                <w:t>SRH</w:t>
              </w:r>
              <w:proofErr w:type="spellEnd"/>
              <w:r w:rsidRPr="002F131C">
                <w:rPr>
                  <w:rFonts w:eastAsia="Arial" w:cs="Arial"/>
                  <w:b/>
                  <w:bCs/>
                  <w:color w:val="1E6DFF" w:themeColor="accent1" w:themeTint="99"/>
                  <w:u w:val="single"/>
                </w:rPr>
                <w:t xml:space="preserve"> guidance</w:t>
              </w:r>
            </w:hyperlink>
            <w:r w:rsidRPr="00AF42D9">
              <w:rPr>
                <w:rFonts w:eastAsia="Arial" w:cs="Arial"/>
              </w:rPr>
              <w:t>.</w:t>
            </w:r>
          </w:p>
          <w:p w14:paraId="0D896F35" w14:textId="77777777" w:rsidR="0080528C"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 xml:space="preserve">Advise that non enzyme inducing antibiotics do not interact with COC and if these are prescribed, COC should be continued as normal, with no additional precautions required.  </w:t>
            </w:r>
          </w:p>
          <w:p w14:paraId="6C7BE9B7" w14:textId="77777777" w:rsidR="0080528C" w:rsidRPr="005A3D16"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highlight w:val="yellow"/>
              </w:rPr>
            </w:pPr>
            <w:r w:rsidRPr="005A3D16">
              <w:rPr>
                <w:rFonts w:eastAsia="Arial" w:cs="Arial"/>
                <w:highlight w:val="yellow"/>
              </w:rPr>
              <w:t xml:space="preserve">Depressed mood and depression are well-known reported undesirable effects of hormonal contraceptive use. </w:t>
            </w:r>
            <w:r w:rsidRPr="005A3D16">
              <w:rPr>
                <w:rFonts w:eastAsia="Arial" w:cs="Arial"/>
                <w:highlight w:val="yellow"/>
              </w:rPr>
              <w:lastRenderedPageBreak/>
              <w:t>Depression can be serious and is a well-known risk factor for suicidal behaviour and suicide. Women should be advised to speak to the pharmacist or pharmacy technician where medication was initiated by the pharmacy, or their general practice in case of mood changes and depressive symptoms, appearing shortly after initiation of the treatment.</w:t>
            </w:r>
            <w:r w:rsidRPr="005A3D16">
              <w:rPr>
                <w:rFonts w:cs="Arial"/>
                <w:highlight w:val="yellow"/>
              </w:rPr>
              <w:t xml:space="preserve"> </w:t>
            </w:r>
          </w:p>
          <w:p w14:paraId="68C20ACA" w14:textId="3E291BDD" w:rsidR="0080528C" w:rsidRPr="002B3C0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highlight w:val="yellow"/>
              </w:rPr>
            </w:pPr>
            <w:r w:rsidRPr="002B3C03">
              <w:rPr>
                <w:rFonts w:cs="Arial"/>
                <w:highlight w:val="yellow"/>
              </w:rPr>
              <w:t xml:space="preserve">Provide </w:t>
            </w:r>
            <w:hyperlink r:id="rId42" w:history="1">
              <w:proofErr w:type="spellStart"/>
              <w:r w:rsidR="00C63658">
                <w:rPr>
                  <w:rStyle w:val="Hyperlink"/>
                  <w:rFonts w:cs="Arial"/>
                  <w:b/>
                  <w:bCs/>
                  <w:color w:val="1E6DFF" w:themeColor="accent1" w:themeTint="99"/>
                  <w:highlight w:val="yellow"/>
                </w:rPr>
                <w:t>Co</w:t>
              </w:r>
              <w:r w:rsidRPr="00080C57">
                <w:rPr>
                  <w:rStyle w:val="Hyperlink"/>
                  <w:rFonts w:cs="Arial"/>
                  <w:b/>
                  <w:bCs/>
                  <w:color w:val="1E6DFF" w:themeColor="accent1" w:themeTint="99"/>
                  <w:highlight w:val="yellow"/>
                </w:rPr>
                <w:t>SRH</w:t>
              </w:r>
              <w:proofErr w:type="spellEnd"/>
              <w:r w:rsidRPr="00080C57">
                <w:rPr>
                  <w:rStyle w:val="Hyperlink"/>
                  <w:rFonts w:cs="Arial"/>
                  <w:b/>
                  <w:bCs/>
                  <w:color w:val="1E6DFF" w:themeColor="accent1" w:themeTint="99"/>
                  <w:highlight w:val="yellow"/>
                </w:rPr>
                <w:t xml:space="preserve"> PIL</w:t>
              </w:r>
            </w:hyperlink>
            <w:r w:rsidRPr="002B3C03">
              <w:rPr>
                <w:rFonts w:cs="Arial"/>
                <w:highlight w:val="yellow"/>
              </w:rPr>
              <w:t xml:space="preserve"> on GLP-1 agonists and contraception as appropriate (see cautions).</w:t>
            </w:r>
          </w:p>
          <w:p w14:paraId="7724C437"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 xml:space="preserve">Recommend the use of condoms and offer advice on safer sex practices and possible need for screening for sexually transmitted infections (STIs), where appropriate. </w:t>
            </w:r>
          </w:p>
          <w:p w14:paraId="58887434"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 xml:space="preserve">Ensure the individual has contact details of any appropriate local </w:t>
            </w:r>
            <w:r w:rsidRPr="003E7D3B" w:rsidDel="00912A34">
              <w:rPr>
                <w:rFonts w:cs="Arial"/>
              </w:rPr>
              <w:t>service</w:t>
            </w:r>
            <w:r w:rsidRPr="003E7D3B">
              <w:rPr>
                <w:rFonts w:cs="Arial"/>
              </w:rPr>
              <w:t>s</w:t>
            </w:r>
            <w:r w:rsidRPr="003E7D3B" w:rsidDel="00912A34">
              <w:rPr>
                <w:rFonts w:cs="Arial"/>
              </w:rPr>
              <w:t>/</w:t>
            </w:r>
            <w:r w:rsidRPr="003E7D3B">
              <w:rPr>
                <w:rFonts w:cs="Arial"/>
              </w:rPr>
              <w:t>sexual health services.</w:t>
            </w:r>
          </w:p>
          <w:p w14:paraId="05DEE368"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rPr>
            </w:pPr>
            <w:r w:rsidRPr="003E7D3B">
              <w:rPr>
                <w:rFonts w:cs="Arial"/>
              </w:rPr>
              <w:t>Advise individual to seek advice from a pharmacist, doctor, or other prescriber</w:t>
            </w:r>
            <w:r w:rsidRPr="004965CB">
              <w:rPr>
                <w:rFonts w:eastAsia="Arial" w:cs="Arial"/>
              </w:rPr>
              <w:t xml:space="preserve"> before starting any new medications or herbal products, including those purchased.</w:t>
            </w:r>
          </w:p>
        </w:tc>
      </w:tr>
      <w:tr w:rsidR="0080528C" w:rsidRPr="00AF42D9" w14:paraId="37AEC97F" w14:textId="77777777" w:rsidTr="0080528C">
        <w:tblPrEx>
          <w:tblLook w:val="0000" w:firstRow="0" w:lastRow="0" w:firstColumn="0" w:lastColumn="0" w:noHBand="0" w:noVBand="0"/>
        </w:tblPrEx>
        <w:tc>
          <w:tcPr>
            <w:tcW w:w="3403" w:type="dxa"/>
            <w:shd w:val="clear" w:color="auto" w:fill="BFBFBF" w:themeFill="text1" w:themeFillShade="BF"/>
          </w:tcPr>
          <w:p w14:paraId="306277C7" w14:textId="77777777" w:rsidR="0080528C" w:rsidRPr="004965CB" w:rsidRDefault="0080528C" w:rsidP="004C5C3C">
            <w:pPr>
              <w:overflowPunct w:val="0"/>
              <w:autoSpaceDE w:val="0"/>
              <w:autoSpaceDN w:val="0"/>
              <w:adjustRightInd w:val="0"/>
              <w:spacing w:before="60" w:after="60"/>
              <w:textAlignment w:val="baseline"/>
              <w:rPr>
                <w:rFonts w:cs="Arial"/>
              </w:rPr>
            </w:pPr>
            <w:r w:rsidRPr="004965CB">
              <w:rPr>
                <w:rFonts w:cs="Arial"/>
                <w:b/>
              </w:rPr>
              <w:lastRenderedPageBreak/>
              <w:t>Advice / follow up treatment</w:t>
            </w:r>
          </w:p>
        </w:tc>
        <w:tc>
          <w:tcPr>
            <w:tcW w:w="6945" w:type="dxa"/>
          </w:tcPr>
          <w:p w14:paraId="4C99C770" w14:textId="77777777" w:rsidR="0080528C" w:rsidRPr="00481F9F"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3C164792">
              <w:rPr>
                <w:rFonts w:cs="Arial"/>
              </w:rPr>
              <w:t xml:space="preserve">The individual should be advised to seek medical advice in the event of an adverse reaction.  </w:t>
            </w:r>
          </w:p>
          <w:p w14:paraId="4284EBBA" w14:textId="77777777" w:rsidR="0080528C" w:rsidRPr="003E7D3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3E7D3B">
              <w:rPr>
                <w:rFonts w:cs="Arial"/>
              </w:rPr>
              <w:t>The individual should seek further advice if they have any concerns.</w:t>
            </w:r>
          </w:p>
          <w:p w14:paraId="005428D3" w14:textId="77777777" w:rsidR="0080528C" w:rsidRPr="004965C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rPr>
            </w:pPr>
            <w:r w:rsidRPr="003E7D3B">
              <w:rPr>
                <w:rFonts w:cs="Arial"/>
              </w:rPr>
              <w:t>The individual</w:t>
            </w:r>
            <w:r w:rsidRPr="004965CB">
              <w:rPr>
                <w:rFonts w:eastAsia="Arial" w:cs="Arial"/>
              </w:rPr>
              <w:t xml:space="preserve"> should be advised on how to obtain future supplies</w:t>
            </w:r>
            <w:r>
              <w:rPr>
                <w:rFonts w:eastAsia="Arial" w:cs="Arial"/>
              </w:rPr>
              <w:t>.</w:t>
            </w:r>
          </w:p>
        </w:tc>
      </w:tr>
      <w:tr w:rsidR="0080528C" w:rsidRPr="00AF42D9" w14:paraId="5037A701" w14:textId="77777777" w:rsidTr="0080528C">
        <w:tblPrEx>
          <w:tblLook w:val="0000" w:firstRow="0" w:lastRow="0" w:firstColumn="0" w:lastColumn="0" w:noHBand="0" w:noVBand="0"/>
        </w:tblPrEx>
        <w:tc>
          <w:tcPr>
            <w:tcW w:w="3403" w:type="dxa"/>
            <w:shd w:val="clear" w:color="auto" w:fill="BFBFBF" w:themeFill="text1" w:themeFillShade="BF"/>
          </w:tcPr>
          <w:p w14:paraId="4774D25F" w14:textId="77777777" w:rsidR="0080528C" w:rsidRPr="00AF42D9" w:rsidRDefault="0080528C" w:rsidP="004C5C3C">
            <w:pPr>
              <w:overflowPunct w:val="0"/>
              <w:autoSpaceDE w:val="0"/>
              <w:autoSpaceDN w:val="0"/>
              <w:adjustRightInd w:val="0"/>
              <w:spacing w:before="60" w:after="60"/>
              <w:textAlignment w:val="baseline"/>
              <w:rPr>
                <w:rFonts w:cs="Arial"/>
                <w:b/>
              </w:rPr>
            </w:pPr>
            <w:r w:rsidRPr="00AF42D9">
              <w:rPr>
                <w:rFonts w:cs="Arial"/>
                <w:b/>
              </w:rPr>
              <w:t>Records</w:t>
            </w:r>
          </w:p>
        </w:tc>
        <w:tc>
          <w:tcPr>
            <w:tcW w:w="6945" w:type="dxa"/>
          </w:tcPr>
          <w:p w14:paraId="67B76871" w14:textId="77777777" w:rsidR="0080528C" w:rsidRPr="00FD5C58" w:rsidRDefault="0080528C" w:rsidP="004C5C3C">
            <w:pPr>
              <w:overflowPunct w:val="0"/>
              <w:autoSpaceDE w:val="0"/>
              <w:autoSpaceDN w:val="0"/>
              <w:adjustRightInd w:val="0"/>
              <w:contextualSpacing/>
              <w:textAlignment w:val="baseline"/>
              <w:rPr>
                <w:rFonts w:cs="Arial"/>
              </w:rPr>
            </w:pPr>
            <w:r w:rsidRPr="00B05C61">
              <w:rPr>
                <w:rFonts w:cs="Arial"/>
                <w:b/>
                <w:bCs/>
              </w:rPr>
              <w:t>Record</w:t>
            </w:r>
            <w:r w:rsidRPr="00FD5C58">
              <w:rPr>
                <w:rFonts w:cs="Arial"/>
              </w:rPr>
              <w:t xml:space="preserve">: </w:t>
            </w:r>
          </w:p>
          <w:p w14:paraId="022EA067" w14:textId="77777777" w:rsidR="0080528C" w:rsidRPr="00FD5C58"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The consent of the individual and</w:t>
            </w:r>
          </w:p>
          <w:p w14:paraId="51CC51BB" w14:textId="77777777" w:rsidR="0080528C" w:rsidRPr="00FD5C58" w:rsidRDefault="0080528C" w:rsidP="0080528C">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If individual is under 13 years of age record action taken.</w:t>
            </w:r>
          </w:p>
          <w:p w14:paraId="26684343" w14:textId="77777777" w:rsidR="0080528C" w:rsidRPr="00FD5C58" w:rsidRDefault="0080528C" w:rsidP="0080528C">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 xml:space="preserve">If individual is under 16 years of age document capacity using Fraser guidelines. If not, competent, record action taken.  </w:t>
            </w:r>
          </w:p>
          <w:p w14:paraId="08E92108" w14:textId="77777777" w:rsidR="0080528C" w:rsidRPr="00FD5C58" w:rsidRDefault="0080528C" w:rsidP="0080528C">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If individual is 16 years of age or over and not competent, record action taken.</w:t>
            </w:r>
          </w:p>
          <w:p w14:paraId="72A4F284"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 xml:space="preserve">Name of individual, address, date of birth. </w:t>
            </w:r>
          </w:p>
          <w:p w14:paraId="3CF89E26" w14:textId="77777777" w:rsidR="0080528C"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GP contact details where appropriate.</w:t>
            </w:r>
          </w:p>
          <w:p w14:paraId="28D7FCBC" w14:textId="77777777" w:rsidR="0080528C" w:rsidRPr="002B3C03"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2B3C03">
              <w:rPr>
                <w:rFonts w:cs="Arial"/>
              </w:rPr>
              <w:t>Service provided – Initiation or ongoing supply of oral contraception</w:t>
            </w:r>
          </w:p>
          <w:p w14:paraId="0107857A"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Relevant past and present medical</w:t>
            </w:r>
            <w:r>
              <w:rPr>
                <w:rFonts w:cs="Arial"/>
              </w:rPr>
              <w:t xml:space="preserve"> </w:t>
            </w:r>
            <w:r w:rsidRPr="00B05C61">
              <w:rPr>
                <w:rFonts w:cs="Arial"/>
                <w:highlight w:val="yellow"/>
              </w:rPr>
              <w:t xml:space="preserve">and sexual </w:t>
            </w:r>
            <w:r w:rsidRPr="0025200F">
              <w:rPr>
                <w:rFonts w:cs="Arial"/>
              </w:rPr>
              <w:t xml:space="preserve">history, medication </w:t>
            </w:r>
            <w:r w:rsidRPr="00B05C61">
              <w:rPr>
                <w:rFonts w:cs="Arial"/>
                <w:highlight w:val="yellow"/>
              </w:rPr>
              <w:t>history (to include over the counter, herbal medications, supplements and recreational drug use)</w:t>
            </w:r>
            <w:r>
              <w:rPr>
                <w:rFonts w:cs="Arial"/>
              </w:rPr>
              <w:t xml:space="preserve">, </w:t>
            </w:r>
            <w:r w:rsidRPr="000B5BDB">
              <w:rPr>
                <w:rFonts w:cs="Arial"/>
              </w:rPr>
              <w:t xml:space="preserve">smoking status and family history. </w:t>
            </w:r>
          </w:p>
          <w:p w14:paraId="1898503F"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 xml:space="preserve">Results of biometrics and measurements e.g., BMI, blood pressure, height, and weight (if supplied by </w:t>
            </w:r>
            <w:r>
              <w:rPr>
                <w:rFonts w:cs="Arial"/>
              </w:rPr>
              <w:t>the individual</w:t>
            </w:r>
            <w:r w:rsidRPr="000B5BDB">
              <w:rPr>
                <w:rFonts w:cs="Arial"/>
              </w:rPr>
              <w:t>)</w:t>
            </w:r>
          </w:p>
          <w:p w14:paraId="264B39D6"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lastRenderedPageBreak/>
              <w:t>Any known allergies</w:t>
            </w:r>
            <w:r>
              <w:rPr>
                <w:rFonts w:cs="Arial"/>
              </w:rPr>
              <w:t xml:space="preserve"> and nature of reaction.</w:t>
            </w:r>
          </w:p>
          <w:p w14:paraId="2EF68785"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Name and registration number of pharmacist</w:t>
            </w:r>
            <w:r>
              <w:rPr>
                <w:rFonts w:cs="Arial"/>
              </w:rPr>
              <w:t xml:space="preserve"> </w:t>
            </w:r>
            <w:r w:rsidRPr="00B05C61">
              <w:rPr>
                <w:rFonts w:cs="Arial"/>
                <w:highlight w:val="yellow"/>
              </w:rPr>
              <w:t>or pharmacy technician</w:t>
            </w:r>
            <w:r w:rsidRPr="000B5BDB">
              <w:rPr>
                <w:rFonts w:cs="Arial"/>
              </w:rPr>
              <w:t>.</w:t>
            </w:r>
          </w:p>
          <w:p w14:paraId="42B9C10F"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 xml:space="preserve">Name of medication supplied. </w:t>
            </w:r>
          </w:p>
          <w:p w14:paraId="6B30466F"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Date of supply.</w:t>
            </w:r>
          </w:p>
          <w:p w14:paraId="360AFAB9" w14:textId="77777777" w:rsidR="0080528C" w:rsidRPr="000B5BDB"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0B5BDB">
              <w:rPr>
                <w:rFonts w:cs="Arial"/>
              </w:rPr>
              <w:t xml:space="preserve">Dose </w:t>
            </w:r>
            <w:r>
              <w:rPr>
                <w:rFonts w:cs="Arial"/>
              </w:rPr>
              <w:t>amount</w:t>
            </w:r>
            <w:r w:rsidRPr="000B5BDB">
              <w:rPr>
                <w:rFonts w:cs="Arial"/>
              </w:rPr>
              <w:t>.</w:t>
            </w:r>
          </w:p>
          <w:p w14:paraId="5E416259" w14:textId="77777777" w:rsidR="0080528C" w:rsidRPr="006D3477"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 xml:space="preserve">Quantity supplied. </w:t>
            </w:r>
          </w:p>
          <w:p w14:paraId="0D66D3B1" w14:textId="77777777" w:rsidR="0080528C" w:rsidRPr="006D3477"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Advice given, including advice given</w:t>
            </w:r>
            <w:r>
              <w:rPr>
                <w:rFonts w:cs="Arial"/>
              </w:rPr>
              <w:t xml:space="preserve"> and action taken</w:t>
            </w:r>
            <w:r w:rsidRPr="006D3477">
              <w:rPr>
                <w:rFonts w:cs="Arial"/>
              </w:rPr>
              <w:t xml:space="preserve"> if excluded or declines treatment.</w:t>
            </w:r>
          </w:p>
          <w:p w14:paraId="3CD3DB3B" w14:textId="77777777" w:rsidR="0080528C" w:rsidRPr="00FD5C58"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Details of</w:t>
            </w:r>
            <w:r w:rsidRPr="00FD5C58">
              <w:rPr>
                <w:rFonts w:cs="Arial"/>
              </w:rPr>
              <w:t xml:space="preserve"> any adverse drug reactions and actions taken.</w:t>
            </w:r>
          </w:p>
          <w:p w14:paraId="268E4D89" w14:textId="77777777" w:rsidR="0080528C" w:rsidRPr="006D3477"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FD5C58">
              <w:rPr>
                <w:rFonts w:cs="Arial"/>
              </w:rPr>
              <w:t xml:space="preserve">Advice given about the medication including side effects, </w:t>
            </w:r>
            <w:r w:rsidRPr="006D3477">
              <w:rPr>
                <w:rFonts w:cs="Arial"/>
              </w:rPr>
              <w:t xml:space="preserve">benefits, and when and what to do if any concerns. </w:t>
            </w:r>
          </w:p>
          <w:p w14:paraId="3C415836" w14:textId="77777777" w:rsidR="0080528C" w:rsidRPr="006D3477"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Any follow up and/or referral arrangements made.</w:t>
            </w:r>
          </w:p>
          <w:p w14:paraId="31E1E87C" w14:textId="77777777" w:rsidR="0080528C" w:rsidRPr="006D3477"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Any supply outside the terms of the product marketing authorisation.</w:t>
            </w:r>
          </w:p>
          <w:p w14:paraId="42A0A0DB" w14:textId="77777777" w:rsidR="0080528C" w:rsidRPr="00FD5C58" w:rsidRDefault="0080528C" w:rsidP="0080528C">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D3477">
              <w:rPr>
                <w:rFonts w:cs="Arial"/>
              </w:rPr>
              <w:t>Recorded that</w:t>
            </w:r>
            <w:r w:rsidRPr="00FD5C58">
              <w:rPr>
                <w:rFonts w:cs="Arial"/>
              </w:rPr>
              <w:t xml:space="preserve"> supply is via PGD.</w:t>
            </w:r>
          </w:p>
          <w:p w14:paraId="2747DA29" w14:textId="77777777" w:rsidR="0080528C" w:rsidRDefault="0080528C" w:rsidP="004C5C3C">
            <w:pPr>
              <w:overflowPunct w:val="0"/>
              <w:autoSpaceDE w:val="0"/>
              <w:autoSpaceDN w:val="0"/>
              <w:adjustRightInd w:val="0"/>
              <w:ind w:left="360"/>
              <w:contextualSpacing/>
              <w:textAlignment w:val="baseline"/>
              <w:rPr>
                <w:rFonts w:cs="Arial"/>
              </w:rPr>
            </w:pPr>
          </w:p>
          <w:p w14:paraId="0A892041" w14:textId="77777777" w:rsidR="0080528C" w:rsidRDefault="0080528C" w:rsidP="004C5C3C">
            <w:pPr>
              <w:overflowPunct w:val="0"/>
              <w:autoSpaceDE w:val="0"/>
              <w:autoSpaceDN w:val="0"/>
              <w:adjustRightInd w:val="0"/>
              <w:contextualSpacing/>
              <w:textAlignment w:val="baseline"/>
              <w:rPr>
                <w:rFonts w:cs="Arial"/>
              </w:rPr>
            </w:pPr>
            <w:r w:rsidRPr="00E13CE5">
              <w:rPr>
                <w:rFonts w:cs="Arial"/>
              </w:rPr>
              <w:t>Records should be signed and dated (or be a password-controlled e-record) and securely kept for a defined period in line with the specification.</w:t>
            </w:r>
          </w:p>
          <w:p w14:paraId="49A70A6C" w14:textId="77777777" w:rsidR="0080528C" w:rsidRPr="00FD5C58" w:rsidRDefault="0080528C" w:rsidP="004C5C3C">
            <w:pPr>
              <w:overflowPunct w:val="0"/>
              <w:autoSpaceDE w:val="0"/>
              <w:autoSpaceDN w:val="0"/>
              <w:adjustRightInd w:val="0"/>
              <w:contextualSpacing/>
              <w:textAlignment w:val="baseline"/>
              <w:rPr>
                <w:rFonts w:cs="Arial"/>
              </w:rPr>
            </w:pPr>
          </w:p>
          <w:p w14:paraId="28479C8A" w14:textId="77777777" w:rsidR="0080528C" w:rsidRPr="004965CB" w:rsidRDefault="0080528C" w:rsidP="004C5C3C">
            <w:pPr>
              <w:overflowPunct w:val="0"/>
              <w:autoSpaceDE w:val="0"/>
              <w:autoSpaceDN w:val="0"/>
              <w:adjustRightInd w:val="0"/>
              <w:textAlignment w:val="baseline"/>
              <w:rPr>
                <w:rFonts w:cs="Arial"/>
              </w:rPr>
            </w:pPr>
            <w:r w:rsidRPr="004965CB">
              <w:rPr>
                <w:rFonts w:cs="Arial"/>
              </w:rPr>
              <w:t>All records should be clear, legible, and contemporaneous.</w:t>
            </w:r>
          </w:p>
          <w:p w14:paraId="5E4D22A9" w14:textId="77777777" w:rsidR="0080528C" w:rsidRPr="00FD5C58" w:rsidRDefault="0080528C" w:rsidP="004C5C3C">
            <w:pPr>
              <w:autoSpaceDE w:val="0"/>
              <w:autoSpaceDN w:val="0"/>
              <w:adjustRightInd w:val="0"/>
              <w:rPr>
                <w:rFonts w:cs="Arial"/>
              </w:rPr>
            </w:pPr>
            <w:r w:rsidRPr="004965CB">
              <w:rPr>
                <w:rFonts w:cs="Arial"/>
              </w:rPr>
              <w:t>A record of all individuals receiving treatment under this PGD should also be kept for audit purposes in accordance with the specification.</w:t>
            </w:r>
          </w:p>
        </w:tc>
      </w:tr>
    </w:tbl>
    <w:p w14:paraId="020EA3A3" w14:textId="77777777" w:rsidR="0080528C" w:rsidRPr="00D10926" w:rsidRDefault="0080528C" w:rsidP="0080528C">
      <w:pPr>
        <w:rPr>
          <w:b/>
        </w:rPr>
      </w:pPr>
    </w:p>
    <w:p w14:paraId="1CDB2D57" w14:textId="77777777" w:rsidR="000B3541" w:rsidRPr="000B3541" w:rsidRDefault="000B3541" w:rsidP="000B3541"/>
    <w:p w14:paraId="335D1CAA" w14:textId="77777777" w:rsidR="00194255" w:rsidRDefault="00194255" w:rsidP="00194255">
      <w:pPr>
        <w:pStyle w:val="h2numbered"/>
      </w:pPr>
      <w:r w:rsidRPr="00D10926">
        <w:t>Key references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C0633" w:rsidRPr="00D6554B" w14:paraId="4C4BB0DA" w14:textId="77777777" w:rsidTr="000C0633">
        <w:tc>
          <w:tcPr>
            <w:tcW w:w="3261" w:type="dxa"/>
            <w:shd w:val="clear" w:color="auto" w:fill="BFBFBF" w:themeFill="text1" w:themeFillShade="BF"/>
          </w:tcPr>
          <w:p w14:paraId="67FC7619" w14:textId="7867D2F9" w:rsidR="000C0633" w:rsidRPr="00D6554B" w:rsidRDefault="000C0633" w:rsidP="004C5C3C">
            <w:pPr>
              <w:overflowPunct w:val="0"/>
              <w:autoSpaceDE w:val="0"/>
              <w:autoSpaceDN w:val="0"/>
              <w:adjustRightInd w:val="0"/>
              <w:spacing w:before="60" w:after="60"/>
              <w:textAlignment w:val="baseline"/>
              <w:rPr>
                <w:rFonts w:cs="Arial"/>
                <w:b/>
              </w:rPr>
            </w:pPr>
            <w:r w:rsidRPr="00D6554B">
              <w:rPr>
                <w:b/>
                <w:szCs w:val="20"/>
              </w:rPr>
              <w:br w:type="page"/>
            </w:r>
            <w:r w:rsidRPr="00D6554B">
              <w:rPr>
                <w:rFonts w:cs="Arial"/>
                <w:b/>
              </w:rPr>
              <w:t>Key references</w:t>
            </w:r>
          </w:p>
        </w:tc>
        <w:tc>
          <w:tcPr>
            <w:tcW w:w="6521" w:type="dxa"/>
          </w:tcPr>
          <w:p w14:paraId="5B4B9497" w14:textId="77777777" w:rsidR="000C0633" w:rsidRPr="002B3C03"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cs="Arial"/>
                <w:highlight w:val="yellow"/>
                <w:lang w:val="fr-FR"/>
              </w:rPr>
            </w:pPr>
            <w:r w:rsidRPr="002B3C03">
              <w:rPr>
                <w:rFonts w:cs="Arial"/>
                <w:highlight w:val="yellow"/>
                <w:lang w:val="fr-FR"/>
              </w:rPr>
              <w:t xml:space="preserve">NHS Pharmacy Contraception Service Specification : </w:t>
            </w:r>
            <w:hyperlink r:id="rId43" w:history="1">
              <w:r w:rsidRPr="002F131C">
                <w:rPr>
                  <w:rStyle w:val="Hyperlink"/>
                  <w:rFonts w:cs="Arial"/>
                  <w:b/>
                  <w:bCs/>
                  <w:color w:val="1E6DFF" w:themeColor="accent1" w:themeTint="99"/>
                  <w:highlight w:val="yellow"/>
                  <w:lang w:val="fr-FR"/>
                </w:rPr>
                <w:t>https://www.england.nhs.uk/long-read/nhs-pharmacy-contraception-service/</w:t>
              </w:r>
            </w:hyperlink>
            <w:r w:rsidRPr="002F131C">
              <w:rPr>
                <w:rFonts w:cs="Arial"/>
                <w:color w:val="1E6DFF" w:themeColor="accent1" w:themeTint="99"/>
                <w:highlight w:val="yellow"/>
                <w:lang w:val="fr-FR"/>
              </w:rPr>
              <w:t xml:space="preserve"> </w:t>
            </w:r>
          </w:p>
          <w:p w14:paraId="7D905A31" w14:textId="77777777" w:rsidR="000C0633" w:rsidRPr="00E13CE5"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cs="Arial"/>
              </w:rPr>
            </w:pPr>
            <w:r w:rsidRPr="00A67B37">
              <w:rPr>
                <w:rFonts w:eastAsia="Calibri" w:cs="Arial"/>
              </w:rPr>
              <w:t>Electronic Medicines Compendium</w:t>
            </w:r>
            <w:r>
              <w:rPr>
                <w:rFonts w:cs="Arial"/>
              </w:rPr>
              <w:t xml:space="preserve"> </w:t>
            </w:r>
            <w:hyperlink r:id="rId44" w:history="1">
              <w:r w:rsidRPr="002F131C">
                <w:rPr>
                  <w:rStyle w:val="Hyperlink"/>
                  <w:rFonts w:cs="Arial"/>
                  <w:b/>
                  <w:bCs/>
                  <w:color w:val="1E6DFF" w:themeColor="accent1" w:themeTint="99"/>
                </w:rPr>
                <w:t>http://www.medicines.org.uk/</w:t>
              </w:r>
            </w:hyperlink>
          </w:p>
          <w:p w14:paraId="25E0F4E0" w14:textId="77777777" w:rsidR="000C0633" w:rsidRPr="000D7528"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sidRPr="000D7528">
              <w:rPr>
                <w:rFonts w:eastAsia="Calibri" w:cs="Arial"/>
              </w:rPr>
              <w:t xml:space="preserve">Electronic BNF </w:t>
            </w:r>
            <w:hyperlink r:id="rId45" w:history="1">
              <w:r w:rsidRPr="002F131C">
                <w:rPr>
                  <w:rFonts w:cs="Arial"/>
                  <w:b/>
                  <w:bCs/>
                  <w:color w:val="1E6DFF" w:themeColor="accent1" w:themeTint="99"/>
                  <w:u w:val="single"/>
                </w:rPr>
                <w:t>https://bnf.nice.org.uk/</w:t>
              </w:r>
            </w:hyperlink>
            <w:r w:rsidRPr="000D7528">
              <w:rPr>
                <w:rFonts w:eastAsia="Calibri" w:cs="Arial"/>
              </w:rPr>
              <w:t xml:space="preserve"> </w:t>
            </w:r>
          </w:p>
          <w:p w14:paraId="421EFE95" w14:textId="77777777" w:rsidR="000C0633" w:rsidRPr="004D43F1"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sidRPr="000D7528">
              <w:rPr>
                <w:rFonts w:eastAsia="Calibri" w:cs="Arial"/>
              </w:rPr>
              <w:t xml:space="preserve">NICE Medicines practice guideline “Patient Group </w:t>
            </w:r>
            <w:r w:rsidRPr="000D7528">
              <w:rPr>
                <w:rFonts w:eastAsia="Calibri" w:cs="Arial"/>
              </w:rPr>
              <w:lastRenderedPageBreak/>
              <w:t xml:space="preserve">Directions”  </w:t>
            </w:r>
            <w:hyperlink r:id="rId46" w:history="1">
              <w:r w:rsidRPr="002F131C">
                <w:rPr>
                  <w:rFonts w:eastAsia="Calibri" w:cs="Arial"/>
                  <w:b/>
                  <w:bCs/>
                  <w:color w:val="1E6DFF" w:themeColor="accent1" w:themeTint="99"/>
                  <w:u w:val="single"/>
                </w:rPr>
                <w:t>https://www.nice.org.uk/guidance/mpg2</w:t>
              </w:r>
            </w:hyperlink>
          </w:p>
          <w:p w14:paraId="3A195F5D" w14:textId="77777777" w:rsidR="000C0633" w:rsidRPr="00E13CE5"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Pr>
                <w:rFonts w:eastAsia="Calibri" w:cs="Arial"/>
              </w:rPr>
              <w:t xml:space="preserve">Fraser guidelines </w:t>
            </w:r>
            <w:hyperlink r:id="rId47" w:anchor="skip-to-content" w:history="1">
              <w:r w:rsidRPr="002F131C">
                <w:rPr>
                  <w:rStyle w:val="Hyperlink"/>
                  <w:rFonts w:eastAsia="Calibri" w:cs="Arial"/>
                  <w:b/>
                  <w:bCs/>
                  <w:color w:val="1E6DFF" w:themeColor="accent1" w:themeTint="99"/>
                </w:rPr>
                <w:t>https://learning.nspcc.org.uk/child-protection-system/gillick-competence-fraser-guidelines#skip-to-content</w:t>
              </w:r>
            </w:hyperlink>
          </w:p>
          <w:p w14:paraId="3FCB290C" w14:textId="30FA1421" w:rsidR="00793191" w:rsidRDefault="00793191" w:rsidP="000C0633">
            <w:pPr>
              <w:pStyle w:val="ListParagraph"/>
              <w:widowControl w:val="0"/>
              <w:numPr>
                <w:ilvl w:val="0"/>
                <w:numId w:val="12"/>
              </w:numPr>
              <w:overflowPunct w:val="0"/>
              <w:autoSpaceDE w:val="0"/>
              <w:autoSpaceDN w:val="0"/>
              <w:adjustRightInd w:val="0"/>
              <w:spacing w:after="160" w:line="278" w:lineRule="auto"/>
              <w:contextualSpacing/>
              <w:textAlignment w:val="baseline"/>
              <w:textboxTightWrap w:val="none"/>
              <w:rPr>
                <w:rFonts w:cs="Arial"/>
              </w:rPr>
            </w:pPr>
            <w:r>
              <w:rPr>
                <w:rFonts w:cs="Arial"/>
              </w:rPr>
              <w:t>F</w:t>
            </w:r>
            <w:r w:rsidR="000C0633" w:rsidRPr="00C77B68">
              <w:rPr>
                <w:rFonts w:cs="Arial"/>
              </w:rPr>
              <w:t xml:space="preserve">SRH Clinical Guideline: Combined Hormonal Contraception (January 2019, Amended </w:t>
            </w:r>
            <w:r w:rsidR="000C0633">
              <w:rPr>
                <w:rFonts w:cs="Arial"/>
              </w:rPr>
              <w:t>October 2023</w:t>
            </w:r>
            <w:r w:rsidR="000C0633" w:rsidRPr="00C77B68">
              <w:rPr>
                <w:rFonts w:cs="Arial"/>
              </w:rPr>
              <w:t>)</w:t>
            </w:r>
            <w:r w:rsidR="000C0633">
              <w:rPr>
                <w:rFonts w:cs="Arial"/>
              </w:rPr>
              <w:t xml:space="preserve"> </w:t>
            </w:r>
            <w:hyperlink r:id="rId48" w:history="1">
              <w:r w:rsidRPr="00793191">
                <w:rPr>
                  <w:rStyle w:val="Hyperlink"/>
                  <w:rFonts w:eastAsia="Calibri" w:cs="Arial"/>
                  <w:b/>
                  <w:bCs/>
                  <w:color w:val="1E6DFF" w:themeColor="accent1" w:themeTint="99"/>
                </w:rPr>
                <w:t>https://www.cosrh.org/Public/Documents/fsrh-guideline-combined-hormonal-contraception.aspx</w:t>
              </w:r>
            </w:hyperlink>
          </w:p>
          <w:p w14:paraId="10EDB0DD" w14:textId="588AA362" w:rsidR="00621CE6" w:rsidRDefault="000C0633" w:rsidP="000C0633">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sidRPr="003A38A6">
              <w:rPr>
                <w:rFonts w:eastAsia="Calibri" w:cs="Arial"/>
              </w:rPr>
              <w:t>FSRH CEU Guidance: Drug Interactions with Hormonal Contraception (May 2022</w:t>
            </w:r>
            <w:r w:rsidRPr="000D7528">
              <w:rPr>
                <w:rFonts w:eastAsia="Calibri" w:cs="Arial"/>
              </w:rPr>
              <w:t xml:space="preserve">) </w:t>
            </w:r>
            <w:hyperlink r:id="rId49" w:history="1">
              <w:r w:rsidR="00621CE6" w:rsidRPr="00621CE6">
                <w:rPr>
                  <w:rStyle w:val="Hyperlink"/>
                  <w:rFonts w:eastAsia="Calibri" w:cs="Arial"/>
                  <w:b/>
                  <w:bCs/>
                  <w:color w:val="1E6DFF" w:themeColor="accent1" w:themeTint="99"/>
                </w:rPr>
                <w:t>https://cosrh.org/Public/Documents/ceu-clinical-guidance-drug-interactions-with-hormonal.aspx</w:t>
              </w:r>
            </w:hyperlink>
          </w:p>
          <w:p w14:paraId="6A0A0053" w14:textId="0F02C889" w:rsidR="000D6DEA" w:rsidRDefault="000C0633" w:rsidP="000C0633">
            <w:pPr>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UK Medical Eligibility Criteria for Contraceptive Use</w:t>
            </w:r>
            <w:r>
              <w:rPr>
                <w:rFonts w:cs="Arial"/>
              </w:rPr>
              <w:t xml:space="preserve"> (UKMEC)</w:t>
            </w:r>
            <w:r w:rsidRPr="000D7528">
              <w:rPr>
                <w:rFonts w:cs="Arial"/>
              </w:rPr>
              <w:t>. (</w:t>
            </w:r>
            <w:r>
              <w:rPr>
                <w:rFonts w:cs="Arial"/>
              </w:rPr>
              <w:t xml:space="preserve">April </w:t>
            </w:r>
            <w:r w:rsidRPr="000D7528">
              <w:rPr>
                <w:rFonts w:cs="Arial"/>
              </w:rPr>
              <w:t>2016</w:t>
            </w:r>
            <w:r>
              <w:rPr>
                <w:rFonts w:cs="Arial"/>
              </w:rPr>
              <w:t>, Amended September 2019</w:t>
            </w:r>
            <w:r w:rsidRPr="000D7528">
              <w:rPr>
                <w:rFonts w:cs="Arial"/>
              </w:rPr>
              <w:t>)</w:t>
            </w:r>
            <w:r>
              <w:rPr>
                <w:rFonts w:cs="Arial"/>
              </w:rPr>
              <w:t xml:space="preserve"> </w:t>
            </w:r>
            <w:hyperlink r:id="rId50" w:history="1">
              <w:r w:rsidR="000D6DEA" w:rsidRPr="000D6DEA">
                <w:rPr>
                  <w:rStyle w:val="Hyperlink"/>
                  <w:rFonts w:eastAsia="Calibri" w:cs="Arial"/>
                  <w:b/>
                  <w:bCs/>
                  <w:color w:val="1E6DFF" w:themeColor="accent1" w:themeTint="99"/>
                </w:rPr>
                <w:t>https://www.cosrh.org/Public/Public/Standards-and-Guidance/uk-medical-eligibility-criteria-for-contraceptive-use-ukmec.aspx?hkey=e1816a9c-d7b1-4c64-8130-f6c013b1149a</w:t>
              </w:r>
            </w:hyperlink>
          </w:p>
          <w:p w14:paraId="068277FB" w14:textId="4E2725BA" w:rsidR="00CF0052" w:rsidRDefault="000C0633" w:rsidP="00CF0052">
            <w:pPr>
              <w:numPr>
                <w:ilvl w:val="0"/>
                <w:numId w:val="12"/>
              </w:numPr>
              <w:overflowPunct w:val="0"/>
              <w:autoSpaceDE w:val="0"/>
              <w:autoSpaceDN w:val="0"/>
              <w:adjustRightInd w:val="0"/>
              <w:spacing w:after="160" w:line="278" w:lineRule="auto"/>
              <w:textAlignment w:val="baseline"/>
              <w:textboxTightWrap w:val="none"/>
              <w:rPr>
                <w:rFonts w:cs="Arial"/>
              </w:rPr>
            </w:pPr>
            <w:r w:rsidRPr="000D7528">
              <w:rPr>
                <w:rFonts w:cs="Arial"/>
              </w:rPr>
              <w:t>F</w:t>
            </w:r>
            <w:r>
              <w:rPr>
                <w:rFonts w:cs="Arial"/>
              </w:rPr>
              <w:t>SRH</w:t>
            </w:r>
            <w:r w:rsidRPr="000D7528">
              <w:rPr>
                <w:rFonts w:cs="Arial"/>
              </w:rPr>
              <w:t xml:space="preserve"> Clinical Guideline: Quick Starting Contraception (April 2017) </w:t>
            </w:r>
            <w:hyperlink r:id="rId51" w:history="1">
              <w:r w:rsidR="00CF0052" w:rsidRPr="005553CC">
                <w:rPr>
                  <w:rStyle w:val="Hyperlink"/>
                  <w:rFonts w:eastAsia="Calibri"/>
                  <w:b/>
                  <w:bCs/>
                  <w:color w:val="1E6DFF" w:themeColor="accent1" w:themeTint="99"/>
                </w:rPr>
                <w:t>https://www.cosrh.org/Public/Documents/fsrh-clinical-guidance-quick-starting-contraception-april-2017.aspx</w:t>
              </w:r>
            </w:hyperlink>
          </w:p>
          <w:p w14:paraId="71E4561C" w14:textId="01D4E1BC" w:rsidR="002B3989" w:rsidRPr="002B3989" w:rsidRDefault="000C0633" w:rsidP="000C0633">
            <w:pPr>
              <w:numPr>
                <w:ilvl w:val="0"/>
                <w:numId w:val="12"/>
              </w:numPr>
              <w:overflowPunct w:val="0"/>
              <w:autoSpaceDE w:val="0"/>
              <w:autoSpaceDN w:val="0"/>
              <w:adjustRightInd w:val="0"/>
              <w:spacing w:after="160" w:line="278" w:lineRule="auto"/>
              <w:textAlignment w:val="baseline"/>
              <w:textboxTightWrap w:val="none"/>
            </w:pPr>
            <w:r w:rsidRPr="000C6BBC">
              <w:rPr>
                <w:rFonts w:eastAsia="Calibri" w:cs="Arial"/>
              </w:rPr>
              <w:t>FSRH Clinical Guideline: Problematic Bleeding with Hormonal Contraception (July 2015)</w:t>
            </w:r>
            <w:r>
              <w:rPr>
                <w:rFonts w:eastAsia="Calibri" w:cs="Arial"/>
              </w:rPr>
              <w:t xml:space="preserve"> </w:t>
            </w:r>
            <w:hyperlink r:id="rId52" w:history="1">
              <w:r w:rsidR="002B3989" w:rsidRPr="002B3989">
                <w:rPr>
                  <w:rStyle w:val="Hyperlink"/>
                  <w:rFonts w:eastAsia="Calibri"/>
                  <w:b/>
                  <w:bCs/>
                  <w:color w:val="1E6DFF" w:themeColor="accent1" w:themeTint="99"/>
                </w:rPr>
                <w:t>https://cosrh.org/Public/Documents/ceu-guidance-problematic-bleeding-hormonal-contraception.aspx</w:t>
              </w:r>
            </w:hyperlink>
          </w:p>
          <w:p w14:paraId="114E93E1" w14:textId="3263C38D" w:rsidR="001F64DE" w:rsidRPr="001454F0" w:rsidRDefault="000C0633" w:rsidP="001454F0">
            <w:pPr>
              <w:numPr>
                <w:ilvl w:val="0"/>
                <w:numId w:val="12"/>
              </w:numPr>
              <w:overflowPunct w:val="0"/>
              <w:autoSpaceDE w:val="0"/>
              <w:autoSpaceDN w:val="0"/>
              <w:adjustRightInd w:val="0"/>
              <w:spacing w:after="160" w:line="278" w:lineRule="auto"/>
              <w:textAlignment w:val="baseline"/>
              <w:textboxTightWrap w:val="none"/>
              <w:rPr>
                <w:rStyle w:val="Hyperlink"/>
                <w:rFonts w:eastAsia="Calibri"/>
                <w:b/>
                <w:bCs/>
                <w:color w:val="1E6DFF" w:themeColor="accent1" w:themeTint="99"/>
              </w:rPr>
            </w:pPr>
            <w:r w:rsidRPr="001F64DE">
              <w:rPr>
                <w:rFonts w:cs="Arial"/>
                <w:highlight w:val="yellow"/>
              </w:rPr>
              <w:t xml:space="preserve">FSRH CEU Statement: Response to Recent Publication Regarding Banh, et al. (November 2020) </w:t>
            </w:r>
            <w:hyperlink r:id="rId53" w:history="1">
              <w:r w:rsidR="00C30626" w:rsidRPr="00FC3C34">
                <w:rPr>
                  <w:rStyle w:val="Hyperlink"/>
                  <w:rFonts w:eastAsia="Calibri"/>
                  <w:b/>
                  <w:bCs/>
                  <w:color w:val="1E6DFF" w:themeColor="accent1" w:themeTint="99"/>
                </w:rPr>
                <w:t>https://www.cosrh.org/Common/Uploaded%20files/documents/fsrh-ceu-statement-upa-coc-restart-november-2020.pdf</w:t>
              </w:r>
            </w:hyperlink>
          </w:p>
          <w:p w14:paraId="183B25A3" w14:textId="1CE1193E" w:rsidR="000C0633" w:rsidRDefault="000C0633" w:rsidP="001454F0">
            <w:pPr>
              <w:numPr>
                <w:ilvl w:val="0"/>
                <w:numId w:val="12"/>
              </w:numPr>
              <w:overflowPunct w:val="0"/>
              <w:autoSpaceDE w:val="0"/>
              <w:autoSpaceDN w:val="0"/>
              <w:adjustRightInd w:val="0"/>
              <w:spacing w:after="160" w:line="278" w:lineRule="auto"/>
              <w:textAlignment w:val="baseline"/>
              <w:textboxTightWrap w:val="none"/>
              <w:rPr>
                <w:rFonts w:cs="Arial"/>
                <w:highlight w:val="yellow"/>
              </w:rPr>
            </w:pPr>
            <w:r w:rsidRPr="001454F0">
              <w:rPr>
                <w:rFonts w:cs="Arial"/>
                <w:highlight w:val="yellow"/>
              </w:rPr>
              <w:t>FSRH statement</w:t>
            </w:r>
            <w:r w:rsidR="00313FCE">
              <w:rPr>
                <w:rFonts w:cs="Arial"/>
                <w:highlight w:val="yellow"/>
              </w:rPr>
              <w:t xml:space="preserve">: </w:t>
            </w:r>
            <w:r w:rsidRPr="001454F0">
              <w:rPr>
                <w:rFonts w:cs="Arial"/>
                <w:highlight w:val="yellow"/>
              </w:rPr>
              <w:t>Glucagon-like peptide-1 (GLP-1) agonists and oral contraception (</w:t>
            </w:r>
            <w:r w:rsidR="00313FCE">
              <w:rPr>
                <w:rFonts w:cs="Arial"/>
                <w:highlight w:val="yellow"/>
              </w:rPr>
              <w:t>February</w:t>
            </w:r>
            <w:r w:rsidRPr="007E057D">
              <w:rPr>
                <w:rFonts w:cs="Arial"/>
                <w:highlight w:val="yellow"/>
              </w:rPr>
              <w:t xml:space="preserve"> 2025) </w:t>
            </w:r>
            <w:hyperlink r:id="rId54" w:history="1">
              <w:r w:rsidR="00313FCE" w:rsidRPr="00FC3C34">
                <w:rPr>
                  <w:rStyle w:val="Hyperlink"/>
                  <w:rFonts w:eastAsia="Calibri"/>
                  <w:b/>
                  <w:bCs/>
                  <w:color w:val="1E6DFF" w:themeColor="accent1" w:themeTint="99"/>
                </w:rPr>
                <w:t>https://www.cosrh.org/Public/Public/Documents/FSRH-statement-Glucagon-like-peptide-1-agonists-and-oral-contraception-Feb-2025.aspx</w:t>
              </w:r>
            </w:hyperlink>
          </w:p>
          <w:p w14:paraId="56D812A2" w14:textId="77777777" w:rsidR="000C0633" w:rsidRPr="00802B48" w:rsidRDefault="000C0633" w:rsidP="00313FCE">
            <w:pPr>
              <w:pStyle w:val="ListParagraph"/>
              <w:numPr>
                <w:ilvl w:val="0"/>
                <w:numId w:val="12"/>
              </w:numPr>
              <w:overflowPunct w:val="0"/>
              <w:autoSpaceDE w:val="0"/>
              <w:autoSpaceDN w:val="0"/>
              <w:adjustRightInd w:val="0"/>
              <w:spacing w:after="160" w:line="278" w:lineRule="auto"/>
              <w:contextualSpacing/>
              <w:textAlignment w:val="baseline"/>
              <w:textboxTightWrap w:val="none"/>
              <w:rPr>
                <w:rStyle w:val="Hyperlink"/>
                <w:rFonts w:ascii="Arial" w:hAnsi="Arial"/>
                <w:b/>
                <w:color w:val="005EB8" w:themeColor="hyperlink"/>
                <w:highlight w:val="yellow"/>
              </w:rPr>
            </w:pPr>
            <w:r w:rsidRPr="007E057D">
              <w:rPr>
                <w:rFonts w:cs="Arial"/>
                <w:highlight w:val="yellow"/>
              </w:rPr>
              <w:lastRenderedPageBreak/>
              <w:t>FSRH Patient Information Leaflet on Glucagon-like peptide-1 (GLP-1) agonists and oral contraception (Februar</w:t>
            </w:r>
            <w:r w:rsidR="002F131C">
              <w:rPr>
                <w:rFonts w:cs="Arial"/>
                <w:highlight w:val="yellow"/>
              </w:rPr>
              <w:t>y</w:t>
            </w:r>
            <w:r w:rsidRPr="007E057D">
              <w:rPr>
                <w:rFonts w:cs="Arial"/>
                <w:highlight w:val="yellow"/>
              </w:rPr>
              <w:t xml:space="preserve"> 2025)</w:t>
            </w:r>
            <w:r w:rsidR="00313FCE">
              <w:t xml:space="preserve"> </w:t>
            </w:r>
            <w:hyperlink r:id="rId55" w:history="1">
              <w:r w:rsidR="00313FCE" w:rsidRPr="00FC3C34">
                <w:rPr>
                  <w:rStyle w:val="Hyperlink"/>
                  <w:rFonts w:eastAsia="Calibri"/>
                  <w:b/>
                  <w:bCs/>
                  <w:color w:val="1E6DFF" w:themeColor="accent1" w:themeTint="99"/>
                </w:rPr>
                <w:t>https://www.cosrh.org/Public/Public/Documents/FSRH-statement-Glucagon-like-peptide-1-agonists-and-oral-contraception-Feb-2025.aspx</w:t>
              </w:r>
            </w:hyperlink>
          </w:p>
          <w:p w14:paraId="7DE86A91" w14:textId="77777777" w:rsidR="00802B48" w:rsidRPr="00B15B9A" w:rsidRDefault="00802B48" w:rsidP="000E7659">
            <w:pPr>
              <w:pStyle w:val="ListParagraph"/>
              <w:overflowPunct w:val="0"/>
              <w:autoSpaceDE w:val="0"/>
              <w:autoSpaceDN w:val="0"/>
              <w:adjustRightInd w:val="0"/>
              <w:spacing w:after="160" w:line="278" w:lineRule="auto"/>
              <w:ind w:left="360" w:firstLine="0"/>
              <w:contextualSpacing/>
              <w:textAlignment w:val="baseline"/>
              <w:textboxTightWrap w:val="none"/>
              <w:rPr>
                <w:b/>
                <w:color w:val="005EB8" w:themeColor="hyperlink"/>
                <w:highlight w:val="cyan"/>
                <w:u w:val="single"/>
              </w:rPr>
            </w:pPr>
          </w:p>
          <w:p w14:paraId="12AB2F8B" w14:textId="3FEFBD35" w:rsidR="000E7659" w:rsidRPr="000E7659" w:rsidRDefault="000E7659" w:rsidP="000E7659">
            <w:pPr>
              <w:pStyle w:val="ListParagraph"/>
              <w:numPr>
                <w:ilvl w:val="0"/>
                <w:numId w:val="12"/>
              </w:numPr>
              <w:overflowPunct w:val="0"/>
              <w:autoSpaceDE w:val="0"/>
              <w:autoSpaceDN w:val="0"/>
              <w:adjustRightInd w:val="0"/>
              <w:spacing w:after="160" w:line="278" w:lineRule="auto"/>
              <w:contextualSpacing/>
              <w:textAlignment w:val="baseline"/>
              <w:textboxTightWrap w:val="none"/>
              <w:rPr>
                <w:b/>
                <w:color w:val="005EB8" w:themeColor="hyperlink"/>
                <w:highlight w:val="yellow"/>
                <w:u w:val="single"/>
              </w:rPr>
            </w:pPr>
            <w:r w:rsidRPr="00B15B9A">
              <w:rPr>
                <w:rFonts w:cs="Arial"/>
                <w:highlight w:val="cyan"/>
              </w:rPr>
              <w:t>University of Liverpool: HEP Drug Interactions</w:t>
            </w:r>
            <w:r w:rsidR="0093353A" w:rsidRPr="00B15B9A">
              <w:rPr>
                <w:rFonts w:cs="Arial"/>
                <w:highlight w:val="cyan"/>
              </w:rPr>
              <w:t xml:space="preserve"> </w:t>
            </w:r>
            <w:hyperlink r:id="rId56" w:history="1">
              <w:r w:rsidR="0093353A" w:rsidRPr="008102A4">
                <w:rPr>
                  <w:rStyle w:val="Hyperlink"/>
                  <w:rFonts w:eastAsia="Calibri"/>
                  <w:b/>
                  <w:bCs/>
                  <w:color w:val="1E6DFF" w:themeColor="accent1" w:themeTint="99"/>
                </w:rPr>
                <w:t>https://hep-druginteractions.org/checker</w:t>
              </w:r>
            </w:hyperlink>
          </w:p>
        </w:tc>
      </w:tr>
    </w:tbl>
    <w:p w14:paraId="0ECC6E5E" w14:textId="77777777" w:rsidR="000C0633" w:rsidRDefault="000C0633" w:rsidP="000C0633">
      <w:pPr>
        <w:rPr>
          <w:b/>
          <w:szCs w:val="20"/>
        </w:rPr>
      </w:pPr>
    </w:p>
    <w:p w14:paraId="36FF63DA" w14:textId="77777777" w:rsidR="00194255" w:rsidRDefault="00194255" w:rsidP="00194255"/>
    <w:p w14:paraId="19AE8245" w14:textId="77777777" w:rsidR="00B15B9A" w:rsidRDefault="00B15B9A" w:rsidP="00194255"/>
    <w:p w14:paraId="5FDCED6B" w14:textId="77777777" w:rsidR="00B15B9A" w:rsidRDefault="00B15B9A" w:rsidP="00194255"/>
    <w:p w14:paraId="75589078" w14:textId="77777777" w:rsidR="00B15B9A" w:rsidRDefault="00B15B9A" w:rsidP="00194255"/>
    <w:p w14:paraId="02C9EB65" w14:textId="77777777" w:rsidR="00B15B9A" w:rsidRDefault="00B15B9A" w:rsidP="00194255"/>
    <w:p w14:paraId="2F7AD319" w14:textId="77777777" w:rsidR="00B15B9A" w:rsidRDefault="00B15B9A" w:rsidP="00194255"/>
    <w:p w14:paraId="44F900B4" w14:textId="77777777" w:rsidR="00B15B9A" w:rsidRDefault="00B15B9A" w:rsidP="00194255"/>
    <w:p w14:paraId="60EFB29E" w14:textId="77777777" w:rsidR="00B15B9A" w:rsidRDefault="00B15B9A" w:rsidP="00194255"/>
    <w:p w14:paraId="46DBE1FC" w14:textId="77777777" w:rsidR="00B15B9A" w:rsidRDefault="00B15B9A" w:rsidP="00194255"/>
    <w:p w14:paraId="54D86D4B" w14:textId="77777777" w:rsidR="00B15B9A" w:rsidRDefault="00B15B9A" w:rsidP="00194255"/>
    <w:p w14:paraId="41787874" w14:textId="77777777" w:rsidR="00B15B9A" w:rsidRDefault="00B15B9A" w:rsidP="00194255"/>
    <w:p w14:paraId="54403D48" w14:textId="77777777" w:rsidR="00B15B9A" w:rsidRDefault="00B15B9A" w:rsidP="00194255"/>
    <w:p w14:paraId="0EC6FE08" w14:textId="77777777" w:rsidR="00B15B9A" w:rsidRDefault="00B15B9A" w:rsidP="00194255"/>
    <w:p w14:paraId="23B42EB3" w14:textId="4C73BF84" w:rsidR="00F46773" w:rsidRDefault="00F46773">
      <w:pPr>
        <w:spacing w:after="0" w:line="240" w:lineRule="auto"/>
        <w:textboxTightWrap w:val="none"/>
      </w:pPr>
    </w:p>
    <w:p w14:paraId="36A5B459" w14:textId="77777777" w:rsidR="00F46773" w:rsidRPr="00194255" w:rsidRDefault="00F46773" w:rsidP="00194255"/>
    <w:p w14:paraId="5F366CEE" w14:textId="77777777" w:rsidR="00F46773" w:rsidRDefault="00F46773" w:rsidP="00E62F34">
      <w:pPr>
        <w:pStyle w:val="h2numbered"/>
        <w:numPr>
          <w:ilvl w:val="0"/>
          <w:numId w:val="0"/>
        </w:numPr>
      </w:pPr>
      <w:bookmarkStart w:id="5" w:name="AppendixA"/>
      <w:r>
        <w:lastRenderedPageBreak/>
        <w:t>Appendix A</w:t>
      </w:r>
      <w:bookmarkEnd w:id="5"/>
      <w:r>
        <w:t xml:space="preserve"> - </w:t>
      </w:r>
      <w:r w:rsidRPr="00D10926">
        <w:t xml:space="preserve">Registered </w:t>
      </w:r>
      <w:r>
        <w:t>pharmacist</w:t>
      </w:r>
      <w:r w:rsidRPr="00D10926">
        <w:t xml:space="preserve"> </w:t>
      </w:r>
      <w:r>
        <w:t xml:space="preserve">and pharmacy technician </w:t>
      </w:r>
      <w:r w:rsidRPr="00D10926">
        <w:t>authorisation sheet</w:t>
      </w:r>
    </w:p>
    <w:p w14:paraId="69D43EAE" w14:textId="77777777" w:rsidR="00F46773" w:rsidRDefault="00F46773" w:rsidP="00F46773"/>
    <w:p w14:paraId="42AB565C" w14:textId="77777777" w:rsidR="00E92AA8" w:rsidRDefault="00E92AA8" w:rsidP="00E92AA8">
      <w:pPr>
        <w:overflowPunct w:val="0"/>
        <w:autoSpaceDE w:val="0"/>
        <w:autoSpaceDN w:val="0"/>
        <w:adjustRightInd w:val="0"/>
        <w:ind w:rightChars="-375" w:right="-900"/>
        <w:textAlignment w:val="baseline"/>
        <w:rPr>
          <w:b/>
        </w:rPr>
      </w:pPr>
      <w:bookmarkStart w:id="6" w:name="_Hlk83892890"/>
      <w:r w:rsidRPr="00B60F03">
        <w:rPr>
          <w:b/>
        </w:rPr>
        <w:t xml:space="preserve">PGD combined oral contraceptive pill (COC) </w:t>
      </w:r>
      <w:r w:rsidRPr="00F20784">
        <w:rPr>
          <w:b/>
        </w:rPr>
        <w:t xml:space="preserve">Version </w:t>
      </w:r>
      <w:r>
        <w:rPr>
          <w:b/>
          <w:highlight w:val="yellow"/>
        </w:rPr>
        <w:t>3.0</w:t>
      </w:r>
      <w:r w:rsidRPr="00B60F03">
        <w:rPr>
          <w:b/>
        </w:rPr>
        <w:t xml:space="preserve">               </w:t>
      </w:r>
    </w:p>
    <w:p w14:paraId="421CE6BB" w14:textId="77777777" w:rsidR="00E92AA8" w:rsidRDefault="00E92AA8" w:rsidP="00E92AA8">
      <w:pPr>
        <w:overflowPunct w:val="0"/>
        <w:autoSpaceDE w:val="0"/>
        <w:autoSpaceDN w:val="0"/>
        <w:adjustRightInd w:val="0"/>
        <w:ind w:rightChars="-375" w:right="-900"/>
        <w:textAlignment w:val="baseline"/>
        <w:rPr>
          <w:b/>
        </w:rPr>
      </w:pPr>
    </w:p>
    <w:p w14:paraId="69CC6F92" w14:textId="2BF9A822" w:rsidR="00E92AA8" w:rsidRDefault="00E92AA8" w:rsidP="00E92AA8">
      <w:pPr>
        <w:overflowPunct w:val="0"/>
        <w:autoSpaceDE w:val="0"/>
        <w:autoSpaceDN w:val="0"/>
        <w:adjustRightInd w:val="0"/>
        <w:ind w:rightChars="-375" w:right="-900"/>
        <w:textAlignment w:val="baseline"/>
        <w:rPr>
          <w:rFonts w:cs="Arial"/>
          <w:b/>
        </w:rPr>
      </w:pPr>
      <w:r w:rsidRPr="00B60F03">
        <w:rPr>
          <w:b/>
        </w:rPr>
        <w:t xml:space="preserve">Valid from: </w:t>
      </w:r>
      <w:r w:rsidR="000816CE">
        <w:rPr>
          <w:b/>
        </w:rPr>
        <w:t>2</w:t>
      </w:r>
      <w:r w:rsidR="00313FCE">
        <w:rPr>
          <w:b/>
        </w:rPr>
        <w:t>9 October</w:t>
      </w:r>
      <w:r>
        <w:rPr>
          <w:b/>
        </w:rPr>
        <w:t xml:space="preserve"> 2025               Expiry: </w:t>
      </w:r>
      <w:r>
        <w:rPr>
          <w:rFonts w:cs="Arial"/>
          <w:b/>
        </w:rPr>
        <w:t xml:space="preserve"> </w:t>
      </w:r>
      <w:bookmarkEnd w:id="6"/>
      <w:r w:rsidR="00313FCE">
        <w:rPr>
          <w:rFonts w:cs="Arial"/>
          <w:b/>
        </w:rPr>
        <w:t>28 February</w:t>
      </w:r>
      <w:r>
        <w:rPr>
          <w:rFonts w:cs="Arial"/>
          <w:b/>
        </w:rPr>
        <w:t xml:space="preserve"> 202</w:t>
      </w:r>
      <w:r w:rsidR="00313FCE">
        <w:rPr>
          <w:rFonts w:cs="Arial"/>
          <w:b/>
        </w:rPr>
        <w:t>9</w:t>
      </w:r>
    </w:p>
    <w:p w14:paraId="62E1137F" w14:textId="77777777" w:rsidR="00E92AA8" w:rsidRPr="00D10926" w:rsidRDefault="00E92AA8" w:rsidP="00E92AA8">
      <w:pPr>
        <w:overflowPunct w:val="0"/>
        <w:autoSpaceDE w:val="0"/>
        <w:autoSpaceDN w:val="0"/>
        <w:adjustRightInd w:val="0"/>
        <w:ind w:rightChars="-375" w:right="-900"/>
        <w:textAlignment w:val="baseline"/>
        <w:rPr>
          <w:b/>
        </w:rPr>
      </w:pPr>
    </w:p>
    <w:p w14:paraId="6FB5D8B5" w14:textId="77777777" w:rsidR="00E92AA8" w:rsidRPr="00133137" w:rsidRDefault="00E92AA8" w:rsidP="00E92AA8">
      <w:r w:rsidRPr="00D10926">
        <w:t>Before signing this PGD, check that the document has had the necessary</w:t>
      </w:r>
      <w:r>
        <w:t xml:space="preserve"> </w:t>
      </w:r>
      <w:r w:rsidRPr="00D10926">
        <w:t>authorisations. Without these, this PGD is not lawfully valid.</w:t>
      </w:r>
    </w:p>
    <w:p w14:paraId="2E479556" w14:textId="77777777" w:rsidR="00E92AA8" w:rsidRPr="00D10926" w:rsidRDefault="00E92AA8" w:rsidP="00E92AA8">
      <w:pPr>
        <w:rPr>
          <w:b/>
        </w:rPr>
      </w:pPr>
      <w:r w:rsidRPr="00D10926">
        <w:rPr>
          <w:b/>
        </w:rPr>
        <w:t xml:space="preserve">Registered </w:t>
      </w:r>
      <w:r>
        <w:rPr>
          <w:b/>
        </w:rPr>
        <w:t xml:space="preserve">pharmacist </w:t>
      </w:r>
      <w:r w:rsidRPr="00B05C61">
        <w:rPr>
          <w:b/>
          <w:highlight w:val="yellow"/>
        </w:rPr>
        <w:t>or pharmacy technician</w:t>
      </w:r>
    </w:p>
    <w:p w14:paraId="0B38C835" w14:textId="77777777" w:rsidR="00E92AA8" w:rsidRPr="00D10926" w:rsidRDefault="00E92AA8" w:rsidP="00E92AA8">
      <w:pPr>
        <w:spacing w:before="120" w:after="120"/>
      </w:pPr>
      <w:r w:rsidRPr="00D10926">
        <w:t xml:space="preserve">By signing this </w:t>
      </w:r>
      <w:r>
        <w:t>PGD</w:t>
      </w:r>
      <w:r w:rsidRPr="00D10926">
        <w:t>, you are indicating that you agree to its contents and that you will work within it.</w:t>
      </w:r>
    </w:p>
    <w:p w14:paraId="1C654311" w14:textId="77777777" w:rsidR="00E92AA8" w:rsidRPr="00D10926" w:rsidRDefault="00E92AA8" w:rsidP="00E92AA8">
      <w:pPr>
        <w:overflowPunct w:val="0"/>
        <w:autoSpaceDE w:val="0"/>
        <w:autoSpaceDN w:val="0"/>
        <w:adjustRightInd w:val="0"/>
        <w:spacing w:before="120" w:after="120"/>
        <w:textAlignment w:val="baseline"/>
        <w:rPr>
          <w:rFonts w:cs="Arial"/>
        </w:rPr>
      </w:pPr>
      <w:r>
        <w:rPr>
          <w:rFonts w:cs="Arial"/>
        </w:rPr>
        <w:t>PGDs</w:t>
      </w:r>
      <w:r w:rsidRPr="00D10926">
        <w:rPr>
          <w:rFonts w:cs="Arial"/>
        </w:rPr>
        <w:t xml:space="preserve"> do not remove inherent professional obligations or accountability.</w:t>
      </w:r>
    </w:p>
    <w:p w14:paraId="73CAA449" w14:textId="77777777" w:rsidR="00E92AA8" w:rsidRDefault="00E92AA8" w:rsidP="00E92AA8">
      <w:pPr>
        <w:overflowPunct w:val="0"/>
        <w:autoSpaceDE w:val="0"/>
        <w:autoSpaceDN w:val="0"/>
        <w:adjustRightInd w:val="0"/>
        <w:spacing w:before="120" w:after="120"/>
        <w:textAlignment w:val="baseline"/>
        <w:rPr>
          <w:rFonts w:cs="Arial"/>
        </w:rPr>
      </w:pPr>
      <w:r w:rsidRPr="00D10926">
        <w:rPr>
          <w:rFonts w:cs="Arial"/>
        </w:rPr>
        <w:t>It is the responsibility of each p</w:t>
      </w:r>
      <w:r>
        <w:rPr>
          <w:rFonts w:cs="Arial"/>
        </w:rPr>
        <w:t xml:space="preserve">harmacist </w:t>
      </w:r>
      <w:r w:rsidRPr="00B05C61">
        <w:rPr>
          <w:rFonts w:cs="Arial"/>
          <w:highlight w:val="yellow"/>
        </w:rPr>
        <w:t>or pharmacy technician</w:t>
      </w:r>
      <w:r w:rsidRPr="00D10926">
        <w:rPr>
          <w:rFonts w:cs="Arial"/>
        </w:rPr>
        <w:t xml:space="preserve">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E92AA8" w:rsidRPr="00D10926" w14:paraId="60C66918" w14:textId="77777777" w:rsidTr="00E92AA8">
        <w:tc>
          <w:tcPr>
            <w:tcW w:w="8495" w:type="dxa"/>
            <w:gridSpan w:val="4"/>
            <w:shd w:val="clear" w:color="auto" w:fill="BFBFBF" w:themeFill="text1" w:themeFillShade="BF"/>
          </w:tcPr>
          <w:p w14:paraId="400D7ECE" w14:textId="77777777" w:rsidR="00E92AA8" w:rsidRPr="00D10926" w:rsidRDefault="00E92AA8" w:rsidP="004C5C3C">
            <w:pPr>
              <w:spacing w:before="120" w:after="120"/>
              <w:jc w:val="center"/>
              <w:rPr>
                <w:rFonts w:cs="Arial"/>
                <w:b/>
              </w:rPr>
            </w:pPr>
            <w:r w:rsidRPr="00D10926">
              <w:rPr>
                <w:rFonts w:cs="Arial"/>
                <w:b/>
              </w:rPr>
              <w:t xml:space="preserve">I confirm that I have read and understood the content of this </w:t>
            </w:r>
            <w:r>
              <w:rPr>
                <w:rFonts w:cs="Arial"/>
                <w:b/>
              </w:rPr>
              <w:t>PGD</w:t>
            </w:r>
            <w:r w:rsidRPr="00D10926">
              <w:rPr>
                <w:rFonts w:cs="Arial"/>
                <w:b/>
              </w:rPr>
              <w:t xml:space="preserve"> and that I am willing and competent to work to it within my professional code of conduct.</w:t>
            </w:r>
          </w:p>
        </w:tc>
      </w:tr>
      <w:tr w:rsidR="00E92AA8" w:rsidRPr="00D10926" w14:paraId="4DB1021C" w14:textId="77777777" w:rsidTr="00E92AA8">
        <w:tc>
          <w:tcPr>
            <w:tcW w:w="2133" w:type="dxa"/>
            <w:shd w:val="clear" w:color="auto" w:fill="BFBFBF" w:themeFill="text1" w:themeFillShade="BF"/>
          </w:tcPr>
          <w:p w14:paraId="36BAA9C4"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Name</w:t>
            </w:r>
          </w:p>
        </w:tc>
        <w:tc>
          <w:tcPr>
            <w:tcW w:w="2747" w:type="dxa"/>
            <w:shd w:val="clear" w:color="auto" w:fill="BFBFBF" w:themeFill="text1" w:themeFillShade="BF"/>
          </w:tcPr>
          <w:p w14:paraId="320F9B32"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Designation</w:t>
            </w:r>
          </w:p>
        </w:tc>
        <w:tc>
          <w:tcPr>
            <w:tcW w:w="2362" w:type="dxa"/>
            <w:shd w:val="clear" w:color="auto" w:fill="BFBFBF" w:themeFill="text1" w:themeFillShade="BF"/>
          </w:tcPr>
          <w:p w14:paraId="1BC1A296"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Signature</w:t>
            </w:r>
          </w:p>
        </w:tc>
        <w:tc>
          <w:tcPr>
            <w:tcW w:w="1253" w:type="dxa"/>
            <w:shd w:val="clear" w:color="auto" w:fill="BFBFBF" w:themeFill="text1" w:themeFillShade="BF"/>
          </w:tcPr>
          <w:p w14:paraId="6E870AAA"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Date</w:t>
            </w:r>
          </w:p>
        </w:tc>
      </w:tr>
      <w:tr w:rsidR="00E92AA8" w:rsidRPr="00D10926" w14:paraId="697A33DE" w14:textId="77777777" w:rsidTr="004C5C3C">
        <w:tc>
          <w:tcPr>
            <w:tcW w:w="2133" w:type="dxa"/>
          </w:tcPr>
          <w:p w14:paraId="1AAACACF" w14:textId="77777777" w:rsidR="00E92AA8" w:rsidRDefault="00E92AA8" w:rsidP="004C5C3C">
            <w:pPr>
              <w:jc w:val="center"/>
              <w:rPr>
                <w:rFonts w:cs="Arial"/>
              </w:rPr>
            </w:pPr>
          </w:p>
          <w:p w14:paraId="25332A7D" w14:textId="77777777" w:rsidR="00E92AA8" w:rsidRPr="00D10926" w:rsidRDefault="00E92AA8" w:rsidP="004C5C3C">
            <w:pPr>
              <w:jc w:val="center"/>
              <w:rPr>
                <w:rFonts w:cs="Arial"/>
              </w:rPr>
            </w:pPr>
          </w:p>
        </w:tc>
        <w:tc>
          <w:tcPr>
            <w:tcW w:w="2747" w:type="dxa"/>
          </w:tcPr>
          <w:p w14:paraId="36F1B53C" w14:textId="77777777" w:rsidR="00E92AA8" w:rsidRPr="00D10926" w:rsidRDefault="00E92AA8" w:rsidP="004C5C3C">
            <w:pPr>
              <w:jc w:val="center"/>
              <w:rPr>
                <w:rFonts w:cs="Arial"/>
              </w:rPr>
            </w:pPr>
          </w:p>
        </w:tc>
        <w:tc>
          <w:tcPr>
            <w:tcW w:w="2362" w:type="dxa"/>
          </w:tcPr>
          <w:p w14:paraId="71C27EA2" w14:textId="77777777" w:rsidR="00E92AA8" w:rsidRPr="00D10926" w:rsidRDefault="00E92AA8" w:rsidP="004C5C3C">
            <w:pPr>
              <w:jc w:val="center"/>
              <w:rPr>
                <w:rFonts w:cs="Arial"/>
              </w:rPr>
            </w:pPr>
          </w:p>
        </w:tc>
        <w:tc>
          <w:tcPr>
            <w:tcW w:w="1253" w:type="dxa"/>
          </w:tcPr>
          <w:p w14:paraId="4D8103C3" w14:textId="77777777" w:rsidR="00E92AA8" w:rsidRPr="00D10926" w:rsidRDefault="00E92AA8" w:rsidP="004C5C3C">
            <w:pPr>
              <w:jc w:val="center"/>
              <w:rPr>
                <w:rFonts w:cs="Arial"/>
              </w:rPr>
            </w:pPr>
          </w:p>
        </w:tc>
      </w:tr>
      <w:tr w:rsidR="00E92AA8" w:rsidRPr="00D10926" w14:paraId="6D0A8F3E" w14:textId="77777777" w:rsidTr="004C5C3C">
        <w:tc>
          <w:tcPr>
            <w:tcW w:w="2133" w:type="dxa"/>
          </w:tcPr>
          <w:p w14:paraId="1024B84C" w14:textId="77777777" w:rsidR="00E92AA8" w:rsidRDefault="00E92AA8" w:rsidP="004C5C3C">
            <w:pPr>
              <w:jc w:val="center"/>
              <w:rPr>
                <w:rFonts w:cs="Arial"/>
              </w:rPr>
            </w:pPr>
          </w:p>
          <w:p w14:paraId="6BBEFD9E" w14:textId="77777777" w:rsidR="00E92AA8" w:rsidRPr="00D10926" w:rsidRDefault="00E92AA8" w:rsidP="004C5C3C">
            <w:pPr>
              <w:jc w:val="center"/>
              <w:rPr>
                <w:rFonts w:cs="Arial"/>
              </w:rPr>
            </w:pPr>
          </w:p>
        </w:tc>
        <w:tc>
          <w:tcPr>
            <w:tcW w:w="2747" w:type="dxa"/>
          </w:tcPr>
          <w:p w14:paraId="19149794" w14:textId="77777777" w:rsidR="00E92AA8" w:rsidRPr="00D10926" w:rsidRDefault="00E92AA8" w:rsidP="004C5C3C">
            <w:pPr>
              <w:jc w:val="center"/>
              <w:rPr>
                <w:rFonts w:cs="Arial"/>
              </w:rPr>
            </w:pPr>
          </w:p>
        </w:tc>
        <w:tc>
          <w:tcPr>
            <w:tcW w:w="2362" w:type="dxa"/>
          </w:tcPr>
          <w:p w14:paraId="4607C1F0" w14:textId="77777777" w:rsidR="00E92AA8" w:rsidRPr="00D10926" w:rsidRDefault="00E92AA8" w:rsidP="004C5C3C">
            <w:pPr>
              <w:jc w:val="center"/>
              <w:rPr>
                <w:rFonts w:cs="Arial"/>
              </w:rPr>
            </w:pPr>
          </w:p>
        </w:tc>
        <w:tc>
          <w:tcPr>
            <w:tcW w:w="1253" w:type="dxa"/>
          </w:tcPr>
          <w:p w14:paraId="32A7DE5E" w14:textId="77777777" w:rsidR="00E92AA8" w:rsidRPr="00D10926" w:rsidRDefault="00E92AA8" w:rsidP="004C5C3C">
            <w:pPr>
              <w:jc w:val="center"/>
              <w:rPr>
                <w:rFonts w:cs="Arial"/>
              </w:rPr>
            </w:pPr>
          </w:p>
        </w:tc>
      </w:tr>
      <w:tr w:rsidR="00E92AA8" w:rsidRPr="00D10926" w14:paraId="2EDEB00E" w14:textId="77777777" w:rsidTr="004C5C3C">
        <w:trPr>
          <w:trHeight w:val="40"/>
        </w:trPr>
        <w:tc>
          <w:tcPr>
            <w:tcW w:w="2133" w:type="dxa"/>
          </w:tcPr>
          <w:p w14:paraId="49262839" w14:textId="77777777" w:rsidR="00E92AA8" w:rsidRDefault="00E92AA8" w:rsidP="004C5C3C">
            <w:pPr>
              <w:rPr>
                <w:rFonts w:cs="Arial"/>
              </w:rPr>
            </w:pPr>
          </w:p>
          <w:p w14:paraId="57E1DF5C" w14:textId="77777777" w:rsidR="00E92AA8" w:rsidRPr="00D10926" w:rsidRDefault="00E92AA8" w:rsidP="004C5C3C">
            <w:pPr>
              <w:rPr>
                <w:rFonts w:cs="Arial"/>
              </w:rPr>
            </w:pPr>
          </w:p>
        </w:tc>
        <w:tc>
          <w:tcPr>
            <w:tcW w:w="2747" w:type="dxa"/>
          </w:tcPr>
          <w:p w14:paraId="0F429F4C" w14:textId="77777777" w:rsidR="00E92AA8" w:rsidRPr="00D10926" w:rsidRDefault="00E92AA8" w:rsidP="004C5C3C">
            <w:pPr>
              <w:jc w:val="center"/>
              <w:rPr>
                <w:rFonts w:cs="Arial"/>
              </w:rPr>
            </w:pPr>
          </w:p>
        </w:tc>
        <w:tc>
          <w:tcPr>
            <w:tcW w:w="2362" w:type="dxa"/>
          </w:tcPr>
          <w:p w14:paraId="09E5D60B" w14:textId="77777777" w:rsidR="00E92AA8" w:rsidRPr="00D10926" w:rsidRDefault="00E92AA8" w:rsidP="004C5C3C">
            <w:pPr>
              <w:jc w:val="center"/>
              <w:rPr>
                <w:rFonts w:cs="Arial"/>
              </w:rPr>
            </w:pPr>
          </w:p>
        </w:tc>
        <w:tc>
          <w:tcPr>
            <w:tcW w:w="1253" w:type="dxa"/>
          </w:tcPr>
          <w:p w14:paraId="515116A6" w14:textId="77777777" w:rsidR="00E92AA8" w:rsidRPr="00D10926" w:rsidRDefault="00E92AA8" w:rsidP="004C5C3C">
            <w:pPr>
              <w:jc w:val="center"/>
              <w:rPr>
                <w:rFonts w:cs="Arial"/>
              </w:rPr>
            </w:pPr>
          </w:p>
        </w:tc>
      </w:tr>
      <w:tr w:rsidR="00E92AA8" w:rsidRPr="00D10926" w14:paraId="6FA9032D" w14:textId="77777777" w:rsidTr="004C5C3C">
        <w:tc>
          <w:tcPr>
            <w:tcW w:w="2133" w:type="dxa"/>
          </w:tcPr>
          <w:p w14:paraId="3014C315" w14:textId="77777777" w:rsidR="00E92AA8" w:rsidRDefault="00E92AA8" w:rsidP="004C5C3C">
            <w:pPr>
              <w:jc w:val="center"/>
              <w:rPr>
                <w:rFonts w:cs="Arial"/>
              </w:rPr>
            </w:pPr>
          </w:p>
          <w:p w14:paraId="278CC6BC" w14:textId="77777777" w:rsidR="00E92AA8" w:rsidRPr="00D10926" w:rsidRDefault="00E92AA8" w:rsidP="004C5C3C">
            <w:pPr>
              <w:jc w:val="center"/>
              <w:rPr>
                <w:rFonts w:cs="Arial"/>
              </w:rPr>
            </w:pPr>
          </w:p>
        </w:tc>
        <w:tc>
          <w:tcPr>
            <w:tcW w:w="2747" w:type="dxa"/>
          </w:tcPr>
          <w:p w14:paraId="5EB0E66C" w14:textId="77777777" w:rsidR="00E92AA8" w:rsidRPr="00D10926" w:rsidRDefault="00E92AA8" w:rsidP="004C5C3C">
            <w:pPr>
              <w:jc w:val="center"/>
              <w:rPr>
                <w:rFonts w:cs="Arial"/>
              </w:rPr>
            </w:pPr>
          </w:p>
        </w:tc>
        <w:tc>
          <w:tcPr>
            <w:tcW w:w="2362" w:type="dxa"/>
          </w:tcPr>
          <w:p w14:paraId="4384AC0E" w14:textId="77777777" w:rsidR="00E92AA8" w:rsidRPr="00D10926" w:rsidRDefault="00E92AA8" w:rsidP="004C5C3C">
            <w:pPr>
              <w:jc w:val="center"/>
              <w:rPr>
                <w:rFonts w:cs="Arial"/>
              </w:rPr>
            </w:pPr>
          </w:p>
        </w:tc>
        <w:tc>
          <w:tcPr>
            <w:tcW w:w="1253" w:type="dxa"/>
          </w:tcPr>
          <w:p w14:paraId="53C9615D" w14:textId="77777777" w:rsidR="00E92AA8" w:rsidRPr="00D10926" w:rsidRDefault="00E92AA8" w:rsidP="004C5C3C">
            <w:pPr>
              <w:jc w:val="center"/>
              <w:rPr>
                <w:rFonts w:cs="Arial"/>
              </w:rPr>
            </w:pPr>
          </w:p>
        </w:tc>
      </w:tr>
      <w:tr w:rsidR="00E92AA8" w:rsidRPr="00D10926" w14:paraId="3C1F06A3" w14:textId="77777777" w:rsidTr="004C5C3C">
        <w:tc>
          <w:tcPr>
            <w:tcW w:w="2133" w:type="dxa"/>
          </w:tcPr>
          <w:p w14:paraId="41EBBFBF" w14:textId="77777777" w:rsidR="00E92AA8" w:rsidRDefault="00E92AA8" w:rsidP="004C5C3C">
            <w:pPr>
              <w:jc w:val="center"/>
              <w:rPr>
                <w:rFonts w:cs="Arial"/>
              </w:rPr>
            </w:pPr>
          </w:p>
          <w:p w14:paraId="0C27D988" w14:textId="77777777" w:rsidR="00E92AA8" w:rsidRPr="00D10926" w:rsidRDefault="00E92AA8" w:rsidP="004C5C3C">
            <w:pPr>
              <w:jc w:val="center"/>
              <w:rPr>
                <w:rFonts w:cs="Arial"/>
              </w:rPr>
            </w:pPr>
          </w:p>
        </w:tc>
        <w:tc>
          <w:tcPr>
            <w:tcW w:w="2747" w:type="dxa"/>
          </w:tcPr>
          <w:p w14:paraId="6FD0F365" w14:textId="77777777" w:rsidR="00E92AA8" w:rsidRPr="00D10926" w:rsidRDefault="00E92AA8" w:rsidP="004C5C3C">
            <w:pPr>
              <w:jc w:val="center"/>
              <w:rPr>
                <w:rFonts w:cs="Arial"/>
              </w:rPr>
            </w:pPr>
          </w:p>
        </w:tc>
        <w:tc>
          <w:tcPr>
            <w:tcW w:w="2362" w:type="dxa"/>
          </w:tcPr>
          <w:p w14:paraId="3E166459" w14:textId="77777777" w:rsidR="00E92AA8" w:rsidRPr="00D10926" w:rsidRDefault="00E92AA8" w:rsidP="004C5C3C">
            <w:pPr>
              <w:jc w:val="center"/>
              <w:rPr>
                <w:rFonts w:cs="Arial"/>
              </w:rPr>
            </w:pPr>
          </w:p>
        </w:tc>
        <w:tc>
          <w:tcPr>
            <w:tcW w:w="1253" w:type="dxa"/>
          </w:tcPr>
          <w:p w14:paraId="7C149181" w14:textId="77777777" w:rsidR="00E92AA8" w:rsidRPr="00D10926" w:rsidRDefault="00E92AA8" w:rsidP="004C5C3C">
            <w:pPr>
              <w:jc w:val="center"/>
              <w:rPr>
                <w:rFonts w:cs="Arial"/>
              </w:rPr>
            </w:pPr>
          </w:p>
        </w:tc>
      </w:tr>
      <w:tr w:rsidR="00E92AA8" w:rsidRPr="00D10926" w14:paraId="2F4ED554" w14:textId="77777777" w:rsidTr="004C5C3C">
        <w:tc>
          <w:tcPr>
            <w:tcW w:w="2133" w:type="dxa"/>
          </w:tcPr>
          <w:p w14:paraId="0D4E6FF6" w14:textId="77777777" w:rsidR="00E92AA8" w:rsidRDefault="00E92AA8" w:rsidP="004C5C3C">
            <w:pPr>
              <w:jc w:val="center"/>
              <w:rPr>
                <w:rFonts w:cs="Arial"/>
              </w:rPr>
            </w:pPr>
          </w:p>
          <w:p w14:paraId="1529F48E" w14:textId="77777777" w:rsidR="00E92AA8" w:rsidRPr="00D10926" w:rsidRDefault="00E92AA8" w:rsidP="004C5C3C">
            <w:pPr>
              <w:jc w:val="center"/>
              <w:rPr>
                <w:rFonts w:cs="Arial"/>
              </w:rPr>
            </w:pPr>
          </w:p>
        </w:tc>
        <w:tc>
          <w:tcPr>
            <w:tcW w:w="2747" w:type="dxa"/>
          </w:tcPr>
          <w:p w14:paraId="0597AA4E" w14:textId="77777777" w:rsidR="00E92AA8" w:rsidRPr="00D10926" w:rsidRDefault="00E92AA8" w:rsidP="004C5C3C">
            <w:pPr>
              <w:jc w:val="center"/>
              <w:rPr>
                <w:rFonts w:cs="Arial"/>
              </w:rPr>
            </w:pPr>
          </w:p>
        </w:tc>
        <w:tc>
          <w:tcPr>
            <w:tcW w:w="2362" w:type="dxa"/>
          </w:tcPr>
          <w:p w14:paraId="266D2716" w14:textId="77777777" w:rsidR="00E92AA8" w:rsidRPr="00D10926" w:rsidRDefault="00E92AA8" w:rsidP="004C5C3C">
            <w:pPr>
              <w:jc w:val="center"/>
              <w:rPr>
                <w:rFonts w:cs="Arial"/>
              </w:rPr>
            </w:pPr>
          </w:p>
        </w:tc>
        <w:tc>
          <w:tcPr>
            <w:tcW w:w="1253" w:type="dxa"/>
          </w:tcPr>
          <w:p w14:paraId="44814C09" w14:textId="77777777" w:rsidR="00E92AA8" w:rsidRPr="00D10926" w:rsidRDefault="00E92AA8" w:rsidP="004C5C3C">
            <w:pPr>
              <w:jc w:val="center"/>
              <w:rPr>
                <w:rFonts w:cs="Arial"/>
              </w:rPr>
            </w:pPr>
          </w:p>
        </w:tc>
      </w:tr>
    </w:tbl>
    <w:p w14:paraId="7E5ACC1B" w14:textId="77777777" w:rsidR="00E92AA8" w:rsidRDefault="00E92AA8" w:rsidP="00E92AA8">
      <w:pPr>
        <w:overflowPunct w:val="0"/>
        <w:autoSpaceDE w:val="0"/>
        <w:autoSpaceDN w:val="0"/>
        <w:adjustRightInd w:val="0"/>
        <w:spacing w:before="120" w:after="120"/>
        <w:textAlignment w:val="baseline"/>
        <w:rPr>
          <w:b/>
        </w:rPr>
      </w:pPr>
    </w:p>
    <w:p w14:paraId="7C552AC8" w14:textId="77777777" w:rsidR="00E92AA8" w:rsidRDefault="00E92AA8" w:rsidP="00E92AA8">
      <w:pPr>
        <w:overflowPunct w:val="0"/>
        <w:autoSpaceDE w:val="0"/>
        <w:autoSpaceDN w:val="0"/>
        <w:adjustRightInd w:val="0"/>
        <w:spacing w:before="120" w:after="120"/>
        <w:textAlignment w:val="baseline"/>
        <w:rPr>
          <w:b/>
        </w:rPr>
      </w:pPr>
    </w:p>
    <w:p w14:paraId="6A5727F9" w14:textId="77777777" w:rsidR="00E92AA8" w:rsidRDefault="00E92AA8" w:rsidP="00E92AA8">
      <w:pPr>
        <w:overflowPunct w:val="0"/>
        <w:autoSpaceDE w:val="0"/>
        <w:autoSpaceDN w:val="0"/>
        <w:adjustRightInd w:val="0"/>
        <w:spacing w:before="120" w:after="120"/>
        <w:textAlignment w:val="baseline"/>
        <w:rPr>
          <w:b/>
        </w:rPr>
      </w:pPr>
      <w:r w:rsidRPr="00D10926">
        <w:rPr>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E92AA8" w:rsidRPr="00D10926" w14:paraId="639CD308" w14:textId="77777777" w:rsidTr="00E92AA8">
        <w:tc>
          <w:tcPr>
            <w:tcW w:w="9747" w:type="dxa"/>
            <w:gridSpan w:val="4"/>
            <w:shd w:val="clear" w:color="auto" w:fill="BFBFBF" w:themeFill="text1" w:themeFillShade="BF"/>
          </w:tcPr>
          <w:p w14:paraId="2CA57C43" w14:textId="77777777" w:rsidR="00E92AA8" w:rsidRPr="00D10926" w:rsidRDefault="00E92AA8" w:rsidP="004C5C3C">
            <w:pPr>
              <w:overflowPunct w:val="0"/>
              <w:autoSpaceDE w:val="0"/>
              <w:autoSpaceDN w:val="0"/>
              <w:adjustRightInd w:val="0"/>
              <w:spacing w:before="120" w:after="120"/>
              <w:ind w:right="423"/>
              <w:jc w:val="center"/>
              <w:textAlignment w:val="baseline"/>
              <w:rPr>
                <w:b/>
              </w:rPr>
            </w:pPr>
            <w:r w:rsidRPr="00D10926">
              <w:rPr>
                <w:b/>
              </w:rPr>
              <w:t xml:space="preserve">I confirm that the registered </w:t>
            </w:r>
            <w:r>
              <w:rPr>
                <w:b/>
              </w:rPr>
              <w:t xml:space="preserve">pharmacists </w:t>
            </w:r>
            <w:r w:rsidRPr="00B05C61">
              <w:rPr>
                <w:b/>
                <w:highlight w:val="yellow"/>
              </w:rPr>
              <w:t>and pharmacy technicians</w:t>
            </w:r>
            <w:r w:rsidRPr="00D10926">
              <w:rPr>
                <w:b/>
              </w:rPr>
              <w:t xml:space="preserve"> named above have declared themselves suitably trained and competent to work under this PGD. I give authorisation on behalf of</w:t>
            </w:r>
            <w:r>
              <w:rPr>
                <w:b/>
              </w:rPr>
              <w:t xml:space="preserve"> </w:t>
            </w:r>
            <w:r w:rsidRPr="00C62850">
              <w:rPr>
                <w:b/>
                <w:highlight w:val="cyan"/>
              </w:rPr>
              <w:t>insert name of organisation</w:t>
            </w:r>
            <w:r>
              <w:rPr>
                <w:b/>
              </w:rPr>
              <w:t xml:space="preserve"> </w:t>
            </w:r>
            <w:r w:rsidRPr="00D10926">
              <w:rPr>
                <w:b/>
              </w:rPr>
              <w:t>for the above</w:t>
            </w:r>
            <w:r>
              <w:rPr>
                <w:b/>
              </w:rPr>
              <w:t>-</w:t>
            </w:r>
            <w:r w:rsidRPr="00D10926">
              <w:rPr>
                <w:b/>
              </w:rPr>
              <w:t xml:space="preserve">named </w:t>
            </w:r>
            <w:r>
              <w:rPr>
                <w:b/>
              </w:rPr>
              <w:t>pharmacists</w:t>
            </w:r>
            <w:r w:rsidRPr="00D10926">
              <w:rPr>
                <w:b/>
              </w:rPr>
              <w:t xml:space="preserve"> </w:t>
            </w:r>
            <w:r>
              <w:rPr>
                <w:b/>
              </w:rPr>
              <w:t xml:space="preserve">and pharmacy technicians </w:t>
            </w:r>
            <w:r w:rsidRPr="00D10926">
              <w:rPr>
                <w:b/>
              </w:rPr>
              <w:t>who have signed the PGD to work under it.</w:t>
            </w:r>
          </w:p>
        </w:tc>
      </w:tr>
      <w:tr w:rsidR="00E92AA8" w:rsidRPr="00D10926" w14:paraId="3FEB4CEE" w14:textId="77777777" w:rsidTr="00E92AA8">
        <w:tc>
          <w:tcPr>
            <w:tcW w:w="2518" w:type="dxa"/>
            <w:shd w:val="clear" w:color="auto" w:fill="BFBFBF" w:themeFill="text1" w:themeFillShade="BF"/>
          </w:tcPr>
          <w:p w14:paraId="1258B8B2"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Name</w:t>
            </w:r>
          </w:p>
        </w:tc>
        <w:tc>
          <w:tcPr>
            <w:tcW w:w="3119" w:type="dxa"/>
            <w:shd w:val="clear" w:color="auto" w:fill="BFBFBF" w:themeFill="text1" w:themeFillShade="BF"/>
          </w:tcPr>
          <w:p w14:paraId="70B22F85"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Designation</w:t>
            </w:r>
          </w:p>
        </w:tc>
        <w:tc>
          <w:tcPr>
            <w:tcW w:w="2693" w:type="dxa"/>
            <w:shd w:val="clear" w:color="auto" w:fill="BFBFBF" w:themeFill="text1" w:themeFillShade="BF"/>
          </w:tcPr>
          <w:p w14:paraId="7ED5FD9E"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Signature</w:t>
            </w:r>
          </w:p>
        </w:tc>
        <w:tc>
          <w:tcPr>
            <w:tcW w:w="1417" w:type="dxa"/>
            <w:shd w:val="clear" w:color="auto" w:fill="BFBFBF" w:themeFill="text1" w:themeFillShade="BF"/>
          </w:tcPr>
          <w:p w14:paraId="726FA3C9" w14:textId="77777777" w:rsidR="00E92AA8" w:rsidRPr="00D10926" w:rsidRDefault="00E92AA8" w:rsidP="004C5C3C">
            <w:pPr>
              <w:overflowPunct w:val="0"/>
              <w:autoSpaceDE w:val="0"/>
              <w:autoSpaceDN w:val="0"/>
              <w:adjustRightInd w:val="0"/>
              <w:spacing w:before="120" w:after="120"/>
              <w:jc w:val="center"/>
              <w:textAlignment w:val="baseline"/>
              <w:rPr>
                <w:b/>
              </w:rPr>
            </w:pPr>
            <w:r w:rsidRPr="00D10926">
              <w:rPr>
                <w:b/>
              </w:rPr>
              <w:t>Date</w:t>
            </w:r>
          </w:p>
        </w:tc>
      </w:tr>
      <w:tr w:rsidR="00E92AA8" w:rsidRPr="00D10926" w14:paraId="6952385B" w14:textId="77777777" w:rsidTr="004C5C3C">
        <w:tc>
          <w:tcPr>
            <w:tcW w:w="2518" w:type="dxa"/>
          </w:tcPr>
          <w:p w14:paraId="40F32A7E" w14:textId="77777777" w:rsidR="00E92AA8" w:rsidRDefault="00E92AA8" w:rsidP="004C5C3C">
            <w:pPr>
              <w:jc w:val="center"/>
              <w:rPr>
                <w:rFonts w:cs="Arial"/>
              </w:rPr>
            </w:pPr>
          </w:p>
          <w:p w14:paraId="4BB1EA0E" w14:textId="77777777" w:rsidR="00E92AA8" w:rsidRPr="00D10926" w:rsidRDefault="00E92AA8" w:rsidP="004C5C3C">
            <w:pPr>
              <w:jc w:val="center"/>
              <w:rPr>
                <w:rFonts w:cs="Arial"/>
              </w:rPr>
            </w:pPr>
          </w:p>
        </w:tc>
        <w:tc>
          <w:tcPr>
            <w:tcW w:w="3119" w:type="dxa"/>
          </w:tcPr>
          <w:p w14:paraId="036D0377" w14:textId="77777777" w:rsidR="00E92AA8" w:rsidRDefault="00E92AA8" w:rsidP="004C5C3C">
            <w:pPr>
              <w:jc w:val="center"/>
              <w:rPr>
                <w:rFonts w:cs="Arial"/>
              </w:rPr>
            </w:pPr>
          </w:p>
          <w:p w14:paraId="082AA0AF" w14:textId="77777777" w:rsidR="00E92AA8" w:rsidRPr="00D10926" w:rsidRDefault="00E92AA8" w:rsidP="004C5C3C">
            <w:pPr>
              <w:jc w:val="center"/>
              <w:rPr>
                <w:rFonts w:cs="Arial"/>
              </w:rPr>
            </w:pPr>
          </w:p>
        </w:tc>
        <w:tc>
          <w:tcPr>
            <w:tcW w:w="2693" w:type="dxa"/>
          </w:tcPr>
          <w:p w14:paraId="666312BE" w14:textId="77777777" w:rsidR="00E92AA8" w:rsidRDefault="00E92AA8" w:rsidP="004C5C3C">
            <w:pPr>
              <w:jc w:val="center"/>
              <w:rPr>
                <w:rFonts w:cs="Arial"/>
              </w:rPr>
            </w:pPr>
          </w:p>
          <w:p w14:paraId="01D2F392" w14:textId="77777777" w:rsidR="00E92AA8" w:rsidRPr="00D10926" w:rsidRDefault="00E92AA8" w:rsidP="004C5C3C">
            <w:pPr>
              <w:jc w:val="center"/>
              <w:rPr>
                <w:rFonts w:cs="Arial"/>
              </w:rPr>
            </w:pPr>
          </w:p>
        </w:tc>
        <w:tc>
          <w:tcPr>
            <w:tcW w:w="1417" w:type="dxa"/>
          </w:tcPr>
          <w:p w14:paraId="14D6D4C6" w14:textId="77777777" w:rsidR="00E92AA8" w:rsidRDefault="00E92AA8" w:rsidP="004C5C3C">
            <w:pPr>
              <w:jc w:val="center"/>
              <w:rPr>
                <w:rFonts w:cs="Arial"/>
              </w:rPr>
            </w:pPr>
          </w:p>
          <w:p w14:paraId="10AD7445" w14:textId="77777777" w:rsidR="00E92AA8" w:rsidRPr="00D10926" w:rsidRDefault="00E92AA8" w:rsidP="004C5C3C">
            <w:pPr>
              <w:jc w:val="center"/>
              <w:rPr>
                <w:rFonts w:cs="Arial"/>
              </w:rPr>
            </w:pPr>
          </w:p>
        </w:tc>
      </w:tr>
    </w:tbl>
    <w:p w14:paraId="1248EB3B" w14:textId="77777777" w:rsidR="00E92AA8" w:rsidRDefault="00E92AA8" w:rsidP="00E92AA8">
      <w:pPr>
        <w:overflowPunct w:val="0"/>
        <w:autoSpaceDE w:val="0"/>
        <w:autoSpaceDN w:val="0"/>
        <w:adjustRightInd w:val="0"/>
        <w:spacing w:before="120" w:after="120"/>
        <w:textAlignment w:val="baseline"/>
        <w:rPr>
          <w:b/>
        </w:rPr>
      </w:pPr>
    </w:p>
    <w:p w14:paraId="1274E6B1" w14:textId="77777777" w:rsidR="00E92AA8" w:rsidRPr="00D10926" w:rsidRDefault="00E92AA8" w:rsidP="00E92AA8">
      <w:pPr>
        <w:overflowPunct w:val="0"/>
        <w:autoSpaceDE w:val="0"/>
        <w:autoSpaceDN w:val="0"/>
        <w:adjustRightInd w:val="0"/>
        <w:spacing w:before="120" w:after="120"/>
        <w:textAlignment w:val="baseline"/>
        <w:rPr>
          <w:b/>
        </w:rPr>
      </w:pPr>
      <w:r w:rsidRPr="00D10926">
        <w:rPr>
          <w:b/>
        </w:rPr>
        <w:t>Note to authorising manager</w:t>
      </w:r>
    </w:p>
    <w:p w14:paraId="29C2C6E1" w14:textId="01E49E51" w:rsidR="00E92AA8" w:rsidRPr="00D10926" w:rsidRDefault="00E92AA8" w:rsidP="00E92AA8">
      <w:pPr>
        <w:spacing w:before="120" w:after="120"/>
      </w:pPr>
      <w:r w:rsidRPr="00D10926">
        <w:t xml:space="preserve">Score through unused rows in the list of </w:t>
      </w:r>
      <w:r>
        <w:t>pharmacists</w:t>
      </w:r>
      <w:r w:rsidRPr="00D10926">
        <w:t xml:space="preserve"> </w:t>
      </w:r>
      <w:r w:rsidRPr="00B05C61">
        <w:rPr>
          <w:highlight w:val="yellow"/>
        </w:rPr>
        <w:t>and pharmacy technicians</w:t>
      </w:r>
      <w:r>
        <w:t xml:space="preserve"> </w:t>
      </w:r>
      <w:r w:rsidRPr="00D10926">
        <w:t>to prevent additions post managerial authorisation.</w:t>
      </w:r>
    </w:p>
    <w:p w14:paraId="3F4722BB" w14:textId="2504AE54" w:rsidR="00E92AA8" w:rsidRPr="00313FCE" w:rsidRDefault="00E92AA8" w:rsidP="00313FCE">
      <w:pPr>
        <w:spacing w:before="120" w:after="120"/>
      </w:pPr>
      <w:r w:rsidRPr="00D10926">
        <w:t xml:space="preserve">This authorisation sheet should be retained to serve as a record of those </w:t>
      </w:r>
      <w:r>
        <w:t xml:space="preserve">pharmacists </w:t>
      </w:r>
      <w:r w:rsidRPr="00B05C61">
        <w:rPr>
          <w:highlight w:val="yellow"/>
        </w:rPr>
        <w:t>and pharmacy technicians</w:t>
      </w:r>
      <w:r w:rsidRPr="00D10926">
        <w:t xml:space="preserve"> authorised to work under this PGD</w:t>
      </w:r>
      <w:r>
        <w:t>.</w:t>
      </w:r>
      <w:r>
        <w:rPr>
          <w:b/>
          <w:szCs w:val="20"/>
        </w:rPr>
        <w:br w:type="page"/>
      </w:r>
    </w:p>
    <w:p w14:paraId="0546592D" w14:textId="77777777" w:rsidR="001C4D90" w:rsidRDefault="001C4D90" w:rsidP="00480E21">
      <w:pPr>
        <w:pStyle w:val="h2numbered"/>
        <w:sectPr w:rsidR="001C4D90" w:rsidSect="00D81216">
          <w:headerReference w:type="default" r:id="rId57"/>
          <w:footerReference w:type="default" r:id="rId58"/>
          <w:type w:val="continuous"/>
          <w:pgSz w:w="11906" w:h="16838"/>
          <w:pgMar w:top="1021" w:right="1021" w:bottom="1021" w:left="1021" w:header="454" w:footer="0" w:gutter="0"/>
          <w:cols w:space="708"/>
          <w:docGrid w:linePitch="360"/>
        </w:sectPr>
      </w:pPr>
    </w:p>
    <w:p w14:paraId="787D6DD2" w14:textId="77777777" w:rsidR="00E17395" w:rsidRDefault="00E17395" w:rsidP="00E62F34">
      <w:pPr>
        <w:pStyle w:val="h2numbered"/>
        <w:numPr>
          <w:ilvl w:val="0"/>
          <w:numId w:val="0"/>
        </w:numPr>
      </w:pPr>
      <w:bookmarkStart w:id="7" w:name="AppendixB"/>
      <w:r>
        <w:lastRenderedPageBreak/>
        <w:t xml:space="preserve">Appendix B – Name, strength &amp; formulation of </w:t>
      </w:r>
      <w:commentRangeStart w:id="8"/>
      <w:r>
        <w:t>drug</w:t>
      </w:r>
      <w:commentRangeEnd w:id="8"/>
      <w:r>
        <w:rPr>
          <w:rStyle w:val="CommentReference"/>
        </w:rPr>
        <w:commentReference w:id="8"/>
      </w:r>
    </w:p>
    <w:bookmarkEnd w:id="7"/>
    <w:p w14:paraId="6658579B" w14:textId="108A14D8" w:rsidR="7A57EE11" w:rsidRDefault="7A57EE11" w:rsidP="5BA60A14">
      <w:r>
        <w:t xml:space="preserve">Any combined oral contraceptive </w:t>
      </w:r>
      <w:r w:rsidR="1A789425">
        <w:t xml:space="preserve">preparation </w:t>
      </w:r>
      <w:r>
        <w:t>listed in the British National Formulary (BNF) can be supplied under this PGD</w:t>
      </w:r>
      <w:r w:rsidR="06F4CA44">
        <w:t>. This includes, but may not be limited to the following:</w:t>
      </w:r>
    </w:p>
    <w:p w14:paraId="5FF87F65"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r w:rsidRPr="002301BB">
        <w:rPr>
          <w:rFonts w:eastAsia="Calibri" w:cs="Arial"/>
          <w:b/>
          <w:bCs/>
          <w:color w:val="auto"/>
          <w:kern w:val="2"/>
          <w14:ligatures w14:val="standardContextual"/>
        </w:rPr>
        <w:t xml:space="preserve">Monophasic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3352"/>
        <w:gridCol w:w="2595"/>
        <w:gridCol w:w="2627"/>
      </w:tblGrid>
      <w:tr w:rsidR="002301BB" w:rsidRPr="002301BB" w14:paraId="30DC0309" w14:textId="77777777" w:rsidTr="77D5956C">
        <w:trPr>
          <w:trHeight w:val="290"/>
          <w:tblHeader/>
        </w:trPr>
        <w:tc>
          <w:tcPr>
            <w:tcW w:w="0" w:type="auto"/>
            <w:shd w:val="clear" w:color="auto" w:fill="A8D08D"/>
            <w:noWrap/>
            <w:vAlign w:val="bottom"/>
          </w:tcPr>
          <w:p w14:paraId="5B3C396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VMP/AMP Name</w:t>
            </w:r>
            <w:r w:rsidRPr="002301BB">
              <w:rPr>
                <w:rFonts w:ascii="Calibri" w:hAnsi="Calibri" w:cs="Calibri"/>
                <w:b/>
                <w:bCs/>
                <w:kern w:val="2"/>
                <w:lang w:eastAsia="en-GB"/>
                <w14:ligatures w14:val="standardContextual"/>
              </w:rPr>
              <w:tab/>
            </w:r>
          </w:p>
        </w:tc>
        <w:tc>
          <w:tcPr>
            <w:tcW w:w="0" w:type="auto"/>
            <w:shd w:val="clear" w:color="auto" w:fill="A8D08D"/>
            <w:noWrap/>
            <w:vAlign w:val="bottom"/>
          </w:tcPr>
          <w:p w14:paraId="30722976"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VMP/AMP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r w:rsidRPr="002301BB">
              <w:rPr>
                <w:rFonts w:ascii="Calibri" w:hAnsi="Calibri" w:cs="Calibri"/>
                <w:b/>
                <w:bCs/>
                <w:kern w:val="2"/>
                <w:lang w:eastAsia="en-GB"/>
                <w14:ligatures w14:val="standardContextual"/>
              </w:rPr>
              <w:tab/>
            </w:r>
            <w:r w:rsidRPr="002301BB">
              <w:rPr>
                <w:rFonts w:ascii="Calibri" w:hAnsi="Calibri" w:cs="Calibri"/>
                <w:b/>
                <w:bCs/>
                <w:kern w:val="2"/>
                <w:lang w:eastAsia="en-GB"/>
                <w14:ligatures w14:val="standardContextual"/>
              </w:rPr>
              <w:tab/>
            </w:r>
          </w:p>
        </w:tc>
        <w:tc>
          <w:tcPr>
            <w:tcW w:w="0" w:type="auto"/>
            <w:shd w:val="clear" w:color="auto" w:fill="A8D08D"/>
            <w:noWrap/>
            <w:vAlign w:val="bottom"/>
          </w:tcPr>
          <w:p w14:paraId="26AD6AF0"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VMPP/AMPP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0" w:type="auto"/>
            <w:shd w:val="clear" w:color="auto" w:fill="A8D08D"/>
            <w:noWrap/>
            <w:vAlign w:val="bottom"/>
          </w:tcPr>
          <w:p w14:paraId="65EC2F3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b/>
                <w:bCs/>
                <w:kern w:val="2"/>
                <w:lang w:eastAsia="en-GB"/>
                <w14:ligatures w14:val="standardContextual"/>
              </w:rPr>
              <w:t>Supplier Name</w:t>
            </w:r>
          </w:p>
        </w:tc>
      </w:tr>
      <w:tr w:rsidR="002301BB" w:rsidRPr="002301BB" w14:paraId="09410A1A" w14:textId="77777777" w:rsidTr="77D5956C">
        <w:trPr>
          <w:trHeight w:val="290"/>
        </w:trPr>
        <w:tc>
          <w:tcPr>
            <w:tcW w:w="0" w:type="auto"/>
            <w:shd w:val="clear" w:color="auto" w:fill="B4C6E7"/>
            <w:noWrap/>
            <w:vAlign w:val="bottom"/>
            <w:hideMark/>
          </w:tcPr>
          <w:p w14:paraId="036D30A3"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20microgram / </w:t>
            </w:r>
            <w:proofErr w:type="spellStart"/>
            <w:r w:rsidRPr="002301BB">
              <w:rPr>
                <w:rFonts w:ascii="Calibri" w:hAnsi="Calibri" w:cs="Calibri"/>
                <w:b/>
                <w:bCs/>
                <w:kern w:val="2"/>
                <w:lang w:eastAsia="en-GB"/>
                <w14:ligatures w14:val="standardContextual"/>
              </w:rPr>
              <w:t>Desogestrel</w:t>
            </w:r>
            <w:proofErr w:type="spellEnd"/>
            <w:r w:rsidRPr="002301BB">
              <w:rPr>
                <w:rFonts w:ascii="Calibri" w:hAnsi="Calibri" w:cs="Calibri"/>
                <w:b/>
                <w:bCs/>
                <w:kern w:val="2"/>
                <w:lang w:eastAsia="en-GB"/>
                <w14:ligatures w14:val="standardContextual"/>
              </w:rPr>
              <w:t xml:space="preserve"> 150microgram tablets</w:t>
            </w:r>
          </w:p>
        </w:tc>
        <w:tc>
          <w:tcPr>
            <w:tcW w:w="0" w:type="auto"/>
            <w:shd w:val="clear" w:color="auto" w:fill="B4C6E7"/>
            <w:noWrap/>
            <w:vAlign w:val="bottom"/>
            <w:hideMark/>
          </w:tcPr>
          <w:p w14:paraId="0EEF91D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41876511000001101</w:t>
            </w:r>
          </w:p>
        </w:tc>
        <w:tc>
          <w:tcPr>
            <w:tcW w:w="0" w:type="auto"/>
            <w:shd w:val="clear" w:color="auto" w:fill="B4C6E7"/>
            <w:noWrap/>
            <w:vAlign w:val="bottom"/>
            <w:hideMark/>
          </w:tcPr>
          <w:p w14:paraId="17B9C609"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1235811000001101</w:t>
            </w:r>
          </w:p>
        </w:tc>
        <w:tc>
          <w:tcPr>
            <w:tcW w:w="0" w:type="auto"/>
            <w:shd w:val="clear" w:color="auto" w:fill="B4C6E7"/>
            <w:noWrap/>
            <w:vAlign w:val="bottom"/>
            <w:hideMark/>
          </w:tcPr>
          <w:p w14:paraId="4CEF093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1EC492B6" w14:textId="77777777" w:rsidTr="77D5956C">
        <w:trPr>
          <w:trHeight w:val="290"/>
        </w:trPr>
        <w:tc>
          <w:tcPr>
            <w:tcW w:w="0" w:type="auto"/>
            <w:shd w:val="clear" w:color="auto" w:fill="FFFFFF" w:themeFill="text1"/>
            <w:noWrap/>
            <w:vAlign w:val="bottom"/>
            <w:hideMark/>
          </w:tcPr>
          <w:p w14:paraId="1F2D44B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Bimizza</w:t>
            </w:r>
            <w:proofErr w:type="spellEnd"/>
            <w:r w:rsidRPr="002301BB">
              <w:rPr>
                <w:rFonts w:ascii="Calibri" w:hAnsi="Calibri" w:cs="Calibri"/>
                <w:kern w:val="2"/>
                <w:lang w:eastAsia="en-GB"/>
                <w14:ligatures w14:val="standardContextual"/>
              </w:rPr>
              <w:t xml:space="preserve"> 150microgram/20microgram tablets</w:t>
            </w:r>
          </w:p>
        </w:tc>
        <w:tc>
          <w:tcPr>
            <w:tcW w:w="0" w:type="auto"/>
            <w:shd w:val="clear" w:color="auto" w:fill="FFFFFF" w:themeFill="text1"/>
            <w:noWrap/>
            <w:vAlign w:val="bottom"/>
            <w:hideMark/>
          </w:tcPr>
          <w:p w14:paraId="26B2D07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29910811000001108</w:t>
            </w:r>
          </w:p>
        </w:tc>
        <w:tc>
          <w:tcPr>
            <w:tcW w:w="0" w:type="auto"/>
            <w:shd w:val="clear" w:color="auto" w:fill="FFFFFF" w:themeFill="text1"/>
            <w:noWrap/>
            <w:vAlign w:val="bottom"/>
            <w:hideMark/>
          </w:tcPr>
          <w:p w14:paraId="34F43BD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29911111000001107</w:t>
            </w:r>
          </w:p>
        </w:tc>
        <w:tc>
          <w:tcPr>
            <w:tcW w:w="0" w:type="auto"/>
            <w:shd w:val="clear" w:color="auto" w:fill="FFFFFF" w:themeFill="text1"/>
            <w:noWrap/>
            <w:vAlign w:val="bottom"/>
            <w:hideMark/>
          </w:tcPr>
          <w:p w14:paraId="18A8CCC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60CDDC30" w14:textId="77777777" w:rsidTr="77D5956C">
        <w:trPr>
          <w:trHeight w:val="290"/>
        </w:trPr>
        <w:tc>
          <w:tcPr>
            <w:tcW w:w="0" w:type="auto"/>
            <w:shd w:val="clear" w:color="auto" w:fill="FFFFFF" w:themeFill="text1"/>
            <w:noWrap/>
            <w:vAlign w:val="bottom"/>
            <w:hideMark/>
          </w:tcPr>
          <w:p w14:paraId="763D0E3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Gedarel</w:t>
            </w:r>
            <w:proofErr w:type="spellEnd"/>
            <w:r w:rsidRPr="002301BB">
              <w:rPr>
                <w:rFonts w:ascii="Calibri" w:hAnsi="Calibri" w:cs="Calibri"/>
                <w:kern w:val="2"/>
                <w:lang w:eastAsia="en-GB"/>
                <w14:ligatures w14:val="standardContextual"/>
              </w:rPr>
              <w:t xml:space="preserve"> 20microgram/150microgram tablets</w:t>
            </w:r>
          </w:p>
        </w:tc>
        <w:tc>
          <w:tcPr>
            <w:tcW w:w="0" w:type="auto"/>
            <w:shd w:val="clear" w:color="auto" w:fill="FFFFFF" w:themeFill="text1"/>
            <w:noWrap/>
            <w:vAlign w:val="bottom"/>
            <w:hideMark/>
          </w:tcPr>
          <w:p w14:paraId="1F57DD8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17346911000001108</w:t>
            </w:r>
          </w:p>
        </w:tc>
        <w:tc>
          <w:tcPr>
            <w:tcW w:w="0" w:type="auto"/>
            <w:shd w:val="clear" w:color="auto" w:fill="FFFFFF" w:themeFill="text1"/>
            <w:noWrap/>
            <w:vAlign w:val="bottom"/>
            <w:hideMark/>
          </w:tcPr>
          <w:p w14:paraId="08DA53B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17347011000001107</w:t>
            </w:r>
          </w:p>
        </w:tc>
        <w:tc>
          <w:tcPr>
            <w:tcW w:w="0" w:type="auto"/>
            <w:shd w:val="clear" w:color="auto" w:fill="FFFFFF" w:themeFill="text1"/>
            <w:noWrap/>
            <w:vAlign w:val="bottom"/>
            <w:hideMark/>
          </w:tcPr>
          <w:p w14:paraId="3AC98A5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397EC167" w14:textId="77777777" w:rsidTr="77D5956C">
        <w:trPr>
          <w:trHeight w:val="290"/>
        </w:trPr>
        <w:tc>
          <w:tcPr>
            <w:tcW w:w="0" w:type="auto"/>
            <w:shd w:val="clear" w:color="auto" w:fill="FFFFFF" w:themeFill="text1"/>
            <w:noWrap/>
            <w:vAlign w:val="bottom"/>
            <w:hideMark/>
          </w:tcPr>
          <w:p w14:paraId="5485057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Mercilon</w:t>
            </w:r>
            <w:proofErr w:type="spellEnd"/>
            <w:r w:rsidRPr="002301BB">
              <w:rPr>
                <w:rFonts w:ascii="Calibri" w:hAnsi="Calibri" w:cs="Calibri"/>
                <w:kern w:val="2"/>
                <w:lang w:eastAsia="en-GB"/>
                <w14:ligatures w14:val="standardContextual"/>
              </w:rPr>
              <w:t xml:space="preserve"> 150microgram/20microgram tablets</w:t>
            </w:r>
          </w:p>
        </w:tc>
        <w:tc>
          <w:tcPr>
            <w:tcW w:w="0" w:type="auto"/>
            <w:shd w:val="clear" w:color="auto" w:fill="FFFFFF" w:themeFill="text1"/>
            <w:noWrap/>
            <w:vAlign w:val="bottom"/>
            <w:hideMark/>
          </w:tcPr>
          <w:p w14:paraId="0E2E780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208311000001105</w:t>
            </w:r>
          </w:p>
        </w:tc>
        <w:tc>
          <w:tcPr>
            <w:tcW w:w="0" w:type="auto"/>
            <w:shd w:val="clear" w:color="auto" w:fill="FFFFFF" w:themeFill="text1"/>
            <w:noWrap/>
            <w:vAlign w:val="bottom"/>
            <w:hideMark/>
          </w:tcPr>
          <w:p w14:paraId="27BF4BF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2619611000001105</w:t>
            </w:r>
          </w:p>
        </w:tc>
        <w:tc>
          <w:tcPr>
            <w:tcW w:w="0" w:type="auto"/>
            <w:shd w:val="clear" w:color="auto" w:fill="FFFFFF" w:themeFill="text1"/>
            <w:noWrap/>
            <w:vAlign w:val="bottom"/>
            <w:hideMark/>
          </w:tcPr>
          <w:p w14:paraId="70D1BE4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Organon Pharma (UK) Ltd</w:t>
            </w:r>
          </w:p>
        </w:tc>
      </w:tr>
      <w:tr w:rsidR="002301BB" w:rsidRPr="002301BB" w14:paraId="43703032" w14:textId="77777777" w:rsidTr="77D5956C">
        <w:trPr>
          <w:trHeight w:val="290"/>
        </w:trPr>
        <w:tc>
          <w:tcPr>
            <w:tcW w:w="0" w:type="auto"/>
            <w:shd w:val="clear" w:color="auto" w:fill="B4C6E7"/>
            <w:noWrap/>
            <w:vAlign w:val="bottom"/>
            <w:hideMark/>
          </w:tcPr>
          <w:p w14:paraId="4ECE6B0D"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20microgram / </w:t>
            </w:r>
            <w:proofErr w:type="spellStart"/>
            <w:r w:rsidRPr="002301BB">
              <w:rPr>
                <w:rFonts w:ascii="Calibri" w:hAnsi="Calibri" w:cs="Calibri"/>
                <w:b/>
                <w:bCs/>
                <w:kern w:val="2"/>
                <w:lang w:eastAsia="en-GB"/>
                <w14:ligatures w14:val="standardContextual"/>
              </w:rPr>
              <w:t>Gestodene</w:t>
            </w:r>
            <w:proofErr w:type="spellEnd"/>
            <w:r w:rsidRPr="002301BB">
              <w:rPr>
                <w:rFonts w:ascii="Calibri" w:hAnsi="Calibri" w:cs="Calibri"/>
                <w:b/>
                <w:bCs/>
                <w:kern w:val="2"/>
                <w:lang w:eastAsia="en-GB"/>
                <w14:ligatures w14:val="standardContextual"/>
              </w:rPr>
              <w:t xml:space="preserve"> 75microgram tablets</w:t>
            </w:r>
          </w:p>
        </w:tc>
        <w:tc>
          <w:tcPr>
            <w:tcW w:w="0" w:type="auto"/>
            <w:shd w:val="clear" w:color="auto" w:fill="B4C6E7"/>
            <w:noWrap/>
            <w:vAlign w:val="bottom"/>
            <w:hideMark/>
          </w:tcPr>
          <w:p w14:paraId="5FEDBB5F"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41876611000001102</w:t>
            </w:r>
          </w:p>
        </w:tc>
        <w:tc>
          <w:tcPr>
            <w:tcW w:w="0" w:type="auto"/>
            <w:shd w:val="clear" w:color="auto" w:fill="B4C6E7"/>
            <w:noWrap/>
            <w:vAlign w:val="bottom"/>
            <w:hideMark/>
          </w:tcPr>
          <w:p w14:paraId="3E3A09B2"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3049011000001109</w:t>
            </w:r>
          </w:p>
        </w:tc>
        <w:tc>
          <w:tcPr>
            <w:tcW w:w="0" w:type="auto"/>
            <w:shd w:val="clear" w:color="auto" w:fill="B4C6E7"/>
            <w:noWrap/>
            <w:vAlign w:val="bottom"/>
            <w:hideMark/>
          </w:tcPr>
          <w:p w14:paraId="5392D7D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74E69167" w14:textId="77777777" w:rsidTr="77D5956C">
        <w:trPr>
          <w:trHeight w:val="290"/>
        </w:trPr>
        <w:tc>
          <w:tcPr>
            <w:tcW w:w="0" w:type="auto"/>
            <w:shd w:val="clear" w:color="auto" w:fill="FFFFFF" w:themeFill="text1"/>
            <w:noWrap/>
            <w:vAlign w:val="bottom"/>
            <w:hideMark/>
          </w:tcPr>
          <w:p w14:paraId="41F5D21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Akizza</w:t>
            </w:r>
            <w:proofErr w:type="spellEnd"/>
            <w:r w:rsidRPr="002301BB">
              <w:rPr>
                <w:rFonts w:ascii="Calibri" w:hAnsi="Calibri" w:cs="Calibri"/>
                <w:kern w:val="2"/>
                <w:lang w:eastAsia="en-GB"/>
                <w14:ligatures w14:val="standardContextual"/>
              </w:rPr>
              <w:t xml:space="preserve"> 75microgram/20microgram tablets</w:t>
            </w:r>
          </w:p>
        </w:tc>
        <w:tc>
          <w:tcPr>
            <w:tcW w:w="0" w:type="auto"/>
            <w:shd w:val="clear" w:color="auto" w:fill="FFFFFF" w:themeFill="text1"/>
            <w:noWrap/>
            <w:vAlign w:val="bottom"/>
            <w:hideMark/>
          </w:tcPr>
          <w:p w14:paraId="0E8AAE9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38335711000001105</w:t>
            </w:r>
          </w:p>
        </w:tc>
        <w:tc>
          <w:tcPr>
            <w:tcW w:w="0" w:type="auto"/>
            <w:shd w:val="clear" w:color="auto" w:fill="FFFFFF" w:themeFill="text1"/>
            <w:noWrap/>
            <w:vAlign w:val="bottom"/>
            <w:hideMark/>
          </w:tcPr>
          <w:p w14:paraId="795829E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38335911000001107</w:t>
            </w:r>
          </w:p>
        </w:tc>
        <w:tc>
          <w:tcPr>
            <w:tcW w:w="0" w:type="auto"/>
            <w:shd w:val="clear" w:color="auto" w:fill="FFFFFF" w:themeFill="text1"/>
            <w:noWrap/>
            <w:vAlign w:val="bottom"/>
            <w:hideMark/>
          </w:tcPr>
          <w:p w14:paraId="464C36F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5B944CA8" w14:textId="77777777" w:rsidTr="77D5956C">
        <w:trPr>
          <w:trHeight w:val="290"/>
        </w:trPr>
        <w:tc>
          <w:tcPr>
            <w:tcW w:w="0" w:type="auto"/>
            <w:shd w:val="clear" w:color="auto" w:fill="FFFFFF" w:themeFill="text1"/>
            <w:noWrap/>
            <w:vAlign w:val="bottom"/>
            <w:hideMark/>
          </w:tcPr>
          <w:p w14:paraId="4C65022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Femodette</w:t>
            </w:r>
            <w:proofErr w:type="spellEnd"/>
            <w:r w:rsidRPr="002301BB">
              <w:rPr>
                <w:rFonts w:ascii="Calibri" w:hAnsi="Calibri" w:cs="Calibri"/>
                <w:kern w:val="2"/>
                <w:lang w:eastAsia="en-GB"/>
                <w14:ligatures w14:val="standardContextual"/>
              </w:rPr>
              <w:t xml:space="preserve"> tablets</w:t>
            </w:r>
          </w:p>
        </w:tc>
        <w:tc>
          <w:tcPr>
            <w:tcW w:w="0" w:type="auto"/>
            <w:shd w:val="clear" w:color="auto" w:fill="FFFFFF" w:themeFill="text1"/>
            <w:noWrap/>
            <w:vAlign w:val="bottom"/>
            <w:hideMark/>
          </w:tcPr>
          <w:p w14:paraId="5A111F3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3049211000001104</w:t>
            </w:r>
          </w:p>
        </w:tc>
        <w:tc>
          <w:tcPr>
            <w:tcW w:w="0" w:type="auto"/>
            <w:shd w:val="clear" w:color="auto" w:fill="FFFFFF" w:themeFill="text1"/>
            <w:noWrap/>
            <w:vAlign w:val="bottom"/>
            <w:hideMark/>
          </w:tcPr>
          <w:p w14:paraId="5DE8250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3049411000001100</w:t>
            </w:r>
          </w:p>
        </w:tc>
        <w:tc>
          <w:tcPr>
            <w:tcW w:w="0" w:type="auto"/>
            <w:shd w:val="clear" w:color="auto" w:fill="FFFFFF" w:themeFill="text1"/>
            <w:noWrap/>
            <w:vAlign w:val="bottom"/>
            <w:hideMark/>
          </w:tcPr>
          <w:p w14:paraId="2DE23EE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5C358E16" w14:textId="77777777" w:rsidTr="77D5956C">
        <w:trPr>
          <w:trHeight w:val="290"/>
        </w:trPr>
        <w:tc>
          <w:tcPr>
            <w:tcW w:w="0" w:type="auto"/>
            <w:shd w:val="clear" w:color="auto" w:fill="FFFFFF" w:themeFill="text1"/>
            <w:noWrap/>
            <w:vAlign w:val="bottom"/>
            <w:hideMark/>
          </w:tcPr>
          <w:p w14:paraId="634DA4F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Millinette</w:t>
            </w:r>
            <w:proofErr w:type="spellEnd"/>
            <w:r w:rsidRPr="002301BB">
              <w:rPr>
                <w:rFonts w:ascii="Calibri" w:hAnsi="Calibri" w:cs="Calibri"/>
                <w:kern w:val="2"/>
                <w:lang w:eastAsia="en-GB"/>
                <w14:ligatures w14:val="standardContextual"/>
              </w:rPr>
              <w:t xml:space="preserve"> 20microgram/75microgram tablets</w:t>
            </w:r>
          </w:p>
        </w:tc>
        <w:tc>
          <w:tcPr>
            <w:tcW w:w="0" w:type="auto"/>
            <w:shd w:val="clear" w:color="auto" w:fill="FFFFFF" w:themeFill="text1"/>
            <w:noWrap/>
            <w:vAlign w:val="bottom"/>
            <w:hideMark/>
          </w:tcPr>
          <w:p w14:paraId="34BE931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17353311000001100</w:t>
            </w:r>
          </w:p>
        </w:tc>
        <w:tc>
          <w:tcPr>
            <w:tcW w:w="0" w:type="auto"/>
            <w:shd w:val="clear" w:color="auto" w:fill="FFFFFF" w:themeFill="text1"/>
            <w:noWrap/>
            <w:vAlign w:val="bottom"/>
            <w:hideMark/>
          </w:tcPr>
          <w:p w14:paraId="0E1CA5E8"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17353411000001107</w:t>
            </w:r>
          </w:p>
        </w:tc>
        <w:tc>
          <w:tcPr>
            <w:tcW w:w="0" w:type="auto"/>
            <w:shd w:val="clear" w:color="auto" w:fill="FFFFFF" w:themeFill="text1"/>
            <w:noWrap/>
            <w:vAlign w:val="bottom"/>
            <w:hideMark/>
          </w:tcPr>
          <w:p w14:paraId="7C1567A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72DACFF1" w14:textId="77777777" w:rsidTr="77D5956C">
        <w:trPr>
          <w:trHeight w:val="290"/>
        </w:trPr>
        <w:tc>
          <w:tcPr>
            <w:tcW w:w="0" w:type="auto"/>
            <w:shd w:val="clear" w:color="auto" w:fill="B4C6E7"/>
            <w:noWrap/>
            <w:vAlign w:val="bottom"/>
            <w:hideMark/>
          </w:tcPr>
          <w:p w14:paraId="7880C460"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30microgram / </w:t>
            </w:r>
            <w:proofErr w:type="spellStart"/>
            <w:r w:rsidRPr="002301BB">
              <w:rPr>
                <w:rFonts w:ascii="Calibri" w:hAnsi="Calibri" w:cs="Calibri"/>
                <w:b/>
                <w:bCs/>
                <w:kern w:val="2"/>
                <w:lang w:eastAsia="en-GB"/>
                <w14:ligatures w14:val="standardContextual"/>
              </w:rPr>
              <w:t>Desogestrel</w:t>
            </w:r>
            <w:proofErr w:type="spellEnd"/>
            <w:r w:rsidRPr="002301BB">
              <w:rPr>
                <w:rFonts w:ascii="Calibri" w:hAnsi="Calibri" w:cs="Calibri"/>
                <w:b/>
                <w:bCs/>
                <w:kern w:val="2"/>
                <w:lang w:eastAsia="en-GB"/>
                <w14:ligatures w14:val="standardContextual"/>
              </w:rPr>
              <w:t xml:space="preserve"> 150microgram tablets</w:t>
            </w:r>
          </w:p>
        </w:tc>
        <w:tc>
          <w:tcPr>
            <w:tcW w:w="0" w:type="auto"/>
            <w:shd w:val="clear" w:color="auto" w:fill="B4C6E7"/>
            <w:noWrap/>
            <w:vAlign w:val="bottom"/>
            <w:hideMark/>
          </w:tcPr>
          <w:p w14:paraId="7EFA9F9E"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41876811000001103</w:t>
            </w:r>
          </w:p>
        </w:tc>
        <w:tc>
          <w:tcPr>
            <w:tcW w:w="0" w:type="auto"/>
            <w:shd w:val="clear" w:color="auto" w:fill="B4C6E7"/>
            <w:noWrap/>
            <w:vAlign w:val="bottom"/>
            <w:hideMark/>
          </w:tcPr>
          <w:p w14:paraId="6FCA5D44"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1015611000001103</w:t>
            </w:r>
          </w:p>
        </w:tc>
        <w:tc>
          <w:tcPr>
            <w:tcW w:w="0" w:type="auto"/>
            <w:shd w:val="clear" w:color="auto" w:fill="B4C6E7"/>
            <w:noWrap/>
            <w:vAlign w:val="bottom"/>
            <w:hideMark/>
          </w:tcPr>
          <w:p w14:paraId="4168F70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12FF6CAF" w14:textId="77777777" w:rsidTr="77D5956C">
        <w:trPr>
          <w:trHeight w:val="290"/>
        </w:trPr>
        <w:tc>
          <w:tcPr>
            <w:tcW w:w="0" w:type="auto"/>
            <w:shd w:val="clear" w:color="auto" w:fill="FFFFFF" w:themeFill="text1"/>
            <w:noWrap/>
            <w:vAlign w:val="bottom"/>
            <w:hideMark/>
          </w:tcPr>
          <w:p w14:paraId="4F68340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Cimizt</w:t>
            </w:r>
            <w:proofErr w:type="spellEnd"/>
            <w:r w:rsidRPr="002301BB">
              <w:rPr>
                <w:rFonts w:ascii="Calibri" w:hAnsi="Calibri" w:cs="Calibri"/>
                <w:kern w:val="2"/>
                <w:lang w:eastAsia="en-GB"/>
                <w14:ligatures w14:val="standardContextual"/>
              </w:rPr>
              <w:t xml:space="preserve"> 30microgram/150microgram tablets</w:t>
            </w:r>
          </w:p>
        </w:tc>
        <w:tc>
          <w:tcPr>
            <w:tcW w:w="0" w:type="auto"/>
            <w:shd w:val="clear" w:color="auto" w:fill="FFFFFF" w:themeFill="text1"/>
            <w:noWrap/>
            <w:vAlign w:val="bottom"/>
            <w:hideMark/>
          </w:tcPr>
          <w:p w14:paraId="6BA1DF5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21730911000001106</w:t>
            </w:r>
          </w:p>
        </w:tc>
        <w:tc>
          <w:tcPr>
            <w:tcW w:w="0" w:type="auto"/>
            <w:shd w:val="clear" w:color="auto" w:fill="FFFFFF" w:themeFill="text1"/>
            <w:noWrap/>
            <w:vAlign w:val="bottom"/>
            <w:hideMark/>
          </w:tcPr>
          <w:p w14:paraId="3C01054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21731311000001100</w:t>
            </w:r>
          </w:p>
        </w:tc>
        <w:tc>
          <w:tcPr>
            <w:tcW w:w="0" w:type="auto"/>
            <w:shd w:val="clear" w:color="auto" w:fill="FFFFFF" w:themeFill="text1"/>
            <w:noWrap/>
            <w:vAlign w:val="bottom"/>
            <w:hideMark/>
          </w:tcPr>
          <w:p w14:paraId="0E3499D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365DF124" w14:textId="77777777" w:rsidTr="77D5956C">
        <w:trPr>
          <w:trHeight w:val="290"/>
        </w:trPr>
        <w:tc>
          <w:tcPr>
            <w:tcW w:w="0" w:type="auto"/>
            <w:shd w:val="clear" w:color="auto" w:fill="FFFFFF" w:themeFill="text1"/>
            <w:noWrap/>
            <w:vAlign w:val="bottom"/>
            <w:hideMark/>
          </w:tcPr>
          <w:p w14:paraId="6BF92E4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Gedarel</w:t>
            </w:r>
            <w:proofErr w:type="spellEnd"/>
            <w:r w:rsidRPr="002301BB">
              <w:rPr>
                <w:rFonts w:ascii="Calibri" w:hAnsi="Calibri" w:cs="Calibri"/>
                <w:kern w:val="2"/>
                <w:lang w:eastAsia="en-GB"/>
                <w14:ligatures w14:val="standardContextual"/>
              </w:rPr>
              <w:t xml:space="preserve"> 30microgram/150microgram tablets</w:t>
            </w:r>
          </w:p>
        </w:tc>
        <w:tc>
          <w:tcPr>
            <w:tcW w:w="0" w:type="auto"/>
            <w:shd w:val="clear" w:color="auto" w:fill="FFFFFF" w:themeFill="text1"/>
            <w:noWrap/>
            <w:vAlign w:val="bottom"/>
            <w:hideMark/>
          </w:tcPr>
          <w:p w14:paraId="5171E05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17348811000001102</w:t>
            </w:r>
          </w:p>
        </w:tc>
        <w:tc>
          <w:tcPr>
            <w:tcW w:w="0" w:type="auto"/>
            <w:shd w:val="clear" w:color="auto" w:fill="FFFFFF" w:themeFill="text1"/>
            <w:noWrap/>
            <w:vAlign w:val="bottom"/>
            <w:hideMark/>
          </w:tcPr>
          <w:p w14:paraId="18B8556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17349111000001102</w:t>
            </w:r>
          </w:p>
        </w:tc>
        <w:tc>
          <w:tcPr>
            <w:tcW w:w="0" w:type="auto"/>
            <w:shd w:val="clear" w:color="auto" w:fill="FFFFFF" w:themeFill="text1"/>
            <w:noWrap/>
            <w:vAlign w:val="bottom"/>
            <w:hideMark/>
          </w:tcPr>
          <w:p w14:paraId="72B21F0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1E33B88B" w14:textId="77777777" w:rsidTr="77D5956C">
        <w:trPr>
          <w:trHeight w:val="290"/>
        </w:trPr>
        <w:tc>
          <w:tcPr>
            <w:tcW w:w="0" w:type="auto"/>
            <w:shd w:val="clear" w:color="auto" w:fill="FFFFFF" w:themeFill="text1"/>
            <w:noWrap/>
            <w:vAlign w:val="bottom"/>
            <w:hideMark/>
          </w:tcPr>
          <w:p w14:paraId="4CF8CD9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lastRenderedPageBreak/>
              <w:t>Marvelon tablets</w:t>
            </w:r>
          </w:p>
        </w:tc>
        <w:tc>
          <w:tcPr>
            <w:tcW w:w="0" w:type="auto"/>
            <w:shd w:val="clear" w:color="auto" w:fill="FFFFFF" w:themeFill="text1"/>
            <w:noWrap/>
            <w:vAlign w:val="bottom"/>
            <w:hideMark/>
          </w:tcPr>
          <w:p w14:paraId="7FF3053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524211000001108</w:t>
            </w:r>
          </w:p>
        </w:tc>
        <w:tc>
          <w:tcPr>
            <w:tcW w:w="0" w:type="auto"/>
            <w:shd w:val="clear" w:color="auto" w:fill="FFFFFF" w:themeFill="text1"/>
            <w:noWrap/>
            <w:vAlign w:val="bottom"/>
            <w:hideMark/>
          </w:tcPr>
          <w:p w14:paraId="291B40F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2620511000001105</w:t>
            </w:r>
          </w:p>
        </w:tc>
        <w:tc>
          <w:tcPr>
            <w:tcW w:w="0" w:type="auto"/>
            <w:shd w:val="clear" w:color="auto" w:fill="FFFFFF" w:themeFill="text1"/>
            <w:noWrap/>
            <w:vAlign w:val="bottom"/>
            <w:hideMark/>
          </w:tcPr>
          <w:p w14:paraId="1598B3B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Organon Pharma (UK) Ltd</w:t>
            </w:r>
          </w:p>
        </w:tc>
      </w:tr>
      <w:tr w:rsidR="002301BB" w:rsidRPr="002301BB" w14:paraId="12FEC10A" w14:textId="77777777" w:rsidTr="77D5956C">
        <w:trPr>
          <w:trHeight w:val="290"/>
        </w:trPr>
        <w:tc>
          <w:tcPr>
            <w:tcW w:w="0" w:type="auto"/>
            <w:shd w:val="clear" w:color="auto" w:fill="B4C6E7"/>
            <w:noWrap/>
            <w:vAlign w:val="bottom"/>
            <w:hideMark/>
          </w:tcPr>
          <w:p w14:paraId="413B7B65"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30microgram / </w:t>
            </w:r>
            <w:proofErr w:type="spellStart"/>
            <w:r w:rsidRPr="002301BB">
              <w:rPr>
                <w:rFonts w:ascii="Calibri" w:hAnsi="Calibri" w:cs="Calibri"/>
                <w:b/>
                <w:bCs/>
                <w:kern w:val="2"/>
                <w:lang w:eastAsia="en-GB"/>
                <w14:ligatures w14:val="standardContextual"/>
              </w:rPr>
              <w:t>Drospirenone</w:t>
            </w:r>
            <w:proofErr w:type="spellEnd"/>
            <w:r w:rsidRPr="002301BB">
              <w:rPr>
                <w:rFonts w:ascii="Calibri" w:hAnsi="Calibri" w:cs="Calibri"/>
                <w:b/>
                <w:bCs/>
                <w:kern w:val="2"/>
                <w:lang w:eastAsia="en-GB"/>
                <w14:ligatures w14:val="standardContextual"/>
              </w:rPr>
              <w:t xml:space="preserve"> 3mg tablets</w:t>
            </w:r>
          </w:p>
        </w:tc>
        <w:tc>
          <w:tcPr>
            <w:tcW w:w="0" w:type="auto"/>
            <w:shd w:val="clear" w:color="auto" w:fill="B4C6E7"/>
            <w:noWrap/>
            <w:vAlign w:val="bottom"/>
            <w:hideMark/>
          </w:tcPr>
          <w:p w14:paraId="21F9B5CC"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41876911000001108</w:t>
            </w:r>
          </w:p>
        </w:tc>
        <w:tc>
          <w:tcPr>
            <w:tcW w:w="0" w:type="auto"/>
            <w:shd w:val="clear" w:color="auto" w:fill="B4C6E7"/>
            <w:noWrap/>
            <w:vAlign w:val="bottom"/>
            <w:hideMark/>
          </w:tcPr>
          <w:p w14:paraId="03C0205D"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1056411000001101</w:t>
            </w:r>
          </w:p>
        </w:tc>
        <w:tc>
          <w:tcPr>
            <w:tcW w:w="0" w:type="auto"/>
            <w:shd w:val="clear" w:color="auto" w:fill="B4C6E7"/>
            <w:noWrap/>
            <w:vAlign w:val="bottom"/>
            <w:hideMark/>
          </w:tcPr>
          <w:p w14:paraId="7CA64DA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1F6A36A1" w14:textId="77777777" w:rsidTr="77D5956C">
        <w:trPr>
          <w:trHeight w:val="290"/>
        </w:trPr>
        <w:tc>
          <w:tcPr>
            <w:tcW w:w="0" w:type="auto"/>
            <w:shd w:val="clear" w:color="auto" w:fill="FFFFFF" w:themeFill="text1"/>
            <w:noWrap/>
            <w:vAlign w:val="bottom"/>
            <w:hideMark/>
          </w:tcPr>
          <w:p w14:paraId="5240525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Dretine</w:t>
            </w:r>
            <w:proofErr w:type="spellEnd"/>
            <w:r w:rsidRPr="002301BB">
              <w:rPr>
                <w:rFonts w:ascii="Calibri" w:hAnsi="Calibri" w:cs="Calibri"/>
                <w:kern w:val="2"/>
                <w:lang w:eastAsia="en-GB"/>
                <w14:ligatures w14:val="standardContextual"/>
              </w:rPr>
              <w:t xml:space="preserve"> 0.03mg/3mg tablets</w:t>
            </w:r>
          </w:p>
        </w:tc>
        <w:tc>
          <w:tcPr>
            <w:tcW w:w="0" w:type="auto"/>
            <w:shd w:val="clear" w:color="auto" w:fill="FFFFFF" w:themeFill="text1"/>
            <w:noWrap/>
            <w:vAlign w:val="bottom"/>
            <w:hideMark/>
          </w:tcPr>
          <w:p w14:paraId="08A44FF8"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27979911000001107</w:t>
            </w:r>
          </w:p>
        </w:tc>
        <w:tc>
          <w:tcPr>
            <w:tcW w:w="0" w:type="auto"/>
            <w:shd w:val="clear" w:color="auto" w:fill="FFFFFF" w:themeFill="text1"/>
            <w:noWrap/>
            <w:vAlign w:val="bottom"/>
            <w:hideMark/>
          </w:tcPr>
          <w:p w14:paraId="229C879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27980011000001108</w:t>
            </w:r>
          </w:p>
        </w:tc>
        <w:tc>
          <w:tcPr>
            <w:tcW w:w="0" w:type="auto"/>
            <w:shd w:val="clear" w:color="auto" w:fill="FFFFFF" w:themeFill="text1"/>
            <w:noWrap/>
            <w:vAlign w:val="bottom"/>
            <w:hideMark/>
          </w:tcPr>
          <w:p w14:paraId="6A0A123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Theramex</w:t>
            </w:r>
            <w:proofErr w:type="spellEnd"/>
            <w:r w:rsidRPr="002301BB">
              <w:rPr>
                <w:rFonts w:ascii="Calibri" w:hAnsi="Calibri" w:cs="Calibri"/>
                <w:kern w:val="2"/>
                <w:lang w:eastAsia="en-GB"/>
                <w14:ligatures w14:val="standardContextual"/>
              </w:rPr>
              <w:t xml:space="preserve"> HQ UK Ltd</w:t>
            </w:r>
          </w:p>
        </w:tc>
      </w:tr>
      <w:tr w:rsidR="002301BB" w:rsidRPr="002301BB" w14:paraId="7D0C089B" w14:textId="77777777" w:rsidTr="77D5956C">
        <w:trPr>
          <w:trHeight w:val="290"/>
        </w:trPr>
        <w:tc>
          <w:tcPr>
            <w:tcW w:w="0" w:type="auto"/>
            <w:shd w:val="clear" w:color="auto" w:fill="FFFFFF" w:themeFill="text1"/>
            <w:noWrap/>
            <w:vAlign w:val="bottom"/>
            <w:hideMark/>
          </w:tcPr>
          <w:p w14:paraId="48BE861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Ellanite</w:t>
            </w:r>
            <w:proofErr w:type="spellEnd"/>
            <w:r w:rsidRPr="002301BB">
              <w:rPr>
                <w:rFonts w:ascii="Calibri" w:hAnsi="Calibri" w:cs="Calibri"/>
                <w:kern w:val="2"/>
                <w:lang w:eastAsia="en-GB"/>
                <w14:ligatures w14:val="standardContextual"/>
              </w:rPr>
              <w:t xml:space="preserve"> 0.03mg/3mg tablets</w:t>
            </w:r>
          </w:p>
        </w:tc>
        <w:tc>
          <w:tcPr>
            <w:tcW w:w="0" w:type="auto"/>
            <w:shd w:val="clear" w:color="auto" w:fill="FFFFFF" w:themeFill="text1"/>
            <w:noWrap/>
            <w:vAlign w:val="bottom"/>
            <w:hideMark/>
          </w:tcPr>
          <w:p w14:paraId="502C1F9D" w14:textId="77777777" w:rsidR="002301BB" w:rsidRPr="002301BB" w:rsidRDefault="002301BB" w:rsidP="002301BB">
            <w:pPr>
              <w:spacing w:after="0" w:line="240" w:lineRule="auto"/>
              <w:textboxTightWrap w:val="none"/>
              <w:rPr>
                <w:rFonts w:ascii="Calibri" w:hAnsi="Calibri" w:cs="Calibri"/>
                <w:color w:val="auto"/>
                <w:kern w:val="2"/>
                <w:lang w:eastAsia="en-GB"/>
                <w14:ligatures w14:val="standardContextual"/>
              </w:rPr>
            </w:pPr>
            <w:r w:rsidRPr="002301BB">
              <w:rPr>
                <w:rFonts w:ascii="Calibri" w:hAnsi="Calibri" w:cs="Calibri"/>
                <w:color w:val="auto"/>
                <w:kern w:val="2"/>
                <w:lang w:eastAsia="en-GB"/>
                <w14:ligatures w14:val="standardContextual"/>
              </w:rPr>
              <w:t>34181511000001103</w:t>
            </w:r>
          </w:p>
        </w:tc>
        <w:tc>
          <w:tcPr>
            <w:tcW w:w="0" w:type="auto"/>
            <w:shd w:val="clear" w:color="auto" w:fill="FFFFFF" w:themeFill="text1"/>
            <w:noWrap/>
            <w:vAlign w:val="bottom"/>
            <w:hideMark/>
          </w:tcPr>
          <w:p w14:paraId="47C5A76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34181611000001104</w:t>
            </w:r>
          </w:p>
        </w:tc>
        <w:tc>
          <w:tcPr>
            <w:tcW w:w="0" w:type="auto"/>
            <w:shd w:val="clear" w:color="auto" w:fill="FFFFFF" w:themeFill="text1"/>
            <w:noWrap/>
            <w:vAlign w:val="bottom"/>
            <w:hideMark/>
          </w:tcPr>
          <w:p w14:paraId="04B3B3F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Kent Pharma (UK) Ltd</w:t>
            </w:r>
          </w:p>
        </w:tc>
      </w:tr>
      <w:tr w:rsidR="002301BB" w:rsidRPr="002301BB" w14:paraId="55E5CE5F" w14:textId="77777777" w:rsidTr="77D5956C">
        <w:trPr>
          <w:trHeight w:val="290"/>
        </w:trPr>
        <w:tc>
          <w:tcPr>
            <w:tcW w:w="0" w:type="auto"/>
            <w:shd w:val="clear" w:color="auto" w:fill="FFFFFF" w:themeFill="text1"/>
            <w:noWrap/>
            <w:vAlign w:val="bottom"/>
            <w:hideMark/>
          </w:tcPr>
          <w:p w14:paraId="51B3288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Lucette 0.03mg/3mg tablets</w:t>
            </w:r>
          </w:p>
        </w:tc>
        <w:tc>
          <w:tcPr>
            <w:tcW w:w="0" w:type="auto"/>
            <w:shd w:val="clear" w:color="auto" w:fill="FFFFFF" w:themeFill="text1"/>
            <w:noWrap/>
            <w:vAlign w:val="bottom"/>
            <w:hideMark/>
          </w:tcPr>
          <w:p w14:paraId="6125C2F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23649211000001107</w:t>
            </w:r>
          </w:p>
        </w:tc>
        <w:tc>
          <w:tcPr>
            <w:tcW w:w="0" w:type="auto"/>
            <w:shd w:val="clear" w:color="auto" w:fill="FFFFFF" w:themeFill="text1"/>
            <w:noWrap/>
            <w:vAlign w:val="bottom"/>
            <w:hideMark/>
          </w:tcPr>
          <w:p w14:paraId="00B653D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23649311000001104</w:t>
            </w:r>
          </w:p>
        </w:tc>
        <w:tc>
          <w:tcPr>
            <w:tcW w:w="0" w:type="auto"/>
            <w:shd w:val="clear" w:color="auto" w:fill="FFFFFF" w:themeFill="text1"/>
            <w:noWrap/>
            <w:vAlign w:val="bottom"/>
            <w:hideMark/>
          </w:tcPr>
          <w:p w14:paraId="6DBBBA4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41C3514C" w14:textId="77777777" w:rsidTr="77D5956C">
        <w:trPr>
          <w:trHeight w:val="310"/>
        </w:trPr>
        <w:tc>
          <w:tcPr>
            <w:tcW w:w="0" w:type="auto"/>
            <w:shd w:val="clear" w:color="auto" w:fill="FFFFFF" w:themeFill="text1"/>
            <w:noWrap/>
            <w:vAlign w:val="bottom"/>
            <w:hideMark/>
          </w:tcPr>
          <w:p w14:paraId="6C2AE7B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Yacella</w:t>
            </w:r>
            <w:proofErr w:type="spellEnd"/>
            <w:r w:rsidRPr="002301BB">
              <w:rPr>
                <w:rFonts w:ascii="Calibri" w:hAnsi="Calibri" w:cs="Calibri"/>
                <w:kern w:val="2"/>
                <w:lang w:eastAsia="en-GB"/>
                <w14:ligatures w14:val="standardContextual"/>
              </w:rPr>
              <w:t xml:space="preserve"> 0.03mg/3mg tablets</w:t>
            </w:r>
          </w:p>
        </w:tc>
        <w:tc>
          <w:tcPr>
            <w:tcW w:w="0" w:type="auto"/>
            <w:shd w:val="clear" w:color="auto" w:fill="FFFFFF" w:themeFill="text1"/>
            <w:noWrap/>
            <w:vAlign w:val="bottom"/>
            <w:hideMark/>
          </w:tcPr>
          <w:p w14:paraId="4507D263"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29911411000001102</w:t>
            </w:r>
          </w:p>
        </w:tc>
        <w:tc>
          <w:tcPr>
            <w:tcW w:w="0" w:type="auto"/>
            <w:shd w:val="clear" w:color="auto" w:fill="FFFFFF" w:themeFill="text1"/>
            <w:noWrap/>
            <w:vAlign w:val="bottom"/>
            <w:hideMark/>
          </w:tcPr>
          <w:p w14:paraId="581EEC5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29911511000001103</w:t>
            </w:r>
          </w:p>
        </w:tc>
        <w:tc>
          <w:tcPr>
            <w:tcW w:w="0" w:type="auto"/>
            <w:shd w:val="clear" w:color="auto" w:fill="FFFFFF" w:themeFill="text1"/>
            <w:noWrap/>
            <w:vAlign w:val="bottom"/>
            <w:hideMark/>
          </w:tcPr>
          <w:p w14:paraId="355CBCC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2FD2110A" w14:textId="77777777" w:rsidTr="77D5956C">
        <w:trPr>
          <w:trHeight w:val="290"/>
        </w:trPr>
        <w:tc>
          <w:tcPr>
            <w:tcW w:w="0" w:type="auto"/>
            <w:shd w:val="clear" w:color="auto" w:fill="FFFFFF" w:themeFill="text1"/>
            <w:noWrap/>
            <w:vAlign w:val="bottom"/>
            <w:hideMark/>
          </w:tcPr>
          <w:p w14:paraId="7D12A81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Yasmin tablets</w:t>
            </w:r>
          </w:p>
        </w:tc>
        <w:tc>
          <w:tcPr>
            <w:tcW w:w="0" w:type="auto"/>
            <w:shd w:val="clear" w:color="auto" w:fill="FFFFFF" w:themeFill="text1"/>
            <w:noWrap/>
            <w:vAlign w:val="bottom"/>
            <w:hideMark/>
          </w:tcPr>
          <w:p w14:paraId="4FC8B37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439011000001108</w:t>
            </w:r>
          </w:p>
        </w:tc>
        <w:tc>
          <w:tcPr>
            <w:tcW w:w="0" w:type="auto"/>
            <w:shd w:val="clear" w:color="auto" w:fill="FFFFFF" w:themeFill="text1"/>
            <w:noWrap/>
            <w:vAlign w:val="bottom"/>
            <w:hideMark/>
          </w:tcPr>
          <w:p w14:paraId="619975A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2646411000001106</w:t>
            </w:r>
          </w:p>
        </w:tc>
        <w:tc>
          <w:tcPr>
            <w:tcW w:w="0" w:type="auto"/>
            <w:shd w:val="clear" w:color="auto" w:fill="FFFFFF" w:themeFill="text1"/>
            <w:noWrap/>
            <w:vAlign w:val="bottom"/>
            <w:hideMark/>
          </w:tcPr>
          <w:p w14:paraId="5742916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1F431716" w14:textId="77777777" w:rsidTr="77D5956C">
        <w:trPr>
          <w:trHeight w:val="290"/>
        </w:trPr>
        <w:tc>
          <w:tcPr>
            <w:tcW w:w="0" w:type="auto"/>
            <w:shd w:val="clear" w:color="auto" w:fill="B4C6E7"/>
            <w:noWrap/>
            <w:vAlign w:val="bottom"/>
            <w:hideMark/>
          </w:tcPr>
          <w:p w14:paraId="23837B9D"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30microgram / </w:t>
            </w:r>
            <w:proofErr w:type="spellStart"/>
            <w:r w:rsidRPr="002301BB">
              <w:rPr>
                <w:rFonts w:ascii="Calibri" w:hAnsi="Calibri" w:cs="Calibri"/>
                <w:b/>
                <w:bCs/>
                <w:kern w:val="2"/>
                <w:lang w:eastAsia="en-GB"/>
                <w14:ligatures w14:val="standardContextual"/>
              </w:rPr>
              <w:t>Gestodene</w:t>
            </w:r>
            <w:proofErr w:type="spellEnd"/>
            <w:r w:rsidRPr="002301BB">
              <w:rPr>
                <w:rFonts w:ascii="Calibri" w:hAnsi="Calibri" w:cs="Calibri"/>
                <w:b/>
                <w:bCs/>
                <w:kern w:val="2"/>
                <w:lang w:eastAsia="en-GB"/>
                <w14:ligatures w14:val="standardContextual"/>
              </w:rPr>
              <w:t xml:space="preserve"> 75microgram tablets</w:t>
            </w:r>
          </w:p>
        </w:tc>
        <w:tc>
          <w:tcPr>
            <w:tcW w:w="0" w:type="auto"/>
            <w:shd w:val="clear" w:color="auto" w:fill="B4C6E7"/>
            <w:noWrap/>
            <w:vAlign w:val="bottom"/>
            <w:hideMark/>
          </w:tcPr>
          <w:p w14:paraId="062A029E"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41877011000001107</w:t>
            </w:r>
          </w:p>
        </w:tc>
        <w:tc>
          <w:tcPr>
            <w:tcW w:w="0" w:type="auto"/>
            <w:shd w:val="clear" w:color="auto" w:fill="B4C6E7"/>
            <w:noWrap/>
            <w:vAlign w:val="bottom"/>
            <w:hideMark/>
          </w:tcPr>
          <w:p w14:paraId="14B30CF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3048411000001108</w:t>
            </w:r>
          </w:p>
        </w:tc>
        <w:tc>
          <w:tcPr>
            <w:tcW w:w="0" w:type="auto"/>
            <w:shd w:val="clear" w:color="auto" w:fill="B4C6E7"/>
            <w:noWrap/>
            <w:vAlign w:val="bottom"/>
            <w:hideMark/>
          </w:tcPr>
          <w:p w14:paraId="34042D1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06CF47FA" w14:textId="77777777" w:rsidTr="77D5956C">
        <w:trPr>
          <w:trHeight w:val="290"/>
        </w:trPr>
        <w:tc>
          <w:tcPr>
            <w:tcW w:w="0" w:type="auto"/>
            <w:shd w:val="clear" w:color="auto" w:fill="FFFFFF" w:themeFill="text1"/>
            <w:noWrap/>
            <w:vAlign w:val="bottom"/>
            <w:hideMark/>
          </w:tcPr>
          <w:p w14:paraId="6BD97C4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Akizza</w:t>
            </w:r>
            <w:proofErr w:type="spellEnd"/>
            <w:r w:rsidRPr="002301BB">
              <w:rPr>
                <w:rFonts w:ascii="Calibri" w:hAnsi="Calibri" w:cs="Calibri"/>
                <w:kern w:val="2"/>
                <w:lang w:eastAsia="en-GB"/>
                <w14:ligatures w14:val="standardContextual"/>
              </w:rPr>
              <w:t xml:space="preserve"> 75microgram/30microgram tablets</w:t>
            </w:r>
          </w:p>
        </w:tc>
        <w:tc>
          <w:tcPr>
            <w:tcW w:w="0" w:type="auto"/>
            <w:shd w:val="clear" w:color="auto" w:fill="FFFFFF" w:themeFill="text1"/>
            <w:noWrap/>
            <w:vAlign w:val="bottom"/>
            <w:hideMark/>
          </w:tcPr>
          <w:p w14:paraId="1180E4F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38340211000001108</w:t>
            </w:r>
          </w:p>
        </w:tc>
        <w:tc>
          <w:tcPr>
            <w:tcW w:w="0" w:type="auto"/>
            <w:shd w:val="clear" w:color="auto" w:fill="FFFFFF" w:themeFill="text1"/>
            <w:noWrap/>
            <w:vAlign w:val="bottom"/>
            <w:hideMark/>
          </w:tcPr>
          <w:p w14:paraId="18DBB9D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38340311000001100</w:t>
            </w:r>
          </w:p>
        </w:tc>
        <w:tc>
          <w:tcPr>
            <w:tcW w:w="0" w:type="auto"/>
            <w:shd w:val="clear" w:color="auto" w:fill="FFFFFF" w:themeFill="text1"/>
            <w:noWrap/>
            <w:vAlign w:val="bottom"/>
            <w:hideMark/>
          </w:tcPr>
          <w:p w14:paraId="4075EB43"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5167A89A" w14:textId="77777777" w:rsidTr="77D5956C">
        <w:trPr>
          <w:trHeight w:val="290"/>
        </w:trPr>
        <w:tc>
          <w:tcPr>
            <w:tcW w:w="0" w:type="auto"/>
            <w:shd w:val="clear" w:color="auto" w:fill="FFFFFF" w:themeFill="text1"/>
            <w:noWrap/>
            <w:vAlign w:val="bottom"/>
            <w:hideMark/>
          </w:tcPr>
          <w:p w14:paraId="5909051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Femodene</w:t>
            </w:r>
            <w:proofErr w:type="spellEnd"/>
            <w:r w:rsidRPr="002301BB">
              <w:rPr>
                <w:rFonts w:ascii="Calibri" w:hAnsi="Calibri" w:cs="Calibri"/>
                <w:kern w:val="2"/>
                <w:lang w:eastAsia="en-GB"/>
                <w14:ligatures w14:val="standardContextual"/>
              </w:rPr>
              <w:t xml:space="preserve"> tablets</w:t>
            </w:r>
          </w:p>
        </w:tc>
        <w:tc>
          <w:tcPr>
            <w:tcW w:w="0" w:type="auto"/>
            <w:shd w:val="clear" w:color="auto" w:fill="FFFFFF" w:themeFill="text1"/>
            <w:noWrap/>
            <w:vAlign w:val="bottom"/>
            <w:hideMark/>
          </w:tcPr>
          <w:p w14:paraId="4A15BAF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3048811000001105</w:t>
            </w:r>
          </w:p>
        </w:tc>
        <w:tc>
          <w:tcPr>
            <w:tcW w:w="0" w:type="auto"/>
            <w:shd w:val="clear" w:color="auto" w:fill="FFFFFF" w:themeFill="text1"/>
            <w:noWrap/>
            <w:vAlign w:val="bottom"/>
            <w:hideMark/>
          </w:tcPr>
          <w:p w14:paraId="3EB3887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3048911000001100</w:t>
            </w:r>
          </w:p>
        </w:tc>
        <w:tc>
          <w:tcPr>
            <w:tcW w:w="0" w:type="auto"/>
            <w:shd w:val="clear" w:color="auto" w:fill="FFFFFF" w:themeFill="text1"/>
            <w:noWrap/>
            <w:vAlign w:val="bottom"/>
            <w:hideMark/>
          </w:tcPr>
          <w:p w14:paraId="088780D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7690C318" w14:textId="77777777" w:rsidTr="77D5956C">
        <w:trPr>
          <w:trHeight w:val="290"/>
        </w:trPr>
        <w:tc>
          <w:tcPr>
            <w:tcW w:w="0" w:type="auto"/>
            <w:shd w:val="clear" w:color="auto" w:fill="FFFFFF" w:themeFill="text1"/>
            <w:noWrap/>
            <w:vAlign w:val="bottom"/>
            <w:hideMark/>
          </w:tcPr>
          <w:p w14:paraId="10BC01A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Katya 30/75 tablets</w:t>
            </w:r>
          </w:p>
        </w:tc>
        <w:tc>
          <w:tcPr>
            <w:tcW w:w="0" w:type="auto"/>
            <w:shd w:val="clear" w:color="auto" w:fill="FFFFFF" w:themeFill="text1"/>
            <w:noWrap/>
            <w:vAlign w:val="bottom"/>
            <w:hideMark/>
          </w:tcPr>
          <w:p w14:paraId="17971D43"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11753211000001109</w:t>
            </w:r>
          </w:p>
        </w:tc>
        <w:tc>
          <w:tcPr>
            <w:tcW w:w="0" w:type="auto"/>
            <w:shd w:val="clear" w:color="auto" w:fill="FFFFFF" w:themeFill="text1"/>
            <w:noWrap/>
            <w:vAlign w:val="bottom"/>
            <w:hideMark/>
          </w:tcPr>
          <w:p w14:paraId="1B4A476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11753311000001101</w:t>
            </w:r>
          </w:p>
        </w:tc>
        <w:tc>
          <w:tcPr>
            <w:tcW w:w="0" w:type="auto"/>
            <w:shd w:val="clear" w:color="auto" w:fill="FFFFFF" w:themeFill="text1"/>
            <w:noWrap/>
            <w:vAlign w:val="bottom"/>
            <w:hideMark/>
          </w:tcPr>
          <w:p w14:paraId="0BA2909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Kent Pharma (UK) Ltd</w:t>
            </w:r>
          </w:p>
        </w:tc>
      </w:tr>
      <w:tr w:rsidR="002301BB" w:rsidRPr="002301BB" w14:paraId="3CDFE2F0" w14:textId="77777777" w:rsidTr="77D5956C">
        <w:trPr>
          <w:trHeight w:val="290"/>
        </w:trPr>
        <w:tc>
          <w:tcPr>
            <w:tcW w:w="0" w:type="auto"/>
            <w:shd w:val="clear" w:color="auto" w:fill="FFFFFF" w:themeFill="text1"/>
            <w:noWrap/>
            <w:vAlign w:val="bottom"/>
            <w:hideMark/>
          </w:tcPr>
          <w:p w14:paraId="2A99674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Millinette</w:t>
            </w:r>
            <w:proofErr w:type="spellEnd"/>
            <w:r w:rsidRPr="002301BB">
              <w:rPr>
                <w:rFonts w:ascii="Calibri" w:hAnsi="Calibri" w:cs="Calibri"/>
                <w:kern w:val="2"/>
                <w:lang w:eastAsia="en-GB"/>
                <w14:ligatures w14:val="standardContextual"/>
              </w:rPr>
              <w:t xml:space="preserve"> 30microgram/75microgram tablets</w:t>
            </w:r>
          </w:p>
        </w:tc>
        <w:tc>
          <w:tcPr>
            <w:tcW w:w="0" w:type="auto"/>
            <w:shd w:val="clear" w:color="auto" w:fill="FFFFFF" w:themeFill="text1"/>
            <w:noWrap/>
            <w:vAlign w:val="bottom"/>
            <w:hideMark/>
          </w:tcPr>
          <w:p w14:paraId="5A1CF14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17351511000001107</w:t>
            </w:r>
          </w:p>
        </w:tc>
        <w:tc>
          <w:tcPr>
            <w:tcW w:w="0" w:type="auto"/>
            <w:shd w:val="clear" w:color="auto" w:fill="FFFFFF" w:themeFill="text1"/>
            <w:noWrap/>
            <w:vAlign w:val="bottom"/>
            <w:hideMark/>
          </w:tcPr>
          <w:p w14:paraId="236117B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17351811000001105</w:t>
            </w:r>
          </w:p>
        </w:tc>
        <w:tc>
          <w:tcPr>
            <w:tcW w:w="0" w:type="auto"/>
            <w:shd w:val="clear" w:color="auto" w:fill="FFFFFF" w:themeFill="text1"/>
            <w:noWrap/>
            <w:vAlign w:val="bottom"/>
            <w:hideMark/>
          </w:tcPr>
          <w:p w14:paraId="5ED8C3E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2274F3E4" w14:textId="77777777" w:rsidTr="77D5956C">
        <w:trPr>
          <w:trHeight w:val="290"/>
        </w:trPr>
        <w:tc>
          <w:tcPr>
            <w:tcW w:w="0" w:type="auto"/>
            <w:shd w:val="clear" w:color="auto" w:fill="B4C6E7"/>
            <w:noWrap/>
            <w:vAlign w:val="bottom"/>
            <w:hideMark/>
          </w:tcPr>
          <w:p w14:paraId="7411D43F"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30microgram / Levonorgestrel 150microgram tablets</w:t>
            </w:r>
          </w:p>
        </w:tc>
        <w:tc>
          <w:tcPr>
            <w:tcW w:w="0" w:type="auto"/>
            <w:shd w:val="clear" w:color="auto" w:fill="B4C6E7"/>
            <w:noWrap/>
            <w:vAlign w:val="bottom"/>
            <w:hideMark/>
          </w:tcPr>
          <w:p w14:paraId="6B086487"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41877111000001108</w:t>
            </w:r>
          </w:p>
        </w:tc>
        <w:tc>
          <w:tcPr>
            <w:tcW w:w="0" w:type="auto"/>
            <w:shd w:val="clear" w:color="auto" w:fill="B4C6E7"/>
            <w:noWrap/>
            <w:vAlign w:val="bottom"/>
            <w:hideMark/>
          </w:tcPr>
          <w:p w14:paraId="3C0581C2"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961711000001104</w:t>
            </w:r>
          </w:p>
        </w:tc>
        <w:tc>
          <w:tcPr>
            <w:tcW w:w="0" w:type="auto"/>
            <w:shd w:val="clear" w:color="auto" w:fill="B4C6E7"/>
            <w:noWrap/>
            <w:vAlign w:val="bottom"/>
            <w:hideMark/>
          </w:tcPr>
          <w:p w14:paraId="3A4FCCE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682888B8" w14:textId="77777777" w:rsidTr="77D5956C">
        <w:trPr>
          <w:trHeight w:val="290"/>
        </w:trPr>
        <w:tc>
          <w:tcPr>
            <w:tcW w:w="0" w:type="auto"/>
            <w:shd w:val="clear" w:color="auto" w:fill="FFFFFF" w:themeFill="text1"/>
            <w:noWrap/>
            <w:vAlign w:val="bottom"/>
            <w:hideMark/>
          </w:tcPr>
          <w:p w14:paraId="7BBD4538"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Ambelina</w:t>
            </w:r>
            <w:proofErr w:type="spellEnd"/>
            <w:r w:rsidRPr="002301BB">
              <w:rPr>
                <w:rFonts w:ascii="Calibri" w:hAnsi="Calibri" w:cs="Calibri"/>
                <w:kern w:val="2"/>
                <w:lang w:eastAsia="en-GB"/>
                <w14:ligatures w14:val="standardContextual"/>
              </w:rPr>
              <w:t xml:space="preserve"> 150microgram/30microgram tablets</w:t>
            </w:r>
          </w:p>
        </w:tc>
        <w:tc>
          <w:tcPr>
            <w:tcW w:w="0" w:type="auto"/>
            <w:shd w:val="clear" w:color="auto" w:fill="FFFFFF" w:themeFill="text1"/>
            <w:noWrap/>
            <w:vAlign w:val="bottom"/>
            <w:hideMark/>
          </w:tcPr>
          <w:p w14:paraId="27157BE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38738111000001100</w:t>
            </w:r>
          </w:p>
        </w:tc>
        <w:tc>
          <w:tcPr>
            <w:tcW w:w="0" w:type="auto"/>
            <w:shd w:val="clear" w:color="auto" w:fill="FFFFFF" w:themeFill="text1"/>
            <w:noWrap/>
            <w:vAlign w:val="bottom"/>
            <w:hideMark/>
          </w:tcPr>
          <w:p w14:paraId="7E3FA28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38738411000001105</w:t>
            </w:r>
          </w:p>
        </w:tc>
        <w:tc>
          <w:tcPr>
            <w:tcW w:w="0" w:type="auto"/>
            <w:shd w:val="clear" w:color="auto" w:fill="FFFFFF" w:themeFill="text1"/>
            <w:noWrap/>
            <w:vAlign w:val="bottom"/>
            <w:hideMark/>
          </w:tcPr>
          <w:p w14:paraId="6A4B5C8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Crescent Pharma Ltd</w:t>
            </w:r>
          </w:p>
        </w:tc>
      </w:tr>
      <w:tr w:rsidR="002301BB" w:rsidRPr="002301BB" w14:paraId="054F0DFE" w14:textId="77777777" w:rsidTr="77D5956C">
        <w:trPr>
          <w:trHeight w:val="290"/>
        </w:trPr>
        <w:tc>
          <w:tcPr>
            <w:tcW w:w="0" w:type="auto"/>
            <w:shd w:val="clear" w:color="auto" w:fill="FFFFFF" w:themeFill="text1"/>
            <w:noWrap/>
            <w:vAlign w:val="bottom"/>
            <w:hideMark/>
          </w:tcPr>
          <w:p w14:paraId="7611DC1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Elevin</w:t>
            </w:r>
            <w:proofErr w:type="spellEnd"/>
            <w:r w:rsidRPr="002301BB">
              <w:rPr>
                <w:rFonts w:ascii="Calibri" w:hAnsi="Calibri" w:cs="Calibri"/>
                <w:kern w:val="2"/>
                <w:lang w:eastAsia="en-GB"/>
                <w14:ligatures w14:val="standardContextual"/>
              </w:rPr>
              <w:t xml:space="preserve"> 150microgram/30microgram tablets</w:t>
            </w:r>
          </w:p>
        </w:tc>
        <w:tc>
          <w:tcPr>
            <w:tcW w:w="0" w:type="auto"/>
            <w:shd w:val="clear" w:color="auto" w:fill="FFFFFF" w:themeFill="text1"/>
            <w:noWrap/>
            <w:vAlign w:val="bottom"/>
            <w:hideMark/>
          </w:tcPr>
          <w:p w14:paraId="2635A27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18358111000001100</w:t>
            </w:r>
          </w:p>
        </w:tc>
        <w:tc>
          <w:tcPr>
            <w:tcW w:w="0" w:type="auto"/>
            <w:shd w:val="clear" w:color="auto" w:fill="FFFFFF" w:themeFill="text1"/>
            <w:noWrap/>
            <w:vAlign w:val="bottom"/>
            <w:hideMark/>
          </w:tcPr>
          <w:p w14:paraId="72A5B08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18358211000001106</w:t>
            </w:r>
          </w:p>
        </w:tc>
        <w:tc>
          <w:tcPr>
            <w:tcW w:w="0" w:type="auto"/>
            <w:shd w:val="clear" w:color="auto" w:fill="FFFFFF" w:themeFill="text1"/>
            <w:noWrap/>
            <w:vAlign w:val="bottom"/>
            <w:hideMark/>
          </w:tcPr>
          <w:p w14:paraId="5971FEF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Genesis Pharmaceuticals Ltd</w:t>
            </w:r>
          </w:p>
        </w:tc>
      </w:tr>
      <w:tr w:rsidR="002301BB" w:rsidRPr="002301BB" w14:paraId="31EFD61D" w14:textId="77777777" w:rsidTr="77D5956C">
        <w:trPr>
          <w:trHeight w:val="290"/>
        </w:trPr>
        <w:tc>
          <w:tcPr>
            <w:tcW w:w="0" w:type="auto"/>
            <w:shd w:val="clear" w:color="auto" w:fill="FFFFFF" w:themeFill="text1"/>
            <w:noWrap/>
            <w:vAlign w:val="bottom"/>
            <w:hideMark/>
          </w:tcPr>
          <w:p w14:paraId="44D88EF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Levest</w:t>
            </w:r>
            <w:proofErr w:type="spellEnd"/>
            <w:r w:rsidRPr="002301BB">
              <w:rPr>
                <w:rFonts w:ascii="Calibri" w:hAnsi="Calibri" w:cs="Calibri"/>
                <w:kern w:val="2"/>
                <w:lang w:eastAsia="en-GB"/>
                <w14:ligatures w14:val="standardContextual"/>
              </w:rPr>
              <w:t xml:space="preserve"> 150/30 tablets</w:t>
            </w:r>
          </w:p>
        </w:tc>
        <w:tc>
          <w:tcPr>
            <w:tcW w:w="0" w:type="auto"/>
            <w:shd w:val="clear" w:color="auto" w:fill="FFFFFF" w:themeFill="text1"/>
            <w:noWrap/>
            <w:vAlign w:val="bottom"/>
            <w:hideMark/>
          </w:tcPr>
          <w:p w14:paraId="42F123F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16614111000001103</w:t>
            </w:r>
          </w:p>
        </w:tc>
        <w:tc>
          <w:tcPr>
            <w:tcW w:w="0" w:type="auto"/>
            <w:shd w:val="clear" w:color="auto" w:fill="FFFFFF" w:themeFill="text1"/>
            <w:noWrap/>
            <w:vAlign w:val="bottom"/>
            <w:hideMark/>
          </w:tcPr>
          <w:p w14:paraId="37FEC30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16614411000001108</w:t>
            </w:r>
          </w:p>
        </w:tc>
        <w:tc>
          <w:tcPr>
            <w:tcW w:w="0" w:type="auto"/>
            <w:shd w:val="clear" w:color="auto" w:fill="FFFFFF" w:themeFill="text1"/>
            <w:noWrap/>
            <w:vAlign w:val="bottom"/>
            <w:hideMark/>
          </w:tcPr>
          <w:p w14:paraId="438DCC9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r w:rsidR="002301BB" w:rsidRPr="002301BB" w14:paraId="0BCB35D3" w14:textId="77777777" w:rsidTr="77D5956C">
        <w:trPr>
          <w:trHeight w:val="290"/>
        </w:trPr>
        <w:tc>
          <w:tcPr>
            <w:tcW w:w="0" w:type="auto"/>
            <w:shd w:val="clear" w:color="auto" w:fill="FFFFFF" w:themeFill="text1"/>
            <w:noWrap/>
            <w:vAlign w:val="bottom"/>
            <w:hideMark/>
          </w:tcPr>
          <w:p w14:paraId="58F5F50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Maexeni</w:t>
            </w:r>
            <w:proofErr w:type="spellEnd"/>
            <w:r w:rsidRPr="002301BB">
              <w:rPr>
                <w:rFonts w:ascii="Calibri" w:hAnsi="Calibri" w:cs="Calibri"/>
                <w:kern w:val="2"/>
                <w:lang w:eastAsia="en-GB"/>
                <w14:ligatures w14:val="standardContextual"/>
              </w:rPr>
              <w:t xml:space="preserve"> 150microgram/30microgram tablets</w:t>
            </w:r>
          </w:p>
        </w:tc>
        <w:tc>
          <w:tcPr>
            <w:tcW w:w="0" w:type="auto"/>
            <w:shd w:val="clear" w:color="auto" w:fill="FFFFFF" w:themeFill="text1"/>
            <w:noWrap/>
            <w:vAlign w:val="bottom"/>
            <w:hideMark/>
          </w:tcPr>
          <w:p w14:paraId="6EC59C8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24677511000001100</w:t>
            </w:r>
          </w:p>
        </w:tc>
        <w:tc>
          <w:tcPr>
            <w:tcW w:w="0" w:type="auto"/>
            <w:shd w:val="clear" w:color="auto" w:fill="FFFFFF" w:themeFill="text1"/>
            <w:noWrap/>
            <w:vAlign w:val="bottom"/>
            <w:hideMark/>
          </w:tcPr>
          <w:p w14:paraId="2E12CD7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24677611000001101</w:t>
            </w:r>
          </w:p>
        </w:tc>
        <w:tc>
          <w:tcPr>
            <w:tcW w:w="0" w:type="auto"/>
            <w:shd w:val="clear" w:color="auto" w:fill="FFFFFF" w:themeFill="text1"/>
            <w:noWrap/>
            <w:vAlign w:val="bottom"/>
            <w:hideMark/>
          </w:tcPr>
          <w:p w14:paraId="22615A2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Lupin Healthcare (UK) Ltd</w:t>
            </w:r>
          </w:p>
        </w:tc>
      </w:tr>
      <w:tr w:rsidR="002301BB" w:rsidRPr="002301BB" w14:paraId="4B5DF92E" w14:textId="77777777" w:rsidTr="77D5956C">
        <w:trPr>
          <w:trHeight w:val="290"/>
        </w:trPr>
        <w:tc>
          <w:tcPr>
            <w:tcW w:w="0" w:type="auto"/>
            <w:shd w:val="clear" w:color="auto" w:fill="FFFFFF" w:themeFill="text1"/>
            <w:noWrap/>
            <w:vAlign w:val="bottom"/>
            <w:hideMark/>
          </w:tcPr>
          <w:p w14:paraId="0DDC9BF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Microgynon</w:t>
            </w:r>
            <w:proofErr w:type="spellEnd"/>
            <w:r w:rsidRPr="002301BB">
              <w:rPr>
                <w:rFonts w:ascii="Calibri" w:hAnsi="Calibri" w:cs="Calibri"/>
                <w:kern w:val="2"/>
                <w:lang w:eastAsia="en-GB"/>
                <w14:ligatures w14:val="standardContextual"/>
              </w:rPr>
              <w:t xml:space="preserve"> 30 tablets</w:t>
            </w:r>
          </w:p>
        </w:tc>
        <w:tc>
          <w:tcPr>
            <w:tcW w:w="0" w:type="auto"/>
            <w:shd w:val="clear" w:color="auto" w:fill="FFFFFF" w:themeFill="text1"/>
            <w:noWrap/>
            <w:vAlign w:val="bottom"/>
            <w:hideMark/>
          </w:tcPr>
          <w:p w14:paraId="63585B6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42111000001107</w:t>
            </w:r>
          </w:p>
        </w:tc>
        <w:tc>
          <w:tcPr>
            <w:tcW w:w="0" w:type="auto"/>
            <w:shd w:val="clear" w:color="auto" w:fill="FFFFFF" w:themeFill="text1"/>
            <w:noWrap/>
            <w:vAlign w:val="bottom"/>
            <w:hideMark/>
          </w:tcPr>
          <w:p w14:paraId="4FB73DE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3050411000001108</w:t>
            </w:r>
          </w:p>
        </w:tc>
        <w:tc>
          <w:tcPr>
            <w:tcW w:w="0" w:type="auto"/>
            <w:shd w:val="clear" w:color="auto" w:fill="FFFFFF" w:themeFill="text1"/>
            <w:noWrap/>
            <w:vAlign w:val="bottom"/>
            <w:hideMark/>
          </w:tcPr>
          <w:p w14:paraId="43CDDB2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63EF6DC7" w14:textId="77777777" w:rsidTr="77D5956C">
        <w:trPr>
          <w:trHeight w:val="290"/>
        </w:trPr>
        <w:tc>
          <w:tcPr>
            <w:tcW w:w="0" w:type="auto"/>
            <w:shd w:val="clear" w:color="auto" w:fill="FFFFFF" w:themeFill="text1"/>
            <w:noWrap/>
            <w:vAlign w:val="bottom"/>
            <w:hideMark/>
          </w:tcPr>
          <w:p w14:paraId="6F2D3D83"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lastRenderedPageBreak/>
              <w:t>Ovranette</w:t>
            </w:r>
            <w:proofErr w:type="spellEnd"/>
            <w:r w:rsidRPr="002301BB">
              <w:rPr>
                <w:rFonts w:ascii="Calibri" w:hAnsi="Calibri" w:cs="Calibri"/>
                <w:kern w:val="2"/>
                <w:lang w:eastAsia="en-GB"/>
                <w14:ligatures w14:val="standardContextual"/>
              </w:rPr>
              <w:t xml:space="preserve"> 150microgram/30microgram tablets</w:t>
            </w:r>
          </w:p>
        </w:tc>
        <w:tc>
          <w:tcPr>
            <w:tcW w:w="0" w:type="auto"/>
            <w:shd w:val="clear" w:color="auto" w:fill="FFFFFF" w:themeFill="text1"/>
            <w:noWrap/>
            <w:vAlign w:val="bottom"/>
            <w:hideMark/>
          </w:tcPr>
          <w:p w14:paraId="359DC8B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492611000001103</w:t>
            </w:r>
          </w:p>
        </w:tc>
        <w:tc>
          <w:tcPr>
            <w:tcW w:w="0" w:type="auto"/>
            <w:shd w:val="clear" w:color="auto" w:fill="FFFFFF" w:themeFill="text1"/>
            <w:noWrap/>
            <w:vAlign w:val="bottom"/>
            <w:hideMark/>
          </w:tcPr>
          <w:p w14:paraId="0129231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1974811000001100</w:t>
            </w:r>
          </w:p>
        </w:tc>
        <w:tc>
          <w:tcPr>
            <w:tcW w:w="0" w:type="auto"/>
            <w:shd w:val="clear" w:color="auto" w:fill="FFFFFF" w:themeFill="text1"/>
            <w:noWrap/>
            <w:vAlign w:val="bottom"/>
            <w:hideMark/>
          </w:tcPr>
          <w:p w14:paraId="2234F03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Pfizer Ltd</w:t>
            </w:r>
          </w:p>
        </w:tc>
      </w:tr>
      <w:tr w:rsidR="002301BB" w:rsidRPr="002301BB" w14:paraId="1433EF80" w14:textId="77777777" w:rsidTr="77D5956C">
        <w:trPr>
          <w:trHeight w:val="290"/>
        </w:trPr>
        <w:tc>
          <w:tcPr>
            <w:tcW w:w="0" w:type="auto"/>
            <w:shd w:val="clear" w:color="auto" w:fill="FFFFFF" w:themeFill="text1"/>
            <w:noWrap/>
            <w:vAlign w:val="bottom"/>
            <w:hideMark/>
          </w:tcPr>
          <w:p w14:paraId="735358C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Rigevidon</w:t>
            </w:r>
            <w:proofErr w:type="spellEnd"/>
            <w:r w:rsidRPr="002301BB">
              <w:rPr>
                <w:rFonts w:ascii="Calibri" w:hAnsi="Calibri" w:cs="Calibri"/>
                <w:kern w:val="2"/>
                <w:lang w:eastAsia="en-GB"/>
                <w14:ligatures w14:val="standardContextual"/>
              </w:rPr>
              <w:t xml:space="preserve"> tablets</w:t>
            </w:r>
          </w:p>
        </w:tc>
        <w:tc>
          <w:tcPr>
            <w:tcW w:w="0" w:type="auto"/>
            <w:shd w:val="clear" w:color="auto" w:fill="FFFFFF" w:themeFill="text1"/>
            <w:noWrap/>
            <w:vAlign w:val="bottom"/>
            <w:hideMark/>
          </w:tcPr>
          <w:p w14:paraId="5F82890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17346711000001106</w:t>
            </w:r>
          </w:p>
        </w:tc>
        <w:tc>
          <w:tcPr>
            <w:tcW w:w="0" w:type="auto"/>
            <w:shd w:val="clear" w:color="auto" w:fill="FFFFFF" w:themeFill="text1"/>
            <w:noWrap/>
            <w:vAlign w:val="bottom"/>
            <w:hideMark/>
          </w:tcPr>
          <w:p w14:paraId="2DD0131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17346811000001103</w:t>
            </w:r>
          </w:p>
        </w:tc>
        <w:tc>
          <w:tcPr>
            <w:tcW w:w="0" w:type="auto"/>
            <w:shd w:val="clear" w:color="auto" w:fill="FFFFFF" w:themeFill="text1"/>
            <w:noWrap/>
            <w:vAlign w:val="bottom"/>
            <w:hideMark/>
          </w:tcPr>
          <w:p w14:paraId="2278ED4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619B5805" w14:textId="77777777" w:rsidTr="77D5956C">
        <w:trPr>
          <w:trHeight w:val="290"/>
        </w:trPr>
        <w:tc>
          <w:tcPr>
            <w:tcW w:w="0" w:type="auto"/>
            <w:shd w:val="clear" w:color="auto" w:fill="B4C6E7"/>
            <w:noWrap/>
            <w:vAlign w:val="bottom"/>
            <w:hideMark/>
          </w:tcPr>
          <w:p w14:paraId="2777BD25"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35microgram / Norethisterone 1mg tablets</w:t>
            </w:r>
          </w:p>
        </w:tc>
        <w:tc>
          <w:tcPr>
            <w:tcW w:w="0" w:type="auto"/>
            <w:shd w:val="clear" w:color="auto" w:fill="B4C6E7"/>
            <w:noWrap/>
            <w:vAlign w:val="bottom"/>
            <w:hideMark/>
          </w:tcPr>
          <w:p w14:paraId="379FFE65"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41877311000001105</w:t>
            </w:r>
          </w:p>
        </w:tc>
        <w:tc>
          <w:tcPr>
            <w:tcW w:w="0" w:type="auto"/>
            <w:shd w:val="clear" w:color="auto" w:fill="B4C6E7"/>
            <w:noWrap/>
            <w:vAlign w:val="bottom"/>
            <w:hideMark/>
          </w:tcPr>
          <w:p w14:paraId="0FEF4D40"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1082311000001104</w:t>
            </w:r>
          </w:p>
        </w:tc>
        <w:tc>
          <w:tcPr>
            <w:tcW w:w="0" w:type="auto"/>
            <w:shd w:val="clear" w:color="auto" w:fill="B4C6E7"/>
            <w:noWrap/>
            <w:vAlign w:val="bottom"/>
            <w:hideMark/>
          </w:tcPr>
          <w:p w14:paraId="6A733A9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77DD126F" w14:textId="77777777" w:rsidTr="77D5956C">
        <w:trPr>
          <w:trHeight w:val="290"/>
        </w:trPr>
        <w:tc>
          <w:tcPr>
            <w:tcW w:w="0" w:type="auto"/>
            <w:shd w:val="clear" w:color="auto" w:fill="FFFFFF" w:themeFill="text1"/>
            <w:noWrap/>
            <w:vAlign w:val="bottom"/>
            <w:hideMark/>
          </w:tcPr>
          <w:p w14:paraId="1F8C954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Norimin</w:t>
            </w:r>
            <w:proofErr w:type="spellEnd"/>
            <w:r w:rsidRPr="002301BB">
              <w:rPr>
                <w:rFonts w:ascii="Calibri" w:hAnsi="Calibri" w:cs="Calibri"/>
                <w:kern w:val="2"/>
                <w:lang w:eastAsia="en-GB"/>
                <w14:ligatures w14:val="standardContextual"/>
              </w:rPr>
              <w:t xml:space="preserve"> 1mg/35microgram tablets</w:t>
            </w:r>
          </w:p>
        </w:tc>
        <w:tc>
          <w:tcPr>
            <w:tcW w:w="0" w:type="auto"/>
            <w:shd w:val="clear" w:color="auto" w:fill="FFFFFF" w:themeFill="text1"/>
            <w:noWrap/>
            <w:vAlign w:val="bottom"/>
            <w:hideMark/>
          </w:tcPr>
          <w:p w14:paraId="6F46A57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403611000001106</w:t>
            </w:r>
          </w:p>
        </w:tc>
        <w:tc>
          <w:tcPr>
            <w:tcW w:w="0" w:type="auto"/>
            <w:shd w:val="clear" w:color="auto" w:fill="FFFFFF" w:themeFill="text1"/>
            <w:noWrap/>
            <w:vAlign w:val="bottom"/>
            <w:hideMark/>
          </w:tcPr>
          <w:p w14:paraId="0447CC8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2078211000001102</w:t>
            </w:r>
          </w:p>
        </w:tc>
        <w:tc>
          <w:tcPr>
            <w:tcW w:w="0" w:type="auto"/>
            <w:shd w:val="clear" w:color="auto" w:fill="FFFFFF" w:themeFill="text1"/>
            <w:noWrap/>
            <w:vAlign w:val="bottom"/>
            <w:hideMark/>
          </w:tcPr>
          <w:p w14:paraId="517E5DB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Pfizer Ltd</w:t>
            </w:r>
          </w:p>
        </w:tc>
      </w:tr>
      <w:tr w:rsidR="002301BB" w:rsidRPr="002301BB" w14:paraId="1A5304C7" w14:textId="77777777" w:rsidTr="77D5956C">
        <w:trPr>
          <w:trHeight w:val="290"/>
        </w:trPr>
        <w:tc>
          <w:tcPr>
            <w:tcW w:w="0" w:type="auto"/>
            <w:shd w:val="clear" w:color="auto" w:fill="B4C6E7"/>
            <w:noWrap/>
            <w:vAlign w:val="bottom"/>
            <w:hideMark/>
          </w:tcPr>
          <w:p w14:paraId="771922EF"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35microgram / Norethisterone 500microgram tablets</w:t>
            </w:r>
          </w:p>
        </w:tc>
        <w:tc>
          <w:tcPr>
            <w:tcW w:w="0" w:type="auto"/>
            <w:shd w:val="clear" w:color="auto" w:fill="B4C6E7"/>
            <w:noWrap/>
            <w:vAlign w:val="bottom"/>
            <w:hideMark/>
          </w:tcPr>
          <w:p w14:paraId="1A5E1959"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41877411000001103</w:t>
            </w:r>
          </w:p>
        </w:tc>
        <w:tc>
          <w:tcPr>
            <w:tcW w:w="0" w:type="auto"/>
            <w:shd w:val="clear" w:color="auto" w:fill="B4C6E7"/>
            <w:noWrap/>
            <w:vAlign w:val="bottom"/>
            <w:hideMark/>
          </w:tcPr>
          <w:p w14:paraId="26FF1BD0"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1253611000001103</w:t>
            </w:r>
          </w:p>
        </w:tc>
        <w:tc>
          <w:tcPr>
            <w:tcW w:w="0" w:type="auto"/>
            <w:shd w:val="clear" w:color="auto" w:fill="B4C6E7"/>
            <w:noWrap/>
            <w:vAlign w:val="bottom"/>
            <w:hideMark/>
          </w:tcPr>
          <w:p w14:paraId="23DAC20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09B2FA5C" w14:textId="77777777" w:rsidTr="77D5956C">
        <w:trPr>
          <w:trHeight w:val="310"/>
        </w:trPr>
        <w:tc>
          <w:tcPr>
            <w:tcW w:w="0" w:type="auto"/>
            <w:shd w:val="clear" w:color="auto" w:fill="FFFFFF" w:themeFill="text1"/>
            <w:noWrap/>
            <w:vAlign w:val="bottom"/>
            <w:hideMark/>
          </w:tcPr>
          <w:p w14:paraId="7DEB058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Brevinor</w:t>
            </w:r>
            <w:proofErr w:type="spellEnd"/>
            <w:r w:rsidRPr="002301BB">
              <w:rPr>
                <w:rFonts w:ascii="Calibri" w:hAnsi="Calibri" w:cs="Calibri"/>
                <w:kern w:val="2"/>
                <w:lang w:eastAsia="en-GB"/>
                <w14:ligatures w14:val="standardContextual"/>
              </w:rPr>
              <w:t xml:space="preserve"> 500microgram/35microgram tablets</w:t>
            </w:r>
          </w:p>
        </w:tc>
        <w:tc>
          <w:tcPr>
            <w:tcW w:w="0" w:type="auto"/>
            <w:shd w:val="clear" w:color="auto" w:fill="FFFFFF" w:themeFill="text1"/>
            <w:noWrap/>
            <w:vAlign w:val="bottom"/>
            <w:hideMark/>
          </w:tcPr>
          <w:p w14:paraId="3C4017E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312411000001108</w:t>
            </w:r>
          </w:p>
        </w:tc>
        <w:tc>
          <w:tcPr>
            <w:tcW w:w="0" w:type="auto"/>
            <w:shd w:val="clear" w:color="auto" w:fill="FFFFFF" w:themeFill="text1"/>
            <w:noWrap/>
            <w:vAlign w:val="bottom"/>
            <w:hideMark/>
          </w:tcPr>
          <w:p w14:paraId="01E30A7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2077911000001105</w:t>
            </w:r>
          </w:p>
        </w:tc>
        <w:tc>
          <w:tcPr>
            <w:tcW w:w="0" w:type="auto"/>
            <w:shd w:val="clear" w:color="auto" w:fill="FFFFFF" w:themeFill="text1"/>
            <w:noWrap/>
            <w:vAlign w:val="bottom"/>
            <w:hideMark/>
          </w:tcPr>
          <w:p w14:paraId="7E15142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Pfizer Ltd</w:t>
            </w:r>
          </w:p>
        </w:tc>
      </w:tr>
      <w:tr w:rsidR="002301BB" w:rsidRPr="002301BB" w14:paraId="561C9BB6" w14:textId="77777777" w:rsidTr="77D5956C">
        <w:trPr>
          <w:trHeight w:val="290"/>
        </w:trPr>
        <w:tc>
          <w:tcPr>
            <w:tcW w:w="0" w:type="auto"/>
            <w:shd w:val="clear" w:color="auto" w:fill="B4C6E7"/>
            <w:noWrap/>
            <w:vAlign w:val="bottom"/>
            <w:hideMark/>
          </w:tcPr>
          <w:p w14:paraId="323B4BE7"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35microgram / </w:t>
            </w:r>
            <w:proofErr w:type="spellStart"/>
            <w:r w:rsidRPr="002301BB">
              <w:rPr>
                <w:rFonts w:ascii="Calibri" w:hAnsi="Calibri" w:cs="Calibri"/>
                <w:b/>
                <w:bCs/>
                <w:kern w:val="2"/>
                <w:lang w:eastAsia="en-GB"/>
                <w14:ligatures w14:val="standardContextual"/>
              </w:rPr>
              <w:t>Norgestimate</w:t>
            </w:r>
            <w:proofErr w:type="spellEnd"/>
            <w:r w:rsidRPr="002301BB">
              <w:rPr>
                <w:rFonts w:ascii="Calibri" w:hAnsi="Calibri" w:cs="Calibri"/>
                <w:b/>
                <w:bCs/>
                <w:kern w:val="2"/>
                <w:lang w:eastAsia="en-GB"/>
                <w14:ligatures w14:val="standardContextual"/>
              </w:rPr>
              <w:t xml:space="preserve"> 250microgram tablets</w:t>
            </w:r>
          </w:p>
        </w:tc>
        <w:tc>
          <w:tcPr>
            <w:tcW w:w="0" w:type="auto"/>
            <w:shd w:val="clear" w:color="auto" w:fill="B4C6E7"/>
            <w:noWrap/>
            <w:vAlign w:val="bottom"/>
            <w:hideMark/>
          </w:tcPr>
          <w:p w14:paraId="27DBA467"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4187761100001100</w:t>
            </w:r>
          </w:p>
        </w:tc>
        <w:tc>
          <w:tcPr>
            <w:tcW w:w="0" w:type="auto"/>
            <w:shd w:val="clear" w:color="auto" w:fill="B4C6E7"/>
            <w:noWrap/>
            <w:vAlign w:val="bottom"/>
            <w:hideMark/>
          </w:tcPr>
          <w:p w14:paraId="303EC1D6"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1319111000001107</w:t>
            </w:r>
          </w:p>
        </w:tc>
        <w:tc>
          <w:tcPr>
            <w:tcW w:w="0" w:type="auto"/>
            <w:shd w:val="clear" w:color="auto" w:fill="B4C6E7"/>
            <w:noWrap/>
            <w:vAlign w:val="bottom"/>
            <w:hideMark/>
          </w:tcPr>
          <w:p w14:paraId="729EEDF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1E974F56" w14:textId="77777777" w:rsidTr="77D5956C">
        <w:trPr>
          <w:trHeight w:val="290"/>
        </w:trPr>
        <w:tc>
          <w:tcPr>
            <w:tcW w:w="0" w:type="auto"/>
            <w:shd w:val="clear" w:color="auto" w:fill="FFFFFF" w:themeFill="text1"/>
            <w:noWrap/>
            <w:vAlign w:val="bottom"/>
            <w:hideMark/>
          </w:tcPr>
          <w:p w14:paraId="228E73C1"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Cilique</w:t>
            </w:r>
            <w:proofErr w:type="spellEnd"/>
            <w:r w:rsidRPr="002301BB">
              <w:rPr>
                <w:rFonts w:ascii="Calibri" w:hAnsi="Calibri" w:cs="Calibri"/>
                <w:kern w:val="2"/>
                <w:lang w:eastAsia="en-GB"/>
                <w14:ligatures w14:val="standardContextual"/>
              </w:rPr>
              <w:t xml:space="preserve"> 250microgram/35microgram tablets</w:t>
            </w:r>
          </w:p>
        </w:tc>
        <w:tc>
          <w:tcPr>
            <w:tcW w:w="0" w:type="auto"/>
            <w:shd w:val="clear" w:color="auto" w:fill="FFFFFF" w:themeFill="text1"/>
            <w:noWrap/>
            <w:vAlign w:val="bottom"/>
            <w:hideMark/>
          </w:tcPr>
          <w:p w14:paraId="4DFB766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31364011000001106</w:t>
            </w:r>
          </w:p>
        </w:tc>
        <w:tc>
          <w:tcPr>
            <w:tcW w:w="0" w:type="auto"/>
            <w:shd w:val="clear" w:color="auto" w:fill="FFFFFF" w:themeFill="text1"/>
            <w:noWrap/>
            <w:vAlign w:val="bottom"/>
            <w:hideMark/>
          </w:tcPr>
          <w:p w14:paraId="42FA053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31364211000001101</w:t>
            </w:r>
          </w:p>
        </w:tc>
        <w:tc>
          <w:tcPr>
            <w:tcW w:w="0" w:type="auto"/>
            <w:shd w:val="clear" w:color="auto" w:fill="FFFFFF" w:themeFill="text1"/>
            <w:noWrap/>
            <w:vAlign w:val="bottom"/>
            <w:hideMark/>
          </w:tcPr>
          <w:p w14:paraId="0CA7DB5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1FC618BC" w14:textId="77777777" w:rsidTr="77D5956C">
        <w:trPr>
          <w:trHeight w:val="290"/>
        </w:trPr>
        <w:tc>
          <w:tcPr>
            <w:tcW w:w="0" w:type="auto"/>
            <w:shd w:val="clear" w:color="auto" w:fill="FFFFFF" w:themeFill="text1"/>
            <w:noWrap/>
            <w:vAlign w:val="bottom"/>
            <w:hideMark/>
          </w:tcPr>
          <w:p w14:paraId="2DCB53D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Lizinna</w:t>
            </w:r>
            <w:proofErr w:type="spellEnd"/>
            <w:r w:rsidRPr="002301BB">
              <w:rPr>
                <w:rFonts w:ascii="Calibri" w:hAnsi="Calibri" w:cs="Calibri"/>
                <w:kern w:val="2"/>
                <w:lang w:eastAsia="en-GB"/>
                <w14:ligatures w14:val="standardContextual"/>
              </w:rPr>
              <w:t xml:space="preserve"> 250microgram/35microgram tablets</w:t>
            </w:r>
          </w:p>
        </w:tc>
        <w:tc>
          <w:tcPr>
            <w:tcW w:w="0" w:type="auto"/>
            <w:shd w:val="clear" w:color="auto" w:fill="FFFFFF" w:themeFill="text1"/>
            <w:noWrap/>
            <w:vAlign w:val="bottom"/>
            <w:hideMark/>
          </w:tcPr>
          <w:p w14:paraId="6C5BF80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22562211000001105</w:t>
            </w:r>
          </w:p>
        </w:tc>
        <w:tc>
          <w:tcPr>
            <w:tcW w:w="0" w:type="auto"/>
            <w:shd w:val="clear" w:color="auto" w:fill="FFFFFF" w:themeFill="text1"/>
            <w:noWrap/>
            <w:vAlign w:val="bottom"/>
            <w:hideMark/>
          </w:tcPr>
          <w:p w14:paraId="1F481D9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22562311000001102</w:t>
            </w:r>
          </w:p>
        </w:tc>
        <w:tc>
          <w:tcPr>
            <w:tcW w:w="0" w:type="auto"/>
            <w:shd w:val="clear" w:color="auto" w:fill="FFFFFF" w:themeFill="text1"/>
            <w:noWrap/>
            <w:vAlign w:val="bottom"/>
            <w:hideMark/>
          </w:tcPr>
          <w:p w14:paraId="2CA3B79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Morningside Healthcare Ltd</w:t>
            </w:r>
          </w:p>
        </w:tc>
      </w:tr>
    </w:tbl>
    <w:p w14:paraId="5C68B5CF"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p>
    <w:p w14:paraId="3813A80E" w14:textId="77777777" w:rsidR="002301BB" w:rsidRPr="002301BB" w:rsidRDefault="002301BB" w:rsidP="002301BB">
      <w:pPr>
        <w:spacing w:after="0" w:line="240" w:lineRule="auto"/>
        <w:textboxTightWrap w:val="none"/>
        <w:rPr>
          <w:rFonts w:eastAsia="Calibri" w:cs="Arial"/>
          <w:b/>
          <w:bCs/>
          <w:color w:val="auto"/>
          <w:kern w:val="2"/>
          <w14:ligatures w14:val="standardContextual"/>
        </w:rPr>
      </w:pPr>
      <w:r w:rsidRPr="002301BB">
        <w:rPr>
          <w:rFonts w:eastAsia="Calibri" w:cs="Arial"/>
          <w:b/>
          <w:bCs/>
          <w:color w:val="auto"/>
          <w:kern w:val="2"/>
          <w14:ligatures w14:val="standardContextual"/>
        </w:rPr>
        <w:br w:type="page"/>
      </w:r>
    </w:p>
    <w:p w14:paraId="65230377"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r w:rsidRPr="002301BB">
        <w:rPr>
          <w:rFonts w:eastAsia="Calibri" w:cs="Arial"/>
          <w:b/>
          <w:bCs/>
          <w:color w:val="auto"/>
          <w:kern w:val="2"/>
          <w14:ligatures w14:val="standardContextual"/>
        </w:rPr>
        <w:lastRenderedPageBreak/>
        <w:t>Monophasic everyday</w:t>
      </w:r>
    </w:p>
    <w:tbl>
      <w:tblPr>
        <w:tblW w:w="14732" w:type="dxa"/>
        <w:tblLayout w:type="fixed"/>
        <w:tblLook w:val="04A0" w:firstRow="1" w:lastRow="0" w:firstColumn="1" w:lastColumn="0" w:noHBand="0" w:noVBand="1"/>
      </w:tblPr>
      <w:tblGrid>
        <w:gridCol w:w="6520"/>
        <w:gridCol w:w="2684"/>
        <w:gridCol w:w="2693"/>
        <w:gridCol w:w="2835"/>
      </w:tblGrid>
      <w:tr w:rsidR="002301BB" w:rsidRPr="002301BB" w14:paraId="26A419C0" w14:textId="77777777" w:rsidTr="77D5956C">
        <w:trPr>
          <w:trHeight w:val="320"/>
          <w:tblHeader/>
        </w:trPr>
        <w:tc>
          <w:tcPr>
            <w:tcW w:w="6520" w:type="dxa"/>
            <w:tcBorders>
              <w:top w:val="single" w:sz="8" w:space="0" w:color="auto"/>
              <w:left w:val="single" w:sz="8" w:space="0" w:color="auto"/>
              <w:bottom w:val="single" w:sz="8" w:space="0" w:color="auto"/>
              <w:right w:val="single" w:sz="8" w:space="0" w:color="auto"/>
            </w:tcBorders>
            <w:shd w:val="clear" w:color="auto" w:fill="C6E0B4"/>
            <w:noWrap/>
            <w:vAlign w:val="bottom"/>
            <w:hideMark/>
          </w:tcPr>
          <w:p w14:paraId="0B48D908" w14:textId="77777777" w:rsidR="002301BB" w:rsidRPr="002301BB" w:rsidRDefault="002301BB" w:rsidP="002301BB">
            <w:pPr>
              <w:spacing w:after="0" w:line="240" w:lineRule="auto"/>
              <w:jc w:val="center"/>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VMP/AMP Name</w:t>
            </w:r>
          </w:p>
        </w:tc>
        <w:tc>
          <w:tcPr>
            <w:tcW w:w="2684" w:type="dxa"/>
            <w:tcBorders>
              <w:top w:val="single" w:sz="8" w:space="0" w:color="auto"/>
              <w:left w:val="nil"/>
              <w:bottom w:val="single" w:sz="8" w:space="0" w:color="auto"/>
              <w:right w:val="nil"/>
            </w:tcBorders>
            <w:shd w:val="clear" w:color="auto" w:fill="C6E0B4"/>
            <w:noWrap/>
            <w:vAlign w:val="bottom"/>
            <w:hideMark/>
          </w:tcPr>
          <w:p w14:paraId="04BAB17F" w14:textId="77777777" w:rsidR="002301BB" w:rsidRPr="002301BB" w:rsidRDefault="002301BB" w:rsidP="002301BB">
            <w:pPr>
              <w:spacing w:after="0" w:line="240" w:lineRule="auto"/>
              <w:jc w:val="center"/>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VMP/AMP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693" w:type="dxa"/>
            <w:tcBorders>
              <w:top w:val="single" w:sz="8" w:space="0" w:color="auto"/>
              <w:left w:val="single" w:sz="8" w:space="0" w:color="auto"/>
              <w:bottom w:val="single" w:sz="8" w:space="0" w:color="auto"/>
              <w:right w:val="single" w:sz="8" w:space="0" w:color="auto"/>
            </w:tcBorders>
            <w:shd w:val="clear" w:color="auto" w:fill="C6E0B4"/>
            <w:noWrap/>
            <w:vAlign w:val="bottom"/>
            <w:hideMark/>
          </w:tcPr>
          <w:p w14:paraId="09380159" w14:textId="77777777" w:rsidR="002301BB" w:rsidRPr="002301BB" w:rsidRDefault="002301BB" w:rsidP="002301BB">
            <w:pPr>
              <w:spacing w:after="0" w:line="240" w:lineRule="auto"/>
              <w:jc w:val="center"/>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VMPP/AMPP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835" w:type="dxa"/>
            <w:tcBorders>
              <w:top w:val="single" w:sz="8" w:space="0" w:color="auto"/>
              <w:left w:val="nil"/>
              <w:bottom w:val="single" w:sz="8" w:space="0" w:color="auto"/>
              <w:right w:val="single" w:sz="4" w:space="0" w:color="auto"/>
            </w:tcBorders>
            <w:shd w:val="clear" w:color="auto" w:fill="C6E0B4"/>
            <w:noWrap/>
            <w:vAlign w:val="bottom"/>
            <w:hideMark/>
          </w:tcPr>
          <w:p w14:paraId="44986D40" w14:textId="77777777" w:rsidR="002301BB" w:rsidRPr="002301BB" w:rsidRDefault="002301BB" w:rsidP="002301BB">
            <w:pPr>
              <w:spacing w:after="0" w:line="240" w:lineRule="auto"/>
              <w:jc w:val="center"/>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Supplier Name</w:t>
            </w:r>
          </w:p>
        </w:tc>
      </w:tr>
      <w:tr w:rsidR="002301BB" w:rsidRPr="002301BB" w14:paraId="6A789BF4" w14:textId="77777777" w:rsidTr="77D5956C">
        <w:trPr>
          <w:trHeight w:val="290"/>
        </w:trPr>
        <w:tc>
          <w:tcPr>
            <w:tcW w:w="6520" w:type="dxa"/>
            <w:tcBorders>
              <w:top w:val="nil"/>
              <w:left w:val="single" w:sz="4" w:space="0" w:color="auto"/>
              <w:bottom w:val="single" w:sz="4" w:space="0" w:color="auto"/>
              <w:right w:val="single" w:sz="4" w:space="0" w:color="auto"/>
            </w:tcBorders>
            <w:shd w:val="clear" w:color="auto" w:fill="B4C6E7"/>
            <w:noWrap/>
            <w:vAlign w:val="bottom"/>
            <w:hideMark/>
          </w:tcPr>
          <w:p w14:paraId="007CAB0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Drospirenone</w:t>
            </w:r>
            <w:proofErr w:type="spellEnd"/>
            <w:r w:rsidRPr="002301BB">
              <w:rPr>
                <w:rFonts w:ascii="Calibri" w:hAnsi="Calibri" w:cs="Calibri"/>
                <w:b/>
                <w:bCs/>
                <w:kern w:val="2"/>
                <w:lang w:eastAsia="en-GB"/>
                <w14:ligatures w14:val="standardContextual"/>
              </w:rPr>
              <w:t xml:space="preserve"> 3mg / </w:t>
            </w:r>
            <w:proofErr w:type="spellStart"/>
            <w:r w:rsidRPr="002301BB">
              <w:rPr>
                <w:rFonts w:ascii="Calibri" w:hAnsi="Calibri" w:cs="Calibri"/>
                <w:b/>
                <w:bCs/>
                <w:kern w:val="2"/>
                <w:lang w:eastAsia="en-GB"/>
                <w14:ligatures w14:val="standardContextual"/>
              </w:rPr>
              <w:t>Estetrol</w:t>
            </w:r>
            <w:proofErr w:type="spellEnd"/>
            <w:r w:rsidRPr="002301BB">
              <w:rPr>
                <w:rFonts w:ascii="Calibri" w:hAnsi="Calibri" w:cs="Calibri"/>
                <w:b/>
                <w:bCs/>
                <w:kern w:val="2"/>
                <w:lang w:eastAsia="en-GB"/>
                <w14:ligatures w14:val="standardContextual"/>
              </w:rPr>
              <w:t xml:space="preserve"> 14.2mg tablets</w:t>
            </w:r>
          </w:p>
        </w:tc>
        <w:tc>
          <w:tcPr>
            <w:tcW w:w="2684" w:type="dxa"/>
            <w:tcBorders>
              <w:top w:val="nil"/>
              <w:left w:val="nil"/>
              <w:bottom w:val="single" w:sz="4" w:space="0" w:color="auto"/>
              <w:right w:val="single" w:sz="4" w:space="0" w:color="auto"/>
            </w:tcBorders>
            <w:shd w:val="clear" w:color="auto" w:fill="B4C6E7"/>
            <w:noWrap/>
            <w:vAlign w:val="bottom"/>
            <w:hideMark/>
          </w:tcPr>
          <w:p w14:paraId="49B8E715"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41095211000001102</w:t>
            </w:r>
          </w:p>
        </w:tc>
        <w:tc>
          <w:tcPr>
            <w:tcW w:w="2693" w:type="dxa"/>
            <w:tcBorders>
              <w:top w:val="nil"/>
              <w:left w:val="nil"/>
              <w:bottom w:val="single" w:sz="4" w:space="0" w:color="auto"/>
              <w:right w:val="single" w:sz="4" w:space="0" w:color="auto"/>
            </w:tcBorders>
            <w:shd w:val="clear" w:color="auto" w:fill="B4C6E7"/>
            <w:noWrap/>
            <w:vAlign w:val="bottom"/>
            <w:hideMark/>
          </w:tcPr>
          <w:p w14:paraId="5585E06D"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41092211000001107</w:t>
            </w:r>
          </w:p>
        </w:tc>
        <w:tc>
          <w:tcPr>
            <w:tcW w:w="2835" w:type="dxa"/>
            <w:tcBorders>
              <w:top w:val="nil"/>
              <w:left w:val="nil"/>
              <w:bottom w:val="single" w:sz="4" w:space="0" w:color="auto"/>
              <w:right w:val="single" w:sz="4" w:space="0" w:color="auto"/>
            </w:tcBorders>
            <w:shd w:val="clear" w:color="auto" w:fill="B4C6E7"/>
            <w:noWrap/>
            <w:vAlign w:val="bottom"/>
            <w:hideMark/>
          </w:tcPr>
          <w:p w14:paraId="0BFFAC1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 </w:t>
            </w:r>
          </w:p>
        </w:tc>
      </w:tr>
      <w:tr w:rsidR="002301BB" w:rsidRPr="002301BB" w14:paraId="6A79C52F" w14:textId="77777777" w:rsidTr="77D5956C">
        <w:trPr>
          <w:trHeight w:val="290"/>
        </w:trPr>
        <w:tc>
          <w:tcPr>
            <w:tcW w:w="6520" w:type="dxa"/>
            <w:tcBorders>
              <w:top w:val="nil"/>
              <w:left w:val="single" w:sz="4" w:space="0" w:color="auto"/>
              <w:bottom w:val="single" w:sz="4" w:space="0" w:color="auto"/>
              <w:right w:val="single" w:sz="4" w:space="0" w:color="auto"/>
            </w:tcBorders>
            <w:shd w:val="clear" w:color="auto" w:fill="FFFFFF" w:themeFill="text1"/>
            <w:noWrap/>
            <w:vAlign w:val="bottom"/>
            <w:hideMark/>
          </w:tcPr>
          <w:p w14:paraId="3003DE0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Drovelis</w:t>
            </w:r>
            <w:proofErr w:type="spellEnd"/>
            <w:r w:rsidRPr="002301BB">
              <w:rPr>
                <w:rFonts w:ascii="Calibri" w:hAnsi="Calibri" w:cs="Calibri"/>
                <w:kern w:val="2"/>
                <w:lang w:eastAsia="en-GB"/>
                <w14:ligatures w14:val="standardContextual"/>
              </w:rPr>
              <w:t xml:space="preserve"> 3mg/14.2mg tablets</w:t>
            </w:r>
          </w:p>
        </w:tc>
        <w:tc>
          <w:tcPr>
            <w:tcW w:w="2684" w:type="dxa"/>
            <w:tcBorders>
              <w:top w:val="nil"/>
              <w:left w:val="nil"/>
              <w:bottom w:val="single" w:sz="4" w:space="0" w:color="auto"/>
              <w:right w:val="single" w:sz="4" w:space="0" w:color="auto"/>
            </w:tcBorders>
            <w:shd w:val="clear" w:color="auto" w:fill="FFFFFF" w:themeFill="text1"/>
            <w:noWrap/>
            <w:vAlign w:val="bottom"/>
            <w:hideMark/>
          </w:tcPr>
          <w:p w14:paraId="1F6A363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41092311000001104</w:t>
            </w:r>
          </w:p>
        </w:tc>
        <w:tc>
          <w:tcPr>
            <w:tcW w:w="2693" w:type="dxa"/>
            <w:tcBorders>
              <w:top w:val="nil"/>
              <w:left w:val="nil"/>
              <w:bottom w:val="single" w:sz="4" w:space="0" w:color="auto"/>
              <w:right w:val="single" w:sz="4" w:space="0" w:color="auto"/>
            </w:tcBorders>
            <w:shd w:val="clear" w:color="auto" w:fill="FFFFFF" w:themeFill="text1"/>
            <w:noWrap/>
            <w:vAlign w:val="bottom"/>
            <w:hideMark/>
          </w:tcPr>
          <w:p w14:paraId="48AFD817"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41092411000001106</w:t>
            </w:r>
          </w:p>
        </w:tc>
        <w:tc>
          <w:tcPr>
            <w:tcW w:w="2835" w:type="dxa"/>
            <w:tcBorders>
              <w:top w:val="nil"/>
              <w:left w:val="nil"/>
              <w:bottom w:val="single" w:sz="4" w:space="0" w:color="auto"/>
              <w:right w:val="single" w:sz="4" w:space="0" w:color="auto"/>
            </w:tcBorders>
            <w:shd w:val="clear" w:color="auto" w:fill="FFFFFF" w:themeFill="text1"/>
            <w:noWrap/>
            <w:vAlign w:val="bottom"/>
            <w:hideMark/>
          </w:tcPr>
          <w:p w14:paraId="1D01D5F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505EBEC8" w14:textId="77777777" w:rsidTr="77D5956C">
        <w:trPr>
          <w:trHeight w:val="310"/>
        </w:trPr>
        <w:tc>
          <w:tcPr>
            <w:tcW w:w="6520" w:type="dxa"/>
            <w:tcBorders>
              <w:top w:val="nil"/>
              <w:left w:val="single" w:sz="4" w:space="0" w:color="auto"/>
              <w:bottom w:val="single" w:sz="4" w:space="0" w:color="auto"/>
              <w:right w:val="single" w:sz="4" w:space="0" w:color="auto"/>
            </w:tcBorders>
            <w:shd w:val="clear" w:color="auto" w:fill="B4C6E7"/>
            <w:noWrap/>
            <w:vAlign w:val="bottom"/>
          </w:tcPr>
          <w:p w14:paraId="5F26AA27"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Ethinylestradiol</w:t>
            </w:r>
            <w:proofErr w:type="spellEnd"/>
            <w:r w:rsidRPr="002301BB">
              <w:rPr>
                <w:rFonts w:ascii="Calibri" w:hAnsi="Calibri" w:cs="Calibri"/>
                <w:b/>
                <w:bCs/>
                <w:kern w:val="2"/>
                <w:lang w:eastAsia="en-GB"/>
                <w14:ligatures w14:val="standardContextual"/>
              </w:rPr>
              <w:t xml:space="preserve"> 20microgram / </w:t>
            </w:r>
            <w:proofErr w:type="spellStart"/>
            <w:r w:rsidRPr="002301BB">
              <w:rPr>
                <w:rFonts w:ascii="Calibri" w:hAnsi="Calibri" w:cs="Calibri"/>
                <w:b/>
                <w:bCs/>
                <w:kern w:val="2"/>
                <w:lang w:eastAsia="en-GB"/>
                <w14:ligatures w14:val="standardContextual"/>
              </w:rPr>
              <w:t>Drospirenone</w:t>
            </w:r>
            <w:proofErr w:type="spellEnd"/>
            <w:r w:rsidRPr="002301BB">
              <w:rPr>
                <w:rFonts w:ascii="Calibri" w:hAnsi="Calibri" w:cs="Calibri"/>
                <w:b/>
                <w:bCs/>
                <w:kern w:val="2"/>
                <w:lang w:eastAsia="en-GB"/>
                <w14:ligatures w14:val="standardContextual"/>
              </w:rPr>
              <w:t xml:space="preserve"> 3mg tablets</w:t>
            </w:r>
          </w:p>
        </w:tc>
        <w:tc>
          <w:tcPr>
            <w:tcW w:w="2684" w:type="dxa"/>
            <w:tcBorders>
              <w:top w:val="nil"/>
              <w:left w:val="nil"/>
              <w:bottom w:val="single" w:sz="4" w:space="0" w:color="auto"/>
              <w:right w:val="single" w:sz="4" w:space="0" w:color="auto"/>
            </w:tcBorders>
            <w:shd w:val="clear" w:color="auto" w:fill="B4C6E7"/>
            <w:noWrap/>
            <w:vAlign w:val="bottom"/>
          </w:tcPr>
          <w:p w14:paraId="695A7FD8"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21711311000001107</w:t>
            </w:r>
          </w:p>
        </w:tc>
        <w:tc>
          <w:tcPr>
            <w:tcW w:w="2693" w:type="dxa"/>
            <w:tcBorders>
              <w:top w:val="nil"/>
              <w:left w:val="nil"/>
              <w:bottom w:val="single" w:sz="4" w:space="0" w:color="auto"/>
              <w:right w:val="single" w:sz="4" w:space="0" w:color="auto"/>
            </w:tcBorders>
            <w:shd w:val="clear" w:color="auto" w:fill="B4C6E7"/>
            <w:noWrap/>
            <w:vAlign w:val="bottom"/>
          </w:tcPr>
          <w:p w14:paraId="4FE76DF7"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21707111000001101</w:t>
            </w:r>
          </w:p>
          <w:p w14:paraId="7C72772A"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
        </w:tc>
        <w:tc>
          <w:tcPr>
            <w:tcW w:w="2835" w:type="dxa"/>
            <w:tcBorders>
              <w:top w:val="nil"/>
              <w:left w:val="nil"/>
              <w:bottom w:val="single" w:sz="4" w:space="0" w:color="auto"/>
              <w:right w:val="single" w:sz="4" w:space="0" w:color="auto"/>
            </w:tcBorders>
            <w:shd w:val="clear" w:color="auto" w:fill="B4C6E7"/>
            <w:noWrap/>
            <w:vAlign w:val="bottom"/>
          </w:tcPr>
          <w:p w14:paraId="4E528FA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
        </w:tc>
      </w:tr>
      <w:tr w:rsidR="002301BB" w:rsidRPr="002301BB" w14:paraId="7634E294" w14:textId="77777777" w:rsidTr="77D5956C">
        <w:trPr>
          <w:trHeight w:val="310"/>
        </w:trPr>
        <w:tc>
          <w:tcPr>
            <w:tcW w:w="6520" w:type="dxa"/>
            <w:tcBorders>
              <w:top w:val="nil"/>
              <w:left w:val="single" w:sz="4" w:space="0" w:color="auto"/>
              <w:bottom w:val="single" w:sz="4" w:space="0" w:color="auto"/>
              <w:right w:val="single" w:sz="4" w:space="0" w:color="auto"/>
            </w:tcBorders>
            <w:noWrap/>
            <w:vAlign w:val="bottom"/>
          </w:tcPr>
          <w:p w14:paraId="5DC9DDD0" w14:textId="77777777" w:rsidR="002301BB" w:rsidRPr="002301BB" w:rsidRDefault="002301BB" w:rsidP="77D5956C">
            <w:pPr>
              <w:spacing w:after="0" w:line="240" w:lineRule="auto"/>
              <w:textboxTightWrap w:val="none"/>
              <w:rPr>
                <w:rFonts w:ascii="Calibri" w:hAnsi="Calibri" w:cs="Calibri"/>
                <w:kern w:val="2"/>
                <w:lang w:eastAsia="en-GB"/>
                <w14:ligatures w14:val="standardContextual"/>
              </w:rPr>
            </w:pPr>
            <w:r w:rsidRPr="77D5956C">
              <w:rPr>
                <w:rFonts w:ascii="Calibri" w:hAnsi="Calibri" w:cs="Calibri"/>
                <w:kern w:val="2"/>
                <w:lang w:eastAsia="en-GB"/>
                <w14:ligatures w14:val="standardContextual"/>
              </w:rPr>
              <w:t>Eloine 0.02mg/3mg tablets</w:t>
            </w:r>
          </w:p>
        </w:tc>
        <w:tc>
          <w:tcPr>
            <w:tcW w:w="2684" w:type="dxa"/>
            <w:tcBorders>
              <w:top w:val="nil"/>
              <w:left w:val="nil"/>
              <w:bottom w:val="single" w:sz="4" w:space="0" w:color="auto"/>
              <w:right w:val="single" w:sz="4" w:space="0" w:color="auto"/>
            </w:tcBorders>
            <w:noWrap/>
            <w:vAlign w:val="bottom"/>
          </w:tcPr>
          <w:p w14:paraId="244F68A1" w14:textId="77777777" w:rsidR="002301BB" w:rsidRPr="002301BB" w:rsidRDefault="002301BB" w:rsidP="77D5956C">
            <w:pPr>
              <w:spacing w:after="0" w:line="240" w:lineRule="auto"/>
              <w:textboxTightWrap w:val="none"/>
              <w:rPr>
                <w:rFonts w:ascii="Calibri" w:hAnsi="Calibri" w:cs="Calibri"/>
                <w:kern w:val="2"/>
                <w:lang w:eastAsia="en-GB"/>
                <w14:ligatures w14:val="standardContextual"/>
              </w:rPr>
            </w:pPr>
            <w:r w:rsidRPr="77D5956C">
              <w:rPr>
                <w:rFonts w:ascii="Calibri" w:hAnsi="Calibri" w:cs="Calibri"/>
                <w:kern w:val="2"/>
                <w:lang w:eastAsia="en-GB"/>
                <w14:ligatures w14:val="standardContextual"/>
              </w:rPr>
              <w:t>30195711000001107</w:t>
            </w:r>
          </w:p>
        </w:tc>
        <w:tc>
          <w:tcPr>
            <w:tcW w:w="2693" w:type="dxa"/>
            <w:tcBorders>
              <w:top w:val="nil"/>
              <w:left w:val="nil"/>
              <w:bottom w:val="single" w:sz="4" w:space="0" w:color="auto"/>
              <w:right w:val="single" w:sz="4" w:space="0" w:color="auto"/>
            </w:tcBorders>
            <w:noWrap/>
            <w:vAlign w:val="bottom"/>
          </w:tcPr>
          <w:p w14:paraId="156DA9D4"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77D5956C">
              <w:rPr>
                <w:rFonts w:ascii="Calibri" w:hAnsi="Calibri" w:cs="Calibri"/>
                <w:kern w:val="2"/>
                <w:lang w:eastAsia="en-GB"/>
                <w14:ligatures w14:val="standardContextual"/>
              </w:rPr>
              <w:t>30196011000001101</w:t>
            </w:r>
          </w:p>
        </w:tc>
        <w:tc>
          <w:tcPr>
            <w:tcW w:w="2835" w:type="dxa"/>
            <w:tcBorders>
              <w:top w:val="nil"/>
              <w:left w:val="nil"/>
              <w:bottom w:val="single" w:sz="4" w:space="0" w:color="auto"/>
              <w:right w:val="single" w:sz="4" w:space="0" w:color="auto"/>
            </w:tcBorders>
            <w:noWrap/>
            <w:vAlign w:val="bottom"/>
          </w:tcPr>
          <w:p w14:paraId="2B18EC7B" w14:textId="2DDCD2F1" w:rsidR="002301BB" w:rsidRPr="002301BB" w:rsidRDefault="5A04D138" w:rsidP="002301BB">
            <w:pPr>
              <w:spacing w:after="0" w:line="240" w:lineRule="auto"/>
              <w:textboxTightWrap w:val="none"/>
              <w:rPr>
                <w:rFonts w:ascii="Calibri" w:hAnsi="Calibri" w:cs="Calibri"/>
                <w:kern w:val="2"/>
                <w:lang w:eastAsia="en-GB"/>
                <w14:ligatures w14:val="standardContextual"/>
              </w:rPr>
            </w:pPr>
            <w:r w:rsidRPr="77D5956C">
              <w:rPr>
                <w:rFonts w:ascii="Calibri" w:hAnsi="Calibri" w:cs="Calibri"/>
                <w:lang w:eastAsia="en-GB"/>
              </w:rPr>
              <w:t>Bayer Plc</w:t>
            </w:r>
          </w:p>
        </w:tc>
      </w:tr>
      <w:tr w:rsidR="77D5956C" w14:paraId="6007E334" w14:textId="77777777" w:rsidTr="77D5956C">
        <w:trPr>
          <w:trHeight w:val="300"/>
        </w:trPr>
        <w:tc>
          <w:tcPr>
            <w:tcW w:w="6520" w:type="dxa"/>
            <w:tcBorders>
              <w:top w:val="nil"/>
              <w:left w:val="single" w:sz="4" w:space="0" w:color="auto"/>
              <w:bottom w:val="single" w:sz="4" w:space="0" w:color="auto"/>
              <w:right w:val="single" w:sz="4" w:space="0" w:color="auto"/>
            </w:tcBorders>
            <w:noWrap/>
            <w:vAlign w:val="bottom"/>
          </w:tcPr>
          <w:p w14:paraId="15ECA569" w14:textId="45F83AE8" w:rsidR="77D5956C" w:rsidRDefault="77D5956C" w:rsidP="77D5956C">
            <w:pPr>
              <w:spacing w:after="0" w:line="240" w:lineRule="auto"/>
              <w:rPr>
                <w:rFonts w:ascii="Calibri" w:hAnsi="Calibri" w:cs="Calibri"/>
                <w:lang w:eastAsia="en-GB"/>
              </w:rPr>
            </w:pPr>
            <w:proofErr w:type="spellStart"/>
            <w:r w:rsidRPr="77D5956C">
              <w:rPr>
                <w:rFonts w:ascii="Calibri" w:hAnsi="Calibri" w:cs="Calibri"/>
                <w:lang w:eastAsia="en-GB"/>
              </w:rPr>
              <w:t>Microgynon</w:t>
            </w:r>
            <w:proofErr w:type="spellEnd"/>
            <w:r w:rsidRPr="77D5956C">
              <w:rPr>
                <w:rFonts w:ascii="Calibri" w:hAnsi="Calibri" w:cs="Calibri"/>
                <w:lang w:eastAsia="en-GB"/>
              </w:rPr>
              <w:t xml:space="preserve"> 30 ED tablets</w:t>
            </w:r>
          </w:p>
        </w:tc>
        <w:tc>
          <w:tcPr>
            <w:tcW w:w="2684" w:type="dxa"/>
            <w:tcBorders>
              <w:top w:val="nil"/>
              <w:left w:val="nil"/>
              <w:bottom w:val="single" w:sz="4" w:space="0" w:color="auto"/>
              <w:right w:val="single" w:sz="4" w:space="0" w:color="auto"/>
            </w:tcBorders>
            <w:noWrap/>
            <w:vAlign w:val="bottom"/>
          </w:tcPr>
          <w:p w14:paraId="4B321AC9" w14:textId="6A39D119" w:rsidR="77D5956C" w:rsidRDefault="77D5956C" w:rsidP="77D5956C">
            <w:pPr>
              <w:spacing w:after="0" w:line="240" w:lineRule="auto"/>
              <w:rPr>
                <w:rFonts w:ascii="Calibri" w:hAnsi="Calibri" w:cs="Calibri"/>
                <w:lang w:eastAsia="en-GB"/>
              </w:rPr>
            </w:pPr>
            <w:r w:rsidRPr="77D5956C">
              <w:rPr>
                <w:rFonts w:ascii="Calibri" w:hAnsi="Calibri" w:cs="Calibri"/>
                <w:lang w:eastAsia="en-GB"/>
              </w:rPr>
              <w:t>3052511000001108</w:t>
            </w:r>
          </w:p>
        </w:tc>
        <w:tc>
          <w:tcPr>
            <w:tcW w:w="2693" w:type="dxa"/>
            <w:tcBorders>
              <w:top w:val="nil"/>
              <w:left w:val="nil"/>
              <w:bottom w:val="single" w:sz="4" w:space="0" w:color="auto"/>
              <w:right w:val="single" w:sz="4" w:space="0" w:color="auto"/>
            </w:tcBorders>
            <w:noWrap/>
            <w:vAlign w:val="bottom"/>
          </w:tcPr>
          <w:p w14:paraId="5530D934" w14:textId="2124E076" w:rsidR="77D5956C" w:rsidRDefault="77D5956C" w:rsidP="77D5956C">
            <w:pPr>
              <w:spacing w:after="0" w:line="240" w:lineRule="auto"/>
              <w:rPr>
                <w:rFonts w:ascii="Calibri" w:hAnsi="Calibri" w:cs="Calibri"/>
                <w:lang w:eastAsia="en-GB"/>
              </w:rPr>
            </w:pPr>
            <w:r w:rsidRPr="77D5956C">
              <w:rPr>
                <w:rFonts w:ascii="Calibri" w:hAnsi="Calibri" w:cs="Calibri"/>
                <w:lang w:eastAsia="en-GB"/>
              </w:rPr>
              <w:t>3052611000001107</w:t>
            </w:r>
          </w:p>
        </w:tc>
        <w:tc>
          <w:tcPr>
            <w:tcW w:w="2835" w:type="dxa"/>
            <w:tcBorders>
              <w:top w:val="nil"/>
              <w:left w:val="nil"/>
              <w:bottom w:val="single" w:sz="4" w:space="0" w:color="auto"/>
              <w:right w:val="single" w:sz="4" w:space="0" w:color="auto"/>
            </w:tcBorders>
            <w:noWrap/>
            <w:vAlign w:val="bottom"/>
          </w:tcPr>
          <w:p w14:paraId="0A11B195" w14:textId="3F3A06D2" w:rsidR="4049C7F4" w:rsidRDefault="4049C7F4" w:rsidP="77D5956C">
            <w:pPr>
              <w:spacing w:after="0" w:line="240" w:lineRule="auto"/>
              <w:rPr>
                <w:rFonts w:ascii="Calibri" w:hAnsi="Calibri" w:cs="Calibri"/>
                <w:lang w:eastAsia="en-GB"/>
              </w:rPr>
            </w:pPr>
            <w:r w:rsidRPr="77D5956C">
              <w:rPr>
                <w:rFonts w:ascii="Calibri" w:hAnsi="Calibri" w:cs="Calibri"/>
                <w:lang w:eastAsia="en-GB"/>
              </w:rPr>
              <w:t>Bayer Plc</w:t>
            </w:r>
          </w:p>
        </w:tc>
      </w:tr>
      <w:tr w:rsidR="002301BB" w:rsidRPr="002301BB" w14:paraId="3B2F78A5" w14:textId="77777777" w:rsidTr="77D5956C">
        <w:trPr>
          <w:trHeight w:val="310"/>
        </w:trPr>
        <w:tc>
          <w:tcPr>
            <w:tcW w:w="6520" w:type="dxa"/>
            <w:tcBorders>
              <w:top w:val="nil"/>
              <w:left w:val="single" w:sz="4" w:space="0" w:color="auto"/>
              <w:bottom w:val="single" w:sz="4" w:space="0" w:color="auto"/>
              <w:right w:val="single" w:sz="4" w:space="0" w:color="auto"/>
            </w:tcBorders>
            <w:shd w:val="clear" w:color="auto" w:fill="B4C6E7"/>
            <w:noWrap/>
            <w:vAlign w:val="bottom"/>
            <w:hideMark/>
          </w:tcPr>
          <w:p w14:paraId="65E534EF"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proofErr w:type="spellStart"/>
            <w:r w:rsidRPr="002301BB">
              <w:rPr>
                <w:rFonts w:ascii="Calibri" w:hAnsi="Calibri" w:cs="Calibri"/>
                <w:b/>
                <w:bCs/>
                <w:kern w:val="2"/>
                <w:lang w:eastAsia="en-GB"/>
                <w14:ligatures w14:val="standardContextual"/>
              </w:rPr>
              <w:t>Estradiol</w:t>
            </w:r>
            <w:proofErr w:type="spellEnd"/>
            <w:r w:rsidRPr="002301BB">
              <w:rPr>
                <w:rFonts w:ascii="Calibri" w:hAnsi="Calibri" w:cs="Calibri"/>
                <w:b/>
                <w:bCs/>
                <w:kern w:val="2"/>
                <w:lang w:eastAsia="en-GB"/>
                <w14:ligatures w14:val="standardContextual"/>
              </w:rPr>
              <w:t xml:space="preserve"> 1.5mg / </w:t>
            </w:r>
            <w:proofErr w:type="spellStart"/>
            <w:r w:rsidRPr="002301BB">
              <w:rPr>
                <w:rFonts w:ascii="Calibri" w:hAnsi="Calibri" w:cs="Calibri"/>
                <w:b/>
                <w:bCs/>
                <w:kern w:val="2"/>
                <w:lang w:eastAsia="en-GB"/>
                <w14:ligatures w14:val="standardContextual"/>
              </w:rPr>
              <w:t>Nomegestrol</w:t>
            </w:r>
            <w:proofErr w:type="spellEnd"/>
            <w:r w:rsidRPr="002301BB">
              <w:rPr>
                <w:rFonts w:ascii="Calibri" w:hAnsi="Calibri" w:cs="Calibri"/>
                <w:b/>
                <w:bCs/>
                <w:kern w:val="2"/>
                <w:lang w:eastAsia="en-GB"/>
                <w14:ligatures w14:val="standardContextual"/>
              </w:rPr>
              <w:t xml:space="preserve"> 2.5mg tablets</w:t>
            </w:r>
          </w:p>
        </w:tc>
        <w:tc>
          <w:tcPr>
            <w:tcW w:w="2684" w:type="dxa"/>
            <w:tcBorders>
              <w:top w:val="nil"/>
              <w:left w:val="nil"/>
              <w:bottom w:val="single" w:sz="4" w:space="0" w:color="auto"/>
              <w:right w:val="single" w:sz="4" w:space="0" w:color="auto"/>
            </w:tcBorders>
            <w:shd w:val="clear" w:color="auto" w:fill="B4C6E7"/>
            <w:noWrap/>
            <w:vAlign w:val="bottom"/>
            <w:hideMark/>
          </w:tcPr>
          <w:p w14:paraId="252CA7B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22403311000001100</w:t>
            </w:r>
          </w:p>
        </w:tc>
        <w:tc>
          <w:tcPr>
            <w:tcW w:w="2693" w:type="dxa"/>
            <w:tcBorders>
              <w:top w:val="nil"/>
              <w:left w:val="nil"/>
              <w:bottom w:val="single" w:sz="4" w:space="0" w:color="auto"/>
              <w:right w:val="single" w:sz="4" w:space="0" w:color="auto"/>
            </w:tcBorders>
            <w:shd w:val="clear" w:color="auto" w:fill="B4C6E7"/>
            <w:noWrap/>
            <w:vAlign w:val="bottom"/>
            <w:hideMark/>
          </w:tcPr>
          <w:p w14:paraId="3D29F63C"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22311311000001109</w:t>
            </w:r>
          </w:p>
        </w:tc>
        <w:tc>
          <w:tcPr>
            <w:tcW w:w="2835" w:type="dxa"/>
            <w:tcBorders>
              <w:top w:val="nil"/>
              <w:left w:val="nil"/>
              <w:bottom w:val="single" w:sz="4" w:space="0" w:color="auto"/>
              <w:right w:val="single" w:sz="4" w:space="0" w:color="auto"/>
            </w:tcBorders>
            <w:shd w:val="clear" w:color="auto" w:fill="B4C6E7"/>
            <w:noWrap/>
            <w:vAlign w:val="bottom"/>
            <w:hideMark/>
          </w:tcPr>
          <w:p w14:paraId="0DD839D6" w14:textId="77777777" w:rsidR="002301BB" w:rsidRPr="002301BB" w:rsidRDefault="002301BB" w:rsidP="77D5956C">
            <w:pPr>
              <w:spacing w:after="0" w:line="240" w:lineRule="auto"/>
              <w:textboxTightWrap w:val="none"/>
              <w:rPr>
                <w:rFonts w:ascii="Calibri" w:eastAsia="Calibri" w:hAnsi="Calibri" w:cs="Calibri"/>
                <w:kern w:val="2"/>
                <w:lang w:eastAsia="en-GB"/>
                <w14:ligatures w14:val="standardContextual"/>
              </w:rPr>
            </w:pPr>
          </w:p>
        </w:tc>
      </w:tr>
      <w:tr w:rsidR="002301BB" w:rsidRPr="002301BB" w14:paraId="5FBDBDD0" w14:textId="77777777" w:rsidTr="77D5956C">
        <w:trPr>
          <w:trHeight w:val="290"/>
        </w:trPr>
        <w:tc>
          <w:tcPr>
            <w:tcW w:w="6520" w:type="dxa"/>
            <w:tcBorders>
              <w:top w:val="nil"/>
              <w:left w:val="single" w:sz="4" w:space="0" w:color="auto"/>
              <w:bottom w:val="single" w:sz="4" w:space="0" w:color="auto"/>
              <w:right w:val="single" w:sz="4" w:space="0" w:color="auto"/>
            </w:tcBorders>
            <w:shd w:val="clear" w:color="auto" w:fill="FFFFFF" w:themeFill="text1"/>
            <w:noWrap/>
            <w:vAlign w:val="bottom"/>
            <w:hideMark/>
          </w:tcPr>
          <w:p w14:paraId="27342AB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Zoely 2.5mg/1.5mg tablets</w:t>
            </w:r>
          </w:p>
        </w:tc>
        <w:tc>
          <w:tcPr>
            <w:tcW w:w="2684" w:type="dxa"/>
            <w:tcBorders>
              <w:top w:val="nil"/>
              <w:left w:val="nil"/>
              <w:bottom w:val="single" w:sz="4" w:space="0" w:color="auto"/>
              <w:right w:val="single" w:sz="4" w:space="0" w:color="auto"/>
            </w:tcBorders>
            <w:shd w:val="clear" w:color="auto" w:fill="FFFFFF" w:themeFill="text1"/>
            <w:noWrap/>
            <w:vAlign w:val="bottom"/>
            <w:hideMark/>
          </w:tcPr>
          <w:p w14:paraId="17582B2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22311511000001103</w:t>
            </w:r>
          </w:p>
        </w:tc>
        <w:tc>
          <w:tcPr>
            <w:tcW w:w="2693" w:type="dxa"/>
            <w:tcBorders>
              <w:top w:val="nil"/>
              <w:left w:val="nil"/>
              <w:bottom w:val="single" w:sz="4" w:space="0" w:color="auto"/>
              <w:right w:val="single" w:sz="4" w:space="0" w:color="auto"/>
            </w:tcBorders>
            <w:shd w:val="clear" w:color="auto" w:fill="FFFFFF" w:themeFill="text1"/>
            <w:noWrap/>
            <w:vAlign w:val="bottom"/>
            <w:hideMark/>
          </w:tcPr>
          <w:p w14:paraId="2C7BCA70"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22311711000001108</w:t>
            </w:r>
          </w:p>
        </w:tc>
        <w:tc>
          <w:tcPr>
            <w:tcW w:w="2835" w:type="dxa"/>
            <w:tcBorders>
              <w:top w:val="nil"/>
              <w:left w:val="nil"/>
              <w:bottom w:val="single" w:sz="4" w:space="0" w:color="auto"/>
              <w:right w:val="single" w:sz="4" w:space="0" w:color="auto"/>
            </w:tcBorders>
            <w:shd w:val="clear" w:color="auto" w:fill="FFFFFF" w:themeFill="text1"/>
            <w:noWrap/>
            <w:vAlign w:val="bottom"/>
            <w:hideMark/>
          </w:tcPr>
          <w:p w14:paraId="2411F3A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Theramex</w:t>
            </w:r>
            <w:proofErr w:type="spellEnd"/>
            <w:r w:rsidRPr="002301BB">
              <w:rPr>
                <w:rFonts w:ascii="Calibri" w:hAnsi="Calibri" w:cs="Calibri"/>
                <w:kern w:val="2"/>
                <w:lang w:eastAsia="en-GB"/>
                <w14:ligatures w14:val="standardContextual"/>
              </w:rPr>
              <w:t xml:space="preserve"> HQ UK Ltd</w:t>
            </w:r>
          </w:p>
        </w:tc>
      </w:tr>
    </w:tbl>
    <w:p w14:paraId="73862F4B"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p>
    <w:p w14:paraId="7DD1455B"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r w:rsidRPr="002301BB">
        <w:rPr>
          <w:rFonts w:eastAsia="Calibri" w:cs="Arial"/>
          <w:b/>
          <w:bCs/>
          <w:color w:val="auto"/>
          <w:kern w:val="2"/>
          <w14:ligatures w14:val="standardContextual"/>
        </w:rPr>
        <w:t>Phasic</w:t>
      </w:r>
    </w:p>
    <w:tbl>
      <w:tblPr>
        <w:tblW w:w="1473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ook w:val="04A0" w:firstRow="1" w:lastRow="0" w:firstColumn="1" w:lastColumn="0" w:noHBand="0" w:noVBand="1"/>
      </w:tblPr>
      <w:tblGrid>
        <w:gridCol w:w="6369"/>
        <w:gridCol w:w="2693"/>
        <w:gridCol w:w="2835"/>
        <w:gridCol w:w="2835"/>
      </w:tblGrid>
      <w:tr w:rsidR="002301BB" w:rsidRPr="002301BB" w14:paraId="1F305CE4" w14:textId="77777777" w:rsidTr="004C5C3C">
        <w:trPr>
          <w:trHeight w:val="320"/>
          <w:tblHeader/>
        </w:trPr>
        <w:tc>
          <w:tcPr>
            <w:tcW w:w="6369" w:type="dxa"/>
            <w:shd w:val="clear" w:color="000000" w:fill="C6E0B4"/>
            <w:noWrap/>
            <w:vAlign w:val="bottom"/>
            <w:hideMark/>
          </w:tcPr>
          <w:p w14:paraId="605EB0AA"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VMP/AMP Name</w:t>
            </w:r>
          </w:p>
        </w:tc>
        <w:tc>
          <w:tcPr>
            <w:tcW w:w="2693" w:type="dxa"/>
            <w:shd w:val="clear" w:color="000000" w:fill="C6E0B4"/>
            <w:noWrap/>
            <w:vAlign w:val="bottom"/>
            <w:hideMark/>
          </w:tcPr>
          <w:p w14:paraId="2BAC464C"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VMP/AMP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835" w:type="dxa"/>
            <w:shd w:val="clear" w:color="000000" w:fill="C6E0B4"/>
            <w:noWrap/>
            <w:vAlign w:val="bottom"/>
            <w:hideMark/>
          </w:tcPr>
          <w:p w14:paraId="0B11919A"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VMPP/AMPP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835" w:type="dxa"/>
            <w:shd w:val="clear" w:color="000000" w:fill="C6E0B4"/>
            <w:noWrap/>
            <w:vAlign w:val="bottom"/>
            <w:hideMark/>
          </w:tcPr>
          <w:p w14:paraId="3C0B791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Supplier Name</w:t>
            </w:r>
          </w:p>
        </w:tc>
      </w:tr>
      <w:tr w:rsidR="002301BB" w:rsidRPr="002301BB" w14:paraId="32ABB05F" w14:textId="77777777" w:rsidTr="004C5C3C">
        <w:trPr>
          <w:trHeight w:val="320"/>
        </w:trPr>
        <w:tc>
          <w:tcPr>
            <w:tcW w:w="6369" w:type="dxa"/>
            <w:noWrap/>
            <w:vAlign w:val="bottom"/>
          </w:tcPr>
          <w:p w14:paraId="1D6856E5"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Logynon</w:t>
            </w:r>
            <w:proofErr w:type="spellEnd"/>
            <w:r w:rsidRPr="002301BB">
              <w:rPr>
                <w:rFonts w:ascii="Calibri" w:hAnsi="Calibri" w:cs="Calibri"/>
                <w:kern w:val="2"/>
                <w:lang w:eastAsia="en-GB"/>
                <w14:ligatures w14:val="standardContextual"/>
              </w:rPr>
              <w:t xml:space="preserve"> tablets</w:t>
            </w:r>
          </w:p>
        </w:tc>
        <w:tc>
          <w:tcPr>
            <w:tcW w:w="2693" w:type="dxa"/>
            <w:noWrap/>
            <w:vAlign w:val="bottom"/>
          </w:tcPr>
          <w:p w14:paraId="46DA4E48"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3213311000001106</w:t>
            </w:r>
          </w:p>
        </w:tc>
        <w:tc>
          <w:tcPr>
            <w:tcW w:w="2835" w:type="dxa"/>
            <w:noWrap/>
            <w:vAlign w:val="bottom"/>
          </w:tcPr>
          <w:p w14:paraId="3FF9F7B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3213811000001102</w:t>
            </w:r>
          </w:p>
        </w:tc>
        <w:tc>
          <w:tcPr>
            <w:tcW w:w="2835" w:type="dxa"/>
            <w:noWrap/>
            <w:vAlign w:val="bottom"/>
          </w:tcPr>
          <w:p w14:paraId="73A2412F"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2B6EC7C8" w14:textId="77777777" w:rsidTr="004C5C3C">
        <w:trPr>
          <w:trHeight w:val="320"/>
        </w:trPr>
        <w:tc>
          <w:tcPr>
            <w:tcW w:w="6369" w:type="dxa"/>
            <w:noWrap/>
            <w:vAlign w:val="bottom"/>
          </w:tcPr>
          <w:p w14:paraId="7F99EF9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TriRegol</w:t>
            </w:r>
            <w:proofErr w:type="spellEnd"/>
            <w:r w:rsidRPr="002301BB">
              <w:rPr>
                <w:rFonts w:ascii="Calibri" w:hAnsi="Calibri" w:cs="Calibri"/>
                <w:kern w:val="2"/>
                <w:lang w:eastAsia="en-GB"/>
                <w14:ligatures w14:val="standardContextual"/>
              </w:rPr>
              <w:t xml:space="preserve"> tablets</w:t>
            </w:r>
          </w:p>
        </w:tc>
        <w:tc>
          <w:tcPr>
            <w:tcW w:w="2693" w:type="dxa"/>
            <w:noWrap/>
            <w:vAlign w:val="bottom"/>
          </w:tcPr>
          <w:p w14:paraId="4F88A3A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17444111000001106</w:t>
            </w:r>
          </w:p>
        </w:tc>
        <w:tc>
          <w:tcPr>
            <w:tcW w:w="2835" w:type="dxa"/>
            <w:noWrap/>
            <w:vAlign w:val="bottom"/>
          </w:tcPr>
          <w:p w14:paraId="47FC3CED"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17444211000001100</w:t>
            </w:r>
          </w:p>
        </w:tc>
        <w:tc>
          <w:tcPr>
            <w:tcW w:w="2835" w:type="dxa"/>
            <w:noWrap/>
            <w:vAlign w:val="bottom"/>
          </w:tcPr>
          <w:p w14:paraId="32BA2D76"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Gedeon Richter (UK) Ltd</w:t>
            </w:r>
          </w:p>
        </w:tc>
      </w:tr>
      <w:tr w:rsidR="002301BB" w:rsidRPr="002301BB" w14:paraId="049367F2" w14:textId="77777777" w:rsidTr="004C5C3C">
        <w:trPr>
          <w:trHeight w:val="320"/>
        </w:trPr>
        <w:tc>
          <w:tcPr>
            <w:tcW w:w="6369" w:type="dxa"/>
            <w:noWrap/>
            <w:vAlign w:val="bottom"/>
          </w:tcPr>
          <w:p w14:paraId="53F31B2C"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Synphase tablets</w:t>
            </w:r>
          </w:p>
        </w:tc>
        <w:tc>
          <w:tcPr>
            <w:tcW w:w="2693" w:type="dxa"/>
            <w:noWrap/>
            <w:vAlign w:val="bottom"/>
          </w:tcPr>
          <w:p w14:paraId="306646D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4432011000001108</w:t>
            </w:r>
          </w:p>
        </w:tc>
        <w:tc>
          <w:tcPr>
            <w:tcW w:w="2835" w:type="dxa"/>
            <w:noWrap/>
            <w:vAlign w:val="bottom"/>
          </w:tcPr>
          <w:p w14:paraId="5EB7A5F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4433611000001106</w:t>
            </w:r>
          </w:p>
        </w:tc>
        <w:tc>
          <w:tcPr>
            <w:tcW w:w="2835" w:type="dxa"/>
            <w:noWrap/>
            <w:vAlign w:val="bottom"/>
          </w:tcPr>
          <w:p w14:paraId="466750C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Pfizer Ltd</w:t>
            </w:r>
          </w:p>
        </w:tc>
      </w:tr>
    </w:tbl>
    <w:p w14:paraId="26076D7B" w14:textId="77777777" w:rsidR="002301BB" w:rsidRPr="002301BB" w:rsidRDefault="002301BB" w:rsidP="002301BB">
      <w:pPr>
        <w:spacing w:before="120" w:after="120" w:line="278" w:lineRule="auto"/>
        <w:textboxTightWrap w:val="none"/>
        <w:rPr>
          <w:rFonts w:eastAsia="Calibri" w:cs="Arial"/>
          <w:b/>
          <w:bCs/>
          <w:color w:val="auto"/>
          <w:kern w:val="2"/>
          <w14:ligatures w14:val="standardContextual"/>
        </w:rPr>
      </w:pPr>
    </w:p>
    <w:p w14:paraId="05FFD4DD" w14:textId="77777777" w:rsidR="002301BB" w:rsidRPr="002301BB" w:rsidRDefault="002301BB" w:rsidP="002301BB">
      <w:pPr>
        <w:spacing w:after="0" w:line="240" w:lineRule="auto"/>
        <w:textboxTightWrap w:val="none"/>
        <w:rPr>
          <w:rFonts w:eastAsia="Calibri" w:cs="Arial"/>
          <w:b/>
          <w:bCs/>
          <w:color w:val="auto"/>
          <w:kern w:val="2"/>
          <w14:ligatures w14:val="standardContextual"/>
        </w:rPr>
      </w:pPr>
      <w:r w:rsidRPr="002301BB">
        <w:rPr>
          <w:rFonts w:eastAsia="Calibri" w:cs="Arial"/>
          <w:b/>
          <w:bCs/>
          <w:color w:val="auto"/>
          <w:kern w:val="2"/>
          <w14:ligatures w14:val="standardContextual"/>
        </w:rPr>
        <w:br w:type="page"/>
      </w:r>
      <w:r w:rsidRPr="002301BB">
        <w:rPr>
          <w:rFonts w:eastAsia="Calibri" w:cs="Arial"/>
          <w:b/>
          <w:bCs/>
          <w:color w:val="auto"/>
          <w:kern w:val="2"/>
          <w14:ligatures w14:val="standardContextual"/>
        </w:rPr>
        <w:lastRenderedPageBreak/>
        <w:t>Phasic everyday</w:t>
      </w:r>
    </w:p>
    <w:tbl>
      <w:tblPr>
        <w:tblW w:w="14732" w:type="dxa"/>
        <w:tblLook w:val="04A0" w:firstRow="1" w:lastRow="0" w:firstColumn="1" w:lastColumn="0" w:noHBand="0" w:noVBand="1"/>
      </w:tblPr>
      <w:tblGrid>
        <w:gridCol w:w="6369"/>
        <w:gridCol w:w="2693"/>
        <w:gridCol w:w="2835"/>
        <w:gridCol w:w="2835"/>
      </w:tblGrid>
      <w:tr w:rsidR="002301BB" w:rsidRPr="002301BB" w14:paraId="586FFADF" w14:textId="77777777" w:rsidTr="004C5C3C">
        <w:trPr>
          <w:trHeight w:val="320"/>
          <w:tblHeader/>
        </w:trPr>
        <w:tc>
          <w:tcPr>
            <w:tcW w:w="6369" w:type="dxa"/>
            <w:tcBorders>
              <w:top w:val="single" w:sz="8" w:space="0" w:color="auto"/>
              <w:left w:val="single" w:sz="8" w:space="0" w:color="auto"/>
              <w:bottom w:val="single" w:sz="8" w:space="0" w:color="auto"/>
            </w:tcBorders>
            <w:shd w:val="clear" w:color="000000" w:fill="C6E0B4"/>
            <w:noWrap/>
            <w:vAlign w:val="bottom"/>
            <w:hideMark/>
          </w:tcPr>
          <w:p w14:paraId="4295D935"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VMP/AMP Name</w:t>
            </w:r>
          </w:p>
        </w:tc>
        <w:tc>
          <w:tcPr>
            <w:tcW w:w="2693" w:type="dxa"/>
            <w:tcBorders>
              <w:top w:val="single" w:sz="8" w:space="0" w:color="auto"/>
              <w:left w:val="nil"/>
              <w:bottom w:val="single" w:sz="8" w:space="0" w:color="auto"/>
              <w:right w:val="nil"/>
            </w:tcBorders>
            <w:shd w:val="clear" w:color="000000" w:fill="C6E0B4"/>
            <w:noWrap/>
            <w:vAlign w:val="bottom"/>
            <w:hideMark/>
          </w:tcPr>
          <w:p w14:paraId="09BAA591"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VMP/AMP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835"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586E60F3"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 xml:space="preserve">VMPP/AMPP </w:t>
            </w:r>
            <w:proofErr w:type="spellStart"/>
            <w:r w:rsidRPr="002301BB">
              <w:rPr>
                <w:rFonts w:ascii="Calibri" w:hAnsi="Calibri" w:cs="Calibri"/>
                <w:b/>
                <w:bCs/>
                <w:kern w:val="2"/>
                <w:lang w:eastAsia="en-GB"/>
                <w14:ligatures w14:val="standardContextual"/>
              </w:rPr>
              <w:t>Snomed</w:t>
            </w:r>
            <w:proofErr w:type="spellEnd"/>
            <w:r w:rsidRPr="002301BB">
              <w:rPr>
                <w:rFonts w:ascii="Calibri" w:hAnsi="Calibri" w:cs="Calibri"/>
                <w:b/>
                <w:bCs/>
                <w:kern w:val="2"/>
                <w:lang w:eastAsia="en-GB"/>
                <w14:ligatures w14:val="standardContextual"/>
              </w:rPr>
              <w:t xml:space="preserve"> Code</w:t>
            </w:r>
          </w:p>
        </w:tc>
        <w:tc>
          <w:tcPr>
            <w:tcW w:w="2835" w:type="dxa"/>
            <w:tcBorders>
              <w:top w:val="single" w:sz="8" w:space="0" w:color="auto"/>
              <w:left w:val="nil"/>
              <w:bottom w:val="single" w:sz="8" w:space="0" w:color="auto"/>
              <w:right w:val="single" w:sz="4" w:space="0" w:color="auto"/>
            </w:tcBorders>
            <w:shd w:val="clear" w:color="000000" w:fill="C6E0B4"/>
            <w:noWrap/>
            <w:vAlign w:val="bottom"/>
            <w:hideMark/>
          </w:tcPr>
          <w:p w14:paraId="1D8A29BD" w14:textId="77777777" w:rsidR="002301BB" w:rsidRPr="002301BB" w:rsidRDefault="002301BB" w:rsidP="002301BB">
            <w:pPr>
              <w:spacing w:after="0" w:line="240" w:lineRule="auto"/>
              <w:textboxTightWrap w:val="none"/>
              <w:rPr>
                <w:rFonts w:ascii="Calibri" w:hAnsi="Calibri" w:cs="Calibri"/>
                <w:b/>
                <w:bCs/>
                <w:kern w:val="2"/>
                <w:lang w:eastAsia="en-GB"/>
                <w14:ligatures w14:val="standardContextual"/>
              </w:rPr>
            </w:pPr>
            <w:r w:rsidRPr="002301BB">
              <w:rPr>
                <w:rFonts w:ascii="Calibri" w:hAnsi="Calibri" w:cs="Calibri"/>
                <w:b/>
                <w:bCs/>
                <w:kern w:val="2"/>
                <w:lang w:eastAsia="en-GB"/>
                <w14:ligatures w14:val="standardContextual"/>
              </w:rPr>
              <w:t>Supplier Name</w:t>
            </w:r>
          </w:p>
        </w:tc>
      </w:tr>
      <w:tr w:rsidR="002301BB" w:rsidRPr="002301BB" w14:paraId="0658FA81" w14:textId="77777777" w:rsidTr="004C5C3C">
        <w:trPr>
          <w:trHeight w:val="320"/>
        </w:trPr>
        <w:tc>
          <w:tcPr>
            <w:tcW w:w="6369" w:type="dxa"/>
            <w:tcBorders>
              <w:top w:val="single" w:sz="8" w:space="0" w:color="auto"/>
              <w:left w:val="single" w:sz="8" w:space="0" w:color="auto"/>
              <w:bottom w:val="single" w:sz="8" w:space="0" w:color="auto"/>
              <w:right w:val="single" w:sz="8" w:space="0" w:color="auto"/>
            </w:tcBorders>
            <w:noWrap/>
            <w:vAlign w:val="bottom"/>
          </w:tcPr>
          <w:p w14:paraId="5AF8143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Logynon</w:t>
            </w:r>
            <w:proofErr w:type="spellEnd"/>
            <w:r w:rsidRPr="002301BB">
              <w:rPr>
                <w:rFonts w:ascii="Calibri" w:hAnsi="Calibri" w:cs="Calibri"/>
                <w:kern w:val="2"/>
                <w:lang w:eastAsia="en-GB"/>
                <w14:ligatures w14:val="standardContextual"/>
              </w:rPr>
              <w:t xml:space="preserve"> ED tablets</w:t>
            </w:r>
          </w:p>
        </w:tc>
        <w:tc>
          <w:tcPr>
            <w:tcW w:w="2693" w:type="dxa"/>
            <w:tcBorders>
              <w:top w:val="single" w:sz="8" w:space="0" w:color="auto"/>
              <w:left w:val="nil"/>
              <w:bottom w:val="single" w:sz="8" w:space="0" w:color="auto"/>
              <w:right w:val="nil"/>
            </w:tcBorders>
            <w:noWrap/>
            <w:vAlign w:val="bottom"/>
          </w:tcPr>
          <w:p w14:paraId="7A2CDF64"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3215011000001109</w:t>
            </w:r>
          </w:p>
        </w:tc>
        <w:tc>
          <w:tcPr>
            <w:tcW w:w="2835" w:type="dxa"/>
            <w:tcBorders>
              <w:top w:val="single" w:sz="8" w:space="0" w:color="auto"/>
              <w:left w:val="single" w:sz="8" w:space="0" w:color="auto"/>
              <w:bottom w:val="single" w:sz="8" w:space="0" w:color="auto"/>
              <w:right w:val="single" w:sz="8" w:space="0" w:color="auto"/>
            </w:tcBorders>
            <w:noWrap/>
            <w:vAlign w:val="bottom"/>
          </w:tcPr>
          <w:p w14:paraId="2682F5DE"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3215811000001103</w:t>
            </w:r>
          </w:p>
        </w:tc>
        <w:tc>
          <w:tcPr>
            <w:tcW w:w="2835" w:type="dxa"/>
            <w:tcBorders>
              <w:top w:val="single" w:sz="8" w:space="0" w:color="auto"/>
              <w:left w:val="nil"/>
              <w:bottom w:val="single" w:sz="8" w:space="0" w:color="auto"/>
              <w:right w:val="single" w:sz="4" w:space="0" w:color="auto"/>
            </w:tcBorders>
            <w:noWrap/>
            <w:vAlign w:val="bottom"/>
          </w:tcPr>
          <w:p w14:paraId="091F06EA"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r w:rsidR="002301BB" w:rsidRPr="002301BB" w14:paraId="1ECD78CB" w14:textId="77777777" w:rsidTr="004C5C3C">
        <w:trPr>
          <w:trHeight w:val="320"/>
        </w:trPr>
        <w:tc>
          <w:tcPr>
            <w:tcW w:w="6369" w:type="dxa"/>
            <w:tcBorders>
              <w:top w:val="single" w:sz="8" w:space="0" w:color="auto"/>
              <w:left w:val="single" w:sz="8" w:space="0" w:color="auto"/>
              <w:bottom w:val="single" w:sz="8" w:space="0" w:color="auto"/>
              <w:right w:val="single" w:sz="8" w:space="0" w:color="auto"/>
            </w:tcBorders>
            <w:noWrap/>
            <w:vAlign w:val="bottom"/>
          </w:tcPr>
          <w:p w14:paraId="1E8EE2E2"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proofErr w:type="spellStart"/>
            <w:r w:rsidRPr="002301BB">
              <w:rPr>
                <w:rFonts w:ascii="Calibri" w:hAnsi="Calibri" w:cs="Calibri"/>
                <w:kern w:val="2"/>
                <w:lang w:eastAsia="en-GB"/>
                <w14:ligatures w14:val="standardContextual"/>
              </w:rPr>
              <w:t>Qlaira</w:t>
            </w:r>
            <w:proofErr w:type="spellEnd"/>
            <w:r w:rsidRPr="002301BB">
              <w:rPr>
                <w:rFonts w:ascii="Calibri" w:hAnsi="Calibri" w:cs="Calibri"/>
                <w:kern w:val="2"/>
                <w:lang w:eastAsia="en-GB"/>
                <w14:ligatures w14:val="standardContextual"/>
              </w:rPr>
              <w:t xml:space="preserve"> tablets</w:t>
            </w:r>
          </w:p>
        </w:tc>
        <w:tc>
          <w:tcPr>
            <w:tcW w:w="2693" w:type="dxa"/>
            <w:tcBorders>
              <w:top w:val="single" w:sz="8" w:space="0" w:color="auto"/>
              <w:left w:val="nil"/>
              <w:bottom w:val="single" w:sz="8" w:space="0" w:color="auto"/>
              <w:right w:val="nil"/>
            </w:tcBorders>
            <w:noWrap/>
            <w:vAlign w:val="bottom"/>
          </w:tcPr>
          <w:p w14:paraId="6AA2BE88"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15470011000001100</w:t>
            </w:r>
          </w:p>
        </w:tc>
        <w:tc>
          <w:tcPr>
            <w:tcW w:w="2835" w:type="dxa"/>
            <w:tcBorders>
              <w:top w:val="single" w:sz="8" w:space="0" w:color="auto"/>
              <w:left w:val="single" w:sz="8" w:space="0" w:color="auto"/>
              <w:bottom w:val="single" w:sz="8" w:space="0" w:color="auto"/>
              <w:right w:val="single" w:sz="8" w:space="0" w:color="auto"/>
            </w:tcBorders>
            <w:noWrap/>
            <w:vAlign w:val="bottom"/>
          </w:tcPr>
          <w:p w14:paraId="00745DB9"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15470111000001104</w:t>
            </w:r>
          </w:p>
        </w:tc>
        <w:tc>
          <w:tcPr>
            <w:tcW w:w="2835" w:type="dxa"/>
            <w:tcBorders>
              <w:top w:val="single" w:sz="8" w:space="0" w:color="auto"/>
              <w:left w:val="nil"/>
              <w:bottom w:val="single" w:sz="8" w:space="0" w:color="auto"/>
              <w:right w:val="single" w:sz="4" w:space="0" w:color="auto"/>
            </w:tcBorders>
            <w:noWrap/>
            <w:vAlign w:val="bottom"/>
          </w:tcPr>
          <w:p w14:paraId="0B3C2E6B" w14:textId="77777777" w:rsidR="002301BB" w:rsidRPr="002301BB" w:rsidRDefault="002301BB" w:rsidP="002301BB">
            <w:pPr>
              <w:spacing w:after="0" w:line="240" w:lineRule="auto"/>
              <w:textboxTightWrap w:val="none"/>
              <w:rPr>
                <w:rFonts w:ascii="Calibri" w:hAnsi="Calibri" w:cs="Calibri"/>
                <w:kern w:val="2"/>
                <w:lang w:eastAsia="en-GB"/>
                <w14:ligatures w14:val="standardContextual"/>
              </w:rPr>
            </w:pPr>
            <w:r w:rsidRPr="002301BB">
              <w:rPr>
                <w:rFonts w:ascii="Calibri" w:hAnsi="Calibri" w:cs="Calibri"/>
                <w:kern w:val="2"/>
                <w:lang w:eastAsia="en-GB"/>
                <w14:ligatures w14:val="standardContextual"/>
              </w:rPr>
              <w:t>Bayer Plc</w:t>
            </w:r>
          </w:p>
        </w:tc>
      </w:tr>
    </w:tbl>
    <w:p w14:paraId="05ED8541" w14:textId="77777777" w:rsidR="00EC08DE" w:rsidRDefault="00EC08DE" w:rsidP="00085A64"/>
    <w:p w14:paraId="3AAB5A51" w14:textId="77777777" w:rsidR="008E3757" w:rsidRDefault="008E3757" w:rsidP="00085A64"/>
    <w:bookmarkEnd w:id="0"/>
    <w:bookmarkEnd w:id="1"/>
    <w:bookmarkEnd w:id="2"/>
    <w:p w14:paraId="6645CE55" w14:textId="77777777" w:rsidR="00EA16A9" w:rsidRDefault="00EA16A9" w:rsidP="0019462E"/>
    <w:sectPr w:rsidR="00EA16A9" w:rsidSect="00FD7B96">
      <w:pgSz w:w="16838" w:h="11906" w:orient="landscape" w:code="9"/>
      <w:pgMar w:top="1021" w:right="1021" w:bottom="1021" w:left="1021" w:header="454" w:footer="55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RMSTRONG, Kirsty (NHS ENGLAND - X24)" w:date="2024-12-11T16:37:00Z" w:initials="KA">
    <w:p w14:paraId="7EEB1C81" w14:textId="5330850C" w:rsidR="00E17395" w:rsidRDefault="00E17395" w:rsidP="00E17395">
      <w:pPr>
        <w:pStyle w:val="CommentText"/>
      </w:pPr>
      <w:r>
        <w:rPr>
          <w:rStyle w:val="CommentReference"/>
        </w:rPr>
        <w:annotationRef/>
      </w:r>
      <w:r>
        <w:t>Need to update - current issue with the monophasic tablets. Seem to have been cut an pasted incorrectly prior to publishing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B1C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9DD70" w16cex:dateUtc="2024-12-11T16:37:00Z">
    <w16cex:extLst>
      <w16:ext w16:uri="{CE6994B0-6A32-4C9F-8C6B-6E91EDA988CE}">
        <cr:reactions xmlns:cr="http://schemas.microsoft.com/office/comments/2020/reactions">
          <cr:reaction reactionType="1">
            <cr:reactionInfo dateUtc="2025-05-14T14:30:22Z">
              <cr:user userId="S::s.parekh@nhs.net::b98132fe-f63e-4b08-b55f-efa33d9f8687" userProvider="AD" userName="PAREKH, Sejal (NHS ENGLAN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B1C81" w16cid:durableId="2CA9DD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3144" w14:textId="77777777" w:rsidR="0002609F" w:rsidRDefault="0002609F" w:rsidP="000C24AF">
      <w:pPr>
        <w:spacing w:after="0"/>
      </w:pPr>
      <w:r>
        <w:separator/>
      </w:r>
    </w:p>
  </w:endnote>
  <w:endnote w:type="continuationSeparator" w:id="0">
    <w:p w14:paraId="552544B1" w14:textId="77777777" w:rsidR="0002609F" w:rsidRDefault="0002609F" w:rsidP="000C24AF">
      <w:pPr>
        <w:spacing w:after="0"/>
      </w:pPr>
      <w:r>
        <w:continuationSeparator/>
      </w:r>
    </w:p>
  </w:endnote>
  <w:endnote w:type="continuationNotice" w:id="1">
    <w:p w14:paraId="69308518" w14:textId="77777777" w:rsidR="0002609F" w:rsidRDefault="0002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08692"/>
      <w:docPartObj>
        <w:docPartGallery w:val="Page Numbers (Bottom of Page)"/>
        <w:docPartUnique/>
      </w:docPartObj>
    </w:sdtPr>
    <w:sdtContent>
      <w:p w14:paraId="06E2547E" w14:textId="77777777" w:rsidR="00BA24D8" w:rsidRDefault="00BA24D8">
        <w:pPr>
          <w:pStyle w:val="Footer"/>
          <w:jc w:val="center"/>
        </w:pPr>
        <w:r>
          <w:fldChar w:fldCharType="begin"/>
        </w:r>
        <w:r>
          <w:instrText>PAGE   \* MERGEFORMAT</w:instrText>
        </w:r>
        <w:r>
          <w:fldChar w:fldCharType="separate"/>
        </w:r>
        <w:r>
          <w:t>2</w:t>
        </w:r>
        <w:r>
          <w:fldChar w:fldCharType="end"/>
        </w:r>
      </w:p>
      <w:p w14:paraId="7ED93691" w14:textId="4B588535" w:rsidR="00BA24D8" w:rsidRPr="00160A01" w:rsidRDefault="00BA24D8" w:rsidP="00BA24D8">
        <w:pPr>
          <w:pStyle w:val="Footer"/>
          <w:rPr>
            <w:sz w:val="22"/>
          </w:rPr>
        </w:pPr>
        <w:r w:rsidRPr="007F5DBC">
          <w:rPr>
            <w:sz w:val="24"/>
          </w:rPr>
          <w:t xml:space="preserve">Publication reference: </w:t>
        </w:r>
        <w:r w:rsidRPr="00491AE9">
          <w:rPr>
            <w:sz w:val="24"/>
          </w:rPr>
          <w:t>PRN</w:t>
        </w:r>
        <w:r w:rsidR="00491AE9">
          <w:rPr>
            <w:sz w:val="24"/>
          </w:rPr>
          <w:t>02207</w:t>
        </w:r>
        <w:r>
          <w:rPr>
            <w:sz w:val="24"/>
          </w:rPr>
          <w:tab/>
        </w:r>
        <w:r w:rsidRPr="3C164792">
          <w:rPr>
            <w:sz w:val="22"/>
          </w:rPr>
          <w:t xml:space="preserve">Valid from: </w:t>
        </w:r>
        <w:r w:rsidR="004B541D" w:rsidRPr="004B541D">
          <w:rPr>
            <w:sz w:val="22"/>
          </w:rPr>
          <w:t>2</w:t>
        </w:r>
        <w:r w:rsidR="007A037C">
          <w:rPr>
            <w:sz w:val="22"/>
          </w:rPr>
          <w:t>9 October</w:t>
        </w:r>
        <w:r w:rsidRPr="004B541D">
          <w:rPr>
            <w:sz w:val="22"/>
          </w:rPr>
          <w:t xml:space="preserve"> 202</w:t>
        </w:r>
        <w:r w:rsidR="004B541D" w:rsidRPr="004B541D">
          <w:rPr>
            <w:sz w:val="22"/>
          </w:rPr>
          <w:t>5</w:t>
        </w:r>
      </w:p>
      <w:p w14:paraId="6E0F49BD" w14:textId="68495D94" w:rsidR="00BA24D8" w:rsidRPr="0038530A" w:rsidRDefault="00BA24D8" w:rsidP="00BA24D8">
        <w:pPr>
          <w:pStyle w:val="Footer"/>
          <w:rPr>
            <w:sz w:val="22"/>
          </w:rPr>
        </w:pPr>
        <w:r w:rsidRPr="0038530A">
          <w:rPr>
            <w:sz w:val="22"/>
          </w:rPr>
          <w:t xml:space="preserve">Version: </w:t>
        </w:r>
        <w:r w:rsidR="00B85950">
          <w:rPr>
            <w:sz w:val="22"/>
          </w:rPr>
          <w:t>3</w:t>
        </w:r>
        <w:r>
          <w:rPr>
            <w:sz w:val="22"/>
          </w:rPr>
          <w:t>.0</w:t>
        </w:r>
        <w:r>
          <w:rPr>
            <w:sz w:val="22"/>
          </w:rPr>
          <w:tab/>
        </w:r>
        <w:r w:rsidRPr="00160A01">
          <w:rPr>
            <w:sz w:val="22"/>
          </w:rPr>
          <w:t xml:space="preserve">Review date: </w:t>
        </w:r>
        <w:r>
          <w:rPr>
            <w:sz w:val="22"/>
          </w:rPr>
          <w:t>September 202</w:t>
        </w:r>
        <w:r w:rsidR="007A037C">
          <w:rPr>
            <w:sz w:val="22"/>
          </w:rPr>
          <w:t>8</w:t>
        </w:r>
      </w:p>
      <w:p w14:paraId="30671999" w14:textId="2D3E7717" w:rsidR="00BA24D8" w:rsidRDefault="00BA24D8" w:rsidP="00BA24D8">
        <w:pPr>
          <w:pStyle w:val="Footer"/>
        </w:pPr>
        <w:r>
          <w:rPr>
            <w:sz w:val="24"/>
          </w:rPr>
          <w:tab/>
        </w:r>
        <w:r>
          <w:rPr>
            <w:sz w:val="24"/>
          </w:rPr>
          <w:tab/>
        </w:r>
        <w:r w:rsidRPr="00160A01">
          <w:rPr>
            <w:sz w:val="22"/>
          </w:rPr>
          <w:t>Expiry date:</w:t>
        </w:r>
        <w:r>
          <w:rPr>
            <w:sz w:val="22"/>
          </w:rPr>
          <w:t xml:space="preserve"> </w:t>
        </w:r>
        <w:r w:rsidR="007A037C">
          <w:rPr>
            <w:sz w:val="22"/>
          </w:rPr>
          <w:t>28 February</w:t>
        </w:r>
        <w:r>
          <w:rPr>
            <w:sz w:val="22"/>
          </w:rPr>
          <w:t xml:space="preserve"> 202</w:t>
        </w:r>
        <w:r w:rsidR="007A037C">
          <w:rPr>
            <w:sz w:val="22"/>
          </w:rPr>
          <w:t>9</w:t>
        </w:r>
      </w:p>
    </w:sdtContent>
  </w:sdt>
  <w:p w14:paraId="21C9A88F" w14:textId="77777777" w:rsidR="00BF0533" w:rsidRDefault="00BF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92093"/>
      <w:docPartObj>
        <w:docPartGallery w:val="Page Numbers (Bottom of Page)"/>
        <w:docPartUnique/>
      </w:docPartObj>
    </w:sdtPr>
    <w:sdtContent>
      <w:p w14:paraId="7033FCA6" w14:textId="14085569" w:rsidR="00BF0533" w:rsidRDefault="00BF0533">
        <w:pPr>
          <w:pStyle w:val="Footer"/>
          <w:jc w:val="center"/>
        </w:pPr>
        <w:r>
          <w:fldChar w:fldCharType="begin"/>
        </w:r>
        <w:r>
          <w:instrText>PAGE   \* MERGEFORMAT</w:instrText>
        </w:r>
        <w:r>
          <w:fldChar w:fldCharType="separate"/>
        </w:r>
        <w:r>
          <w:t>2</w:t>
        </w:r>
        <w:r>
          <w:fldChar w:fldCharType="end"/>
        </w:r>
      </w:p>
    </w:sdtContent>
  </w:sdt>
  <w:p w14:paraId="027EA271" w14:textId="5195859F" w:rsidR="005004E7" w:rsidRPr="00744115" w:rsidRDefault="005004E7">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55298"/>
      <w:docPartObj>
        <w:docPartGallery w:val="Page Numbers (Bottom of Page)"/>
        <w:docPartUnique/>
      </w:docPartObj>
    </w:sdtPr>
    <w:sdtContent>
      <w:p w14:paraId="7238B09B" w14:textId="77777777" w:rsidR="00D81216" w:rsidRDefault="00D81216">
        <w:pPr>
          <w:pStyle w:val="Footer"/>
          <w:jc w:val="center"/>
        </w:pPr>
        <w:r>
          <w:fldChar w:fldCharType="begin"/>
        </w:r>
        <w:r>
          <w:instrText>PAGE   \* MERGEFORMAT</w:instrText>
        </w:r>
        <w:r>
          <w:fldChar w:fldCharType="separate"/>
        </w:r>
        <w:r>
          <w:t>2</w:t>
        </w:r>
        <w:r>
          <w:fldChar w:fldCharType="end"/>
        </w:r>
      </w:p>
      <w:p w14:paraId="7C9A4CEA" w14:textId="6F9923A5" w:rsidR="00D81216" w:rsidRPr="00160A01" w:rsidRDefault="00D81216" w:rsidP="00D81216">
        <w:pPr>
          <w:pStyle w:val="Footer"/>
          <w:rPr>
            <w:sz w:val="22"/>
          </w:rPr>
        </w:pPr>
        <w:r w:rsidRPr="007F5DBC">
          <w:rPr>
            <w:sz w:val="24"/>
          </w:rPr>
          <w:t xml:space="preserve">Publication reference: </w:t>
        </w:r>
        <w:r w:rsidRPr="00491AE9">
          <w:rPr>
            <w:sz w:val="24"/>
          </w:rPr>
          <w:t>PR</w:t>
        </w:r>
        <w:r w:rsidR="00491AE9">
          <w:rPr>
            <w:sz w:val="24"/>
          </w:rPr>
          <w:t>N02207</w:t>
        </w:r>
        <w:r>
          <w:rPr>
            <w:sz w:val="24"/>
          </w:rPr>
          <w:tab/>
        </w:r>
        <w:r w:rsidRPr="3C164792">
          <w:rPr>
            <w:sz w:val="22"/>
          </w:rPr>
          <w:t xml:space="preserve">Valid from: </w:t>
        </w:r>
        <w:r w:rsidR="00C768C4">
          <w:rPr>
            <w:sz w:val="22"/>
          </w:rPr>
          <w:t>29 October</w:t>
        </w:r>
        <w:r w:rsidRPr="004B541D">
          <w:rPr>
            <w:sz w:val="22"/>
          </w:rPr>
          <w:t xml:space="preserve"> 202</w:t>
        </w:r>
        <w:r w:rsidR="004B541D">
          <w:rPr>
            <w:sz w:val="22"/>
          </w:rPr>
          <w:t>5</w:t>
        </w:r>
      </w:p>
      <w:p w14:paraId="4685A199" w14:textId="309B47DA" w:rsidR="00D81216" w:rsidRPr="0038530A" w:rsidRDefault="00D81216" w:rsidP="00D81216">
        <w:pPr>
          <w:pStyle w:val="Footer"/>
          <w:rPr>
            <w:sz w:val="22"/>
          </w:rPr>
        </w:pPr>
        <w:r w:rsidRPr="0038530A">
          <w:rPr>
            <w:sz w:val="22"/>
          </w:rPr>
          <w:t xml:space="preserve">Version: </w:t>
        </w:r>
        <w:r w:rsidR="00B23DE2">
          <w:rPr>
            <w:sz w:val="22"/>
          </w:rPr>
          <w:t>3</w:t>
        </w:r>
        <w:r>
          <w:rPr>
            <w:sz w:val="22"/>
          </w:rPr>
          <w:t>.0</w:t>
        </w:r>
        <w:r>
          <w:rPr>
            <w:sz w:val="22"/>
          </w:rPr>
          <w:tab/>
        </w:r>
        <w:r w:rsidRPr="00160A01">
          <w:rPr>
            <w:sz w:val="22"/>
          </w:rPr>
          <w:t xml:space="preserve">Review date: </w:t>
        </w:r>
        <w:r>
          <w:rPr>
            <w:sz w:val="22"/>
          </w:rPr>
          <w:t>September 202</w:t>
        </w:r>
        <w:r w:rsidR="002B2614">
          <w:rPr>
            <w:sz w:val="22"/>
          </w:rPr>
          <w:t>8</w:t>
        </w:r>
      </w:p>
      <w:p w14:paraId="315D1940" w14:textId="2876C0D0" w:rsidR="00D81216" w:rsidRDefault="00D81216" w:rsidP="00D81216">
        <w:pPr>
          <w:pStyle w:val="Footer"/>
        </w:pPr>
        <w:r>
          <w:rPr>
            <w:sz w:val="24"/>
          </w:rPr>
          <w:tab/>
        </w:r>
        <w:r>
          <w:rPr>
            <w:sz w:val="24"/>
          </w:rPr>
          <w:tab/>
        </w:r>
        <w:r w:rsidRPr="00160A01">
          <w:rPr>
            <w:sz w:val="22"/>
          </w:rPr>
          <w:t>Expiry date:</w:t>
        </w:r>
        <w:r w:rsidR="002B2614">
          <w:rPr>
            <w:sz w:val="22"/>
          </w:rPr>
          <w:t xml:space="preserve"> 28 </w:t>
        </w:r>
        <w:r w:rsidR="0027152A">
          <w:rPr>
            <w:sz w:val="22"/>
          </w:rPr>
          <w:t>Fe</w:t>
        </w:r>
        <w:r w:rsidR="002B2614">
          <w:rPr>
            <w:sz w:val="22"/>
          </w:rPr>
          <w:t>bruary</w:t>
        </w:r>
        <w:r>
          <w:rPr>
            <w:sz w:val="22"/>
          </w:rPr>
          <w:t xml:space="preserve"> 202</w:t>
        </w:r>
        <w:r w:rsidR="002B2614">
          <w:rPr>
            <w:sz w:val="22"/>
          </w:rPr>
          <w:t>9</w:t>
        </w:r>
      </w:p>
    </w:sdtContent>
  </w:sdt>
  <w:p w14:paraId="651BDA2B" w14:textId="620F3464" w:rsidR="00B72132" w:rsidRPr="00F64AB1" w:rsidRDefault="00B72132" w:rsidP="00F64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CBA3" w14:textId="77777777" w:rsidR="0002609F" w:rsidRDefault="0002609F" w:rsidP="000C24AF">
      <w:pPr>
        <w:spacing w:after="0"/>
      </w:pPr>
      <w:r>
        <w:separator/>
      </w:r>
    </w:p>
  </w:footnote>
  <w:footnote w:type="continuationSeparator" w:id="0">
    <w:p w14:paraId="3C71EF73" w14:textId="77777777" w:rsidR="0002609F" w:rsidRDefault="0002609F" w:rsidP="000C24AF">
      <w:pPr>
        <w:spacing w:after="0"/>
      </w:pPr>
      <w:r>
        <w:continuationSeparator/>
      </w:r>
    </w:p>
  </w:footnote>
  <w:footnote w:type="continuationNotice" w:id="1">
    <w:p w14:paraId="4EE9F4A6" w14:textId="77777777" w:rsidR="0002609F" w:rsidRDefault="0002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D90887" w14:paraId="467E6B16" w14:textId="77777777" w:rsidTr="004C5C3C">
      <w:trPr>
        <w:trHeight w:val="642"/>
      </w:trPr>
      <w:sdt>
        <w:sdtPr>
          <w:rPr>
            <w:color w:val="231F20" w:themeColor="background1"/>
          </w:rPr>
          <w:alias w:val="Protective Marking"/>
          <w:tag w:val="Protective Marking"/>
          <w:id w:val="-562941664"/>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769B7FB0" w14:textId="77777777" w:rsidR="00D90887" w:rsidRDefault="00D90887" w:rsidP="00D90887">
              <w:pPr>
                <w:pStyle w:val="Classification"/>
              </w:pPr>
              <w:r>
                <w:rPr>
                  <w:color w:val="231F20" w:themeColor="background1"/>
                </w:rPr>
                <w:t>Classification: Official</w:t>
              </w:r>
            </w:p>
          </w:tc>
        </w:sdtContent>
      </w:sdt>
    </w:tr>
  </w:tbl>
  <w:p w14:paraId="46AC83C0" w14:textId="347ED5EB" w:rsidR="00F25CC7" w:rsidRPr="00B72132" w:rsidRDefault="008D78D4"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6432" behindDoc="1" locked="0" layoutInCell="1" allowOverlap="1" wp14:anchorId="00E15FEF" wp14:editId="44FE9B97">
          <wp:simplePos x="0" y="0"/>
          <wp:positionH relativeFrom="page">
            <wp:align>right</wp:align>
          </wp:positionH>
          <wp:positionV relativeFrom="page">
            <wp:posOffset>-131445</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1359747066" name="Picture 1359747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0995C754" w14:textId="77777777" w:rsidTr="00A449E4">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EC0E81F" w14:textId="4C80CBE8" w:rsidR="00B72132" w:rsidRDefault="003A30E3" w:rsidP="00B72132">
              <w:pPr>
                <w:pStyle w:val="Classification"/>
              </w:pPr>
              <w:r>
                <w:rPr>
                  <w:color w:val="231F20" w:themeColor="background1"/>
                </w:rPr>
                <w:t>Classification: Official</w:t>
              </w:r>
            </w:p>
          </w:tc>
        </w:sdtContent>
      </w:sdt>
    </w:tr>
  </w:tbl>
  <w:p w14:paraId="520CA1BA"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3F5DDD4A" wp14:editId="0EFF25B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9A54FF6" w14:textId="77777777" w:rsidR="00B72132" w:rsidRDefault="00B72132" w:rsidP="00B72132">
    <w:pPr>
      <w:pStyle w:val="Header"/>
      <w:pBdr>
        <w:bottom w:val="none" w:sz="0" w:space="0" w:color="auto"/>
      </w:pBdr>
    </w:pPr>
  </w:p>
  <w:p w14:paraId="65F95FB7" w14:textId="77777777" w:rsidR="00B72132" w:rsidRPr="001D243C" w:rsidRDefault="00B72132" w:rsidP="00B72132">
    <w:pPr>
      <w:pStyle w:val="Header"/>
      <w:pBdr>
        <w:bottom w:val="none" w:sz="0" w:space="0" w:color="auto"/>
      </w:pBdr>
    </w:pPr>
  </w:p>
  <w:p w14:paraId="2AD9D708"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CEAC" w14:textId="77777777" w:rsidR="00FD7B96" w:rsidRPr="00B72132" w:rsidRDefault="00FD7B96" w:rsidP="00B72132">
    <w:pPr>
      <w:pStyle w:val="Header"/>
      <w:pBdr>
        <w:bottom w:val="none" w:sz="0" w:space="0" w:color="auto"/>
      </w:pBdr>
    </w:pPr>
    <w:r w:rsidRPr="00DD3B24">
      <w:rPr>
        <w:noProof/>
      </w:rPr>
      <w:drawing>
        <wp:anchor distT="0" distB="0" distL="114300" distR="114300" simplePos="0" relativeHeight="251664384" behindDoc="1" locked="1" layoutInCell="1" allowOverlap="0" wp14:anchorId="09B257C2" wp14:editId="19DD549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330613469" name="Picture 330613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4010"/>
    <w:multiLevelType w:val="hybridMultilevel"/>
    <w:tmpl w:val="E37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622A3A"/>
    <w:multiLevelType w:val="hybridMultilevel"/>
    <w:tmpl w:val="652815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BE70D9"/>
    <w:multiLevelType w:val="hybridMultilevel"/>
    <w:tmpl w:val="27D8D2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7"/>
  </w:num>
  <w:num w:numId="3" w16cid:durableId="570964709">
    <w:abstractNumId w:val="5"/>
  </w:num>
  <w:num w:numId="4" w16cid:durableId="665942341">
    <w:abstractNumId w:val="10"/>
  </w:num>
  <w:num w:numId="5" w16cid:durableId="519971510">
    <w:abstractNumId w:val="9"/>
  </w:num>
  <w:num w:numId="6" w16cid:durableId="491676303">
    <w:abstractNumId w:val="3"/>
  </w:num>
  <w:num w:numId="7" w16cid:durableId="1449928546">
    <w:abstractNumId w:val="6"/>
  </w:num>
  <w:num w:numId="8" w16cid:durableId="1301619992">
    <w:abstractNumId w:val="2"/>
  </w:num>
  <w:num w:numId="9" w16cid:durableId="2078892941">
    <w:abstractNumId w:val="8"/>
  </w:num>
  <w:num w:numId="10" w16cid:durableId="837308867">
    <w:abstractNumId w:val="4"/>
  </w:num>
  <w:num w:numId="11" w16cid:durableId="80757311">
    <w:abstractNumId w:val="1"/>
  </w:num>
  <w:num w:numId="12" w16cid:durableId="1690257150">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STRONG, Kirsty (NHS ENGLAND - X24)">
    <w15:presenceInfo w15:providerId="AD" w15:userId="S::kirsty.armstrong7@nhs.net::58cf7f5e-42fc-4187-a0a9-b29062bf8f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C7"/>
    <w:rsid w:val="00002095"/>
    <w:rsid w:val="0000385F"/>
    <w:rsid w:val="0000416F"/>
    <w:rsid w:val="000108B8"/>
    <w:rsid w:val="0001164C"/>
    <w:rsid w:val="0002609F"/>
    <w:rsid w:val="000274B9"/>
    <w:rsid w:val="0003185C"/>
    <w:rsid w:val="00031B0F"/>
    <w:rsid w:val="00031FD0"/>
    <w:rsid w:val="00033831"/>
    <w:rsid w:val="00055630"/>
    <w:rsid w:val="00061452"/>
    <w:rsid w:val="00065B63"/>
    <w:rsid w:val="00066F1B"/>
    <w:rsid w:val="000733A2"/>
    <w:rsid w:val="00076E72"/>
    <w:rsid w:val="00080C57"/>
    <w:rsid w:val="000816CE"/>
    <w:rsid w:val="0008313C"/>
    <w:rsid w:val="00085A64"/>
    <w:rsid w:val="000863E2"/>
    <w:rsid w:val="000907BD"/>
    <w:rsid w:val="000935A1"/>
    <w:rsid w:val="00095621"/>
    <w:rsid w:val="00095B9C"/>
    <w:rsid w:val="000A266D"/>
    <w:rsid w:val="000A3FC2"/>
    <w:rsid w:val="000A64E4"/>
    <w:rsid w:val="000A73FC"/>
    <w:rsid w:val="000B3541"/>
    <w:rsid w:val="000C0633"/>
    <w:rsid w:val="000C2447"/>
    <w:rsid w:val="000C24AF"/>
    <w:rsid w:val="000D1D3C"/>
    <w:rsid w:val="000D345C"/>
    <w:rsid w:val="000D39C3"/>
    <w:rsid w:val="000D6DEA"/>
    <w:rsid w:val="000E0965"/>
    <w:rsid w:val="000E2EBE"/>
    <w:rsid w:val="000E7659"/>
    <w:rsid w:val="00101883"/>
    <w:rsid w:val="0010192E"/>
    <w:rsid w:val="00103F4D"/>
    <w:rsid w:val="0010592F"/>
    <w:rsid w:val="0010714A"/>
    <w:rsid w:val="00113EEC"/>
    <w:rsid w:val="00121A3A"/>
    <w:rsid w:val="00127C11"/>
    <w:rsid w:val="00140A59"/>
    <w:rsid w:val="001454F0"/>
    <w:rsid w:val="00145E1E"/>
    <w:rsid w:val="00150DCC"/>
    <w:rsid w:val="00153652"/>
    <w:rsid w:val="001666D1"/>
    <w:rsid w:val="001704CD"/>
    <w:rsid w:val="001716E5"/>
    <w:rsid w:val="00194255"/>
    <w:rsid w:val="0019462E"/>
    <w:rsid w:val="001A5B42"/>
    <w:rsid w:val="001C3565"/>
    <w:rsid w:val="001C4D90"/>
    <w:rsid w:val="001C6937"/>
    <w:rsid w:val="001D1247"/>
    <w:rsid w:val="001D21C1"/>
    <w:rsid w:val="001D243C"/>
    <w:rsid w:val="001D4A11"/>
    <w:rsid w:val="001D6C82"/>
    <w:rsid w:val="001E004E"/>
    <w:rsid w:val="001E27F8"/>
    <w:rsid w:val="001F3126"/>
    <w:rsid w:val="001F64DE"/>
    <w:rsid w:val="00203E10"/>
    <w:rsid w:val="00214DB3"/>
    <w:rsid w:val="0022134A"/>
    <w:rsid w:val="0022596F"/>
    <w:rsid w:val="002301BB"/>
    <w:rsid w:val="00240B6E"/>
    <w:rsid w:val="002435A7"/>
    <w:rsid w:val="00246075"/>
    <w:rsid w:val="00251B94"/>
    <w:rsid w:val="00260C8A"/>
    <w:rsid w:val="00270DAD"/>
    <w:rsid w:val="0027152A"/>
    <w:rsid w:val="0027667C"/>
    <w:rsid w:val="00276EAB"/>
    <w:rsid w:val="002855F7"/>
    <w:rsid w:val="00294488"/>
    <w:rsid w:val="002A3F48"/>
    <w:rsid w:val="002A45CD"/>
    <w:rsid w:val="002B24BD"/>
    <w:rsid w:val="002B2614"/>
    <w:rsid w:val="002B3989"/>
    <w:rsid w:val="002B3BFD"/>
    <w:rsid w:val="002C0816"/>
    <w:rsid w:val="002C2B41"/>
    <w:rsid w:val="002C4080"/>
    <w:rsid w:val="002F131C"/>
    <w:rsid w:val="002F7B8F"/>
    <w:rsid w:val="00313FCE"/>
    <w:rsid w:val="0033715E"/>
    <w:rsid w:val="003376B9"/>
    <w:rsid w:val="00340F1D"/>
    <w:rsid w:val="0034439B"/>
    <w:rsid w:val="003444C7"/>
    <w:rsid w:val="0034560E"/>
    <w:rsid w:val="0035386A"/>
    <w:rsid w:val="0035464A"/>
    <w:rsid w:val="0037033E"/>
    <w:rsid w:val="0037334B"/>
    <w:rsid w:val="003761C6"/>
    <w:rsid w:val="00384FA1"/>
    <w:rsid w:val="003924FD"/>
    <w:rsid w:val="003A30E3"/>
    <w:rsid w:val="003A4B22"/>
    <w:rsid w:val="003B066B"/>
    <w:rsid w:val="003B2686"/>
    <w:rsid w:val="003B6BB4"/>
    <w:rsid w:val="003D01CD"/>
    <w:rsid w:val="003D0917"/>
    <w:rsid w:val="003D3A42"/>
    <w:rsid w:val="003D3C14"/>
    <w:rsid w:val="003D51D0"/>
    <w:rsid w:val="003E7A46"/>
    <w:rsid w:val="003F7B0C"/>
    <w:rsid w:val="0040404C"/>
    <w:rsid w:val="00410DE9"/>
    <w:rsid w:val="00411D1D"/>
    <w:rsid w:val="00420E7F"/>
    <w:rsid w:val="00423FAF"/>
    <w:rsid w:val="00427636"/>
    <w:rsid w:val="00430131"/>
    <w:rsid w:val="00432541"/>
    <w:rsid w:val="00443088"/>
    <w:rsid w:val="00455A3F"/>
    <w:rsid w:val="004702ED"/>
    <w:rsid w:val="00472D33"/>
    <w:rsid w:val="00480E21"/>
    <w:rsid w:val="0048279C"/>
    <w:rsid w:val="00484943"/>
    <w:rsid w:val="00491977"/>
    <w:rsid w:val="00491AE9"/>
    <w:rsid w:val="00497951"/>
    <w:rsid w:val="00497DE0"/>
    <w:rsid w:val="004A635B"/>
    <w:rsid w:val="004B541D"/>
    <w:rsid w:val="004C2AF2"/>
    <w:rsid w:val="004C79CA"/>
    <w:rsid w:val="004D763F"/>
    <w:rsid w:val="004E4BA3"/>
    <w:rsid w:val="004F0A67"/>
    <w:rsid w:val="004F1337"/>
    <w:rsid w:val="004F28CE"/>
    <w:rsid w:val="004F6303"/>
    <w:rsid w:val="005004E7"/>
    <w:rsid w:val="005014AF"/>
    <w:rsid w:val="00510F5F"/>
    <w:rsid w:val="00523CE2"/>
    <w:rsid w:val="0052756A"/>
    <w:rsid w:val="00527C5D"/>
    <w:rsid w:val="00534180"/>
    <w:rsid w:val="00543AA7"/>
    <w:rsid w:val="00544C0C"/>
    <w:rsid w:val="00545028"/>
    <w:rsid w:val="00553743"/>
    <w:rsid w:val="005553CC"/>
    <w:rsid w:val="00562216"/>
    <w:rsid w:val="005634F0"/>
    <w:rsid w:val="005673D1"/>
    <w:rsid w:val="00577A42"/>
    <w:rsid w:val="0058121B"/>
    <w:rsid w:val="00584D6A"/>
    <w:rsid w:val="00586708"/>
    <w:rsid w:val="00590D21"/>
    <w:rsid w:val="005A3B89"/>
    <w:rsid w:val="005B6CD5"/>
    <w:rsid w:val="005C068C"/>
    <w:rsid w:val="005C2644"/>
    <w:rsid w:val="005D073D"/>
    <w:rsid w:val="005D0777"/>
    <w:rsid w:val="005D4E5A"/>
    <w:rsid w:val="005D61B4"/>
    <w:rsid w:val="005D6EF3"/>
    <w:rsid w:val="005E044E"/>
    <w:rsid w:val="005F0359"/>
    <w:rsid w:val="00601DBA"/>
    <w:rsid w:val="00613251"/>
    <w:rsid w:val="00614F79"/>
    <w:rsid w:val="00615584"/>
    <w:rsid w:val="00616632"/>
    <w:rsid w:val="00621CE6"/>
    <w:rsid w:val="0062250D"/>
    <w:rsid w:val="0063247C"/>
    <w:rsid w:val="0063502E"/>
    <w:rsid w:val="006437F5"/>
    <w:rsid w:val="006510EF"/>
    <w:rsid w:val="0065222D"/>
    <w:rsid w:val="00654EE0"/>
    <w:rsid w:val="00655AF0"/>
    <w:rsid w:val="006679DE"/>
    <w:rsid w:val="00671B7A"/>
    <w:rsid w:val="00675E35"/>
    <w:rsid w:val="00684633"/>
    <w:rsid w:val="00684C60"/>
    <w:rsid w:val="00692041"/>
    <w:rsid w:val="00694FC4"/>
    <w:rsid w:val="006D02E8"/>
    <w:rsid w:val="006E0C21"/>
    <w:rsid w:val="006E2FE7"/>
    <w:rsid w:val="006F0FDE"/>
    <w:rsid w:val="006F37F0"/>
    <w:rsid w:val="00702B4D"/>
    <w:rsid w:val="007030FB"/>
    <w:rsid w:val="00710E40"/>
    <w:rsid w:val="0071497F"/>
    <w:rsid w:val="00723A85"/>
    <w:rsid w:val="00724852"/>
    <w:rsid w:val="0073429A"/>
    <w:rsid w:val="00740573"/>
    <w:rsid w:val="00744115"/>
    <w:rsid w:val="00753953"/>
    <w:rsid w:val="007567D9"/>
    <w:rsid w:val="00760F7F"/>
    <w:rsid w:val="00761E45"/>
    <w:rsid w:val="00763FA3"/>
    <w:rsid w:val="007663CB"/>
    <w:rsid w:val="00776A89"/>
    <w:rsid w:val="00776F49"/>
    <w:rsid w:val="00793191"/>
    <w:rsid w:val="00796E96"/>
    <w:rsid w:val="00796F45"/>
    <w:rsid w:val="007A037C"/>
    <w:rsid w:val="007A1D0E"/>
    <w:rsid w:val="007D7E52"/>
    <w:rsid w:val="007E4138"/>
    <w:rsid w:val="007E6C52"/>
    <w:rsid w:val="007F5954"/>
    <w:rsid w:val="007F5DBC"/>
    <w:rsid w:val="00801629"/>
    <w:rsid w:val="00802B48"/>
    <w:rsid w:val="0080528C"/>
    <w:rsid w:val="008102A4"/>
    <w:rsid w:val="00811505"/>
    <w:rsid w:val="00811876"/>
    <w:rsid w:val="00813818"/>
    <w:rsid w:val="0081544B"/>
    <w:rsid w:val="00833D93"/>
    <w:rsid w:val="00850D27"/>
    <w:rsid w:val="00853A57"/>
    <w:rsid w:val="00855D19"/>
    <w:rsid w:val="00856061"/>
    <w:rsid w:val="008625E8"/>
    <w:rsid w:val="00864206"/>
    <w:rsid w:val="00864885"/>
    <w:rsid w:val="008744B1"/>
    <w:rsid w:val="00880D4A"/>
    <w:rsid w:val="00897829"/>
    <w:rsid w:val="008B1EAC"/>
    <w:rsid w:val="008C7569"/>
    <w:rsid w:val="008D2816"/>
    <w:rsid w:val="008D50ED"/>
    <w:rsid w:val="008D5572"/>
    <w:rsid w:val="008D5953"/>
    <w:rsid w:val="008D78D4"/>
    <w:rsid w:val="008E2296"/>
    <w:rsid w:val="008E3757"/>
    <w:rsid w:val="00900F26"/>
    <w:rsid w:val="0090358E"/>
    <w:rsid w:val="00905552"/>
    <w:rsid w:val="00917854"/>
    <w:rsid w:val="009217A1"/>
    <w:rsid w:val="00922AD1"/>
    <w:rsid w:val="0093353A"/>
    <w:rsid w:val="00935806"/>
    <w:rsid w:val="0094128E"/>
    <w:rsid w:val="00943EC5"/>
    <w:rsid w:val="00952080"/>
    <w:rsid w:val="00970A87"/>
    <w:rsid w:val="00970C89"/>
    <w:rsid w:val="0097353D"/>
    <w:rsid w:val="009804DF"/>
    <w:rsid w:val="00987163"/>
    <w:rsid w:val="00990E1C"/>
    <w:rsid w:val="009A0001"/>
    <w:rsid w:val="009A196A"/>
    <w:rsid w:val="009B0321"/>
    <w:rsid w:val="009B47EA"/>
    <w:rsid w:val="009C27F0"/>
    <w:rsid w:val="009D019A"/>
    <w:rsid w:val="009D24D4"/>
    <w:rsid w:val="009D3839"/>
    <w:rsid w:val="009F09FD"/>
    <w:rsid w:val="009F1650"/>
    <w:rsid w:val="009F4912"/>
    <w:rsid w:val="009F5929"/>
    <w:rsid w:val="009F7412"/>
    <w:rsid w:val="00A02EEF"/>
    <w:rsid w:val="00A03469"/>
    <w:rsid w:val="00A124B9"/>
    <w:rsid w:val="00A20737"/>
    <w:rsid w:val="00A24407"/>
    <w:rsid w:val="00A268E2"/>
    <w:rsid w:val="00A37438"/>
    <w:rsid w:val="00A41585"/>
    <w:rsid w:val="00A646D7"/>
    <w:rsid w:val="00A66950"/>
    <w:rsid w:val="00A75B7E"/>
    <w:rsid w:val="00A812B3"/>
    <w:rsid w:val="00A93C40"/>
    <w:rsid w:val="00AA0E02"/>
    <w:rsid w:val="00AA177D"/>
    <w:rsid w:val="00AB3248"/>
    <w:rsid w:val="00AB4AFE"/>
    <w:rsid w:val="00AB731C"/>
    <w:rsid w:val="00AC103C"/>
    <w:rsid w:val="00AC7958"/>
    <w:rsid w:val="00AD333F"/>
    <w:rsid w:val="00AE12E0"/>
    <w:rsid w:val="00AE45DB"/>
    <w:rsid w:val="00AE554A"/>
    <w:rsid w:val="00AE6B55"/>
    <w:rsid w:val="00AF52F2"/>
    <w:rsid w:val="00AF70CD"/>
    <w:rsid w:val="00AF7217"/>
    <w:rsid w:val="00B051B5"/>
    <w:rsid w:val="00B10AEE"/>
    <w:rsid w:val="00B128B4"/>
    <w:rsid w:val="00B15B9A"/>
    <w:rsid w:val="00B23DE2"/>
    <w:rsid w:val="00B42FAF"/>
    <w:rsid w:val="00B44DD5"/>
    <w:rsid w:val="00B57496"/>
    <w:rsid w:val="00B72132"/>
    <w:rsid w:val="00B738AB"/>
    <w:rsid w:val="00B77C41"/>
    <w:rsid w:val="00B81669"/>
    <w:rsid w:val="00B85950"/>
    <w:rsid w:val="00B907B5"/>
    <w:rsid w:val="00B96947"/>
    <w:rsid w:val="00BA1E13"/>
    <w:rsid w:val="00BA24D8"/>
    <w:rsid w:val="00BA6DA0"/>
    <w:rsid w:val="00BC1556"/>
    <w:rsid w:val="00BC294E"/>
    <w:rsid w:val="00BC5961"/>
    <w:rsid w:val="00BC5F53"/>
    <w:rsid w:val="00BC78C6"/>
    <w:rsid w:val="00BD4ACC"/>
    <w:rsid w:val="00BE0046"/>
    <w:rsid w:val="00BE63C0"/>
    <w:rsid w:val="00BE6447"/>
    <w:rsid w:val="00BF0533"/>
    <w:rsid w:val="00BF43A9"/>
    <w:rsid w:val="00C01D97"/>
    <w:rsid w:val="00C021AB"/>
    <w:rsid w:val="00C03D72"/>
    <w:rsid w:val="00C07F6B"/>
    <w:rsid w:val="00C15176"/>
    <w:rsid w:val="00C2506B"/>
    <w:rsid w:val="00C30626"/>
    <w:rsid w:val="00C37063"/>
    <w:rsid w:val="00C3731C"/>
    <w:rsid w:val="00C40AAB"/>
    <w:rsid w:val="00C44D56"/>
    <w:rsid w:val="00C52947"/>
    <w:rsid w:val="00C63658"/>
    <w:rsid w:val="00C67367"/>
    <w:rsid w:val="00C768C4"/>
    <w:rsid w:val="00C846FE"/>
    <w:rsid w:val="00C85F4A"/>
    <w:rsid w:val="00C92413"/>
    <w:rsid w:val="00C94B36"/>
    <w:rsid w:val="00CA0FAC"/>
    <w:rsid w:val="00CA3D50"/>
    <w:rsid w:val="00CA667A"/>
    <w:rsid w:val="00CB18E7"/>
    <w:rsid w:val="00CC7B1C"/>
    <w:rsid w:val="00CE086C"/>
    <w:rsid w:val="00CF0052"/>
    <w:rsid w:val="00CF4C68"/>
    <w:rsid w:val="00CF7DA5"/>
    <w:rsid w:val="00D064C9"/>
    <w:rsid w:val="00D07531"/>
    <w:rsid w:val="00D2315A"/>
    <w:rsid w:val="00D356F8"/>
    <w:rsid w:val="00D50FF0"/>
    <w:rsid w:val="00D63EF8"/>
    <w:rsid w:val="00D66537"/>
    <w:rsid w:val="00D71D92"/>
    <w:rsid w:val="00D81216"/>
    <w:rsid w:val="00D8149B"/>
    <w:rsid w:val="00D83774"/>
    <w:rsid w:val="00D90887"/>
    <w:rsid w:val="00D92BBC"/>
    <w:rsid w:val="00D93D0D"/>
    <w:rsid w:val="00DA14FE"/>
    <w:rsid w:val="00DA589B"/>
    <w:rsid w:val="00DB2755"/>
    <w:rsid w:val="00DC55F9"/>
    <w:rsid w:val="00DC7A9D"/>
    <w:rsid w:val="00DD1729"/>
    <w:rsid w:val="00DD3B24"/>
    <w:rsid w:val="00DD77F0"/>
    <w:rsid w:val="00DD7C30"/>
    <w:rsid w:val="00DE0B31"/>
    <w:rsid w:val="00DE3AB8"/>
    <w:rsid w:val="00DF4DBC"/>
    <w:rsid w:val="00E17395"/>
    <w:rsid w:val="00E45C31"/>
    <w:rsid w:val="00E5122E"/>
    <w:rsid w:val="00E5704B"/>
    <w:rsid w:val="00E62F34"/>
    <w:rsid w:val="00E66174"/>
    <w:rsid w:val="00E72F08"/>
    <w:rsid w:val="00E85295"/>
    <w:rsid w:val="00E92AA8"/>
    <w:rsid w:val="00EA16A9"/>
    <w:rsid w:val="00EA46DE"/>
    <w:rsid w:val="00EB1195"/>
    <w:rsid w:val="00EB4C88"/>
    <w:rsid w:val="00EB6372"/>
    <w:rsid w:val="00EC08DE"/>
    <w:rsid w:val="00EC37E3"/>
    <w:rsid w:val="00EC5299"/>
    <w:rsid w:val="00ED3649"/>
    <w:rsid w:val="00EE0481"/>
    <w:rsid w:val="00F06F3B"/>
    <w:rsid w:val="00F13D85"/>
    <w:rsid w:val="00F25CC7"/>
    <w:rsid w:val="00F42EB9"/>
    <w:rsid w:val="00F46773"/>
    <w:rsid w:val="00F52325"/>
    <w:rsid w:val="00F523E6"/>
    <w:rsid w:val="00F5718C"/>
    <w:rsid w:val="00F609E1"/>
    <w:rsid w:val="00F61204"/>
    <w:rsid w:val="00F62F6D"/>
    <w:rsid w:val="00F64AB1"/>
    <w:rsid w:val="00F721B3"/>
    <w:rsid w:val="00F8486E"/>
    <w:rsid w:val="00F8709D"/>
    <w:rsid w:val="00F87A10"/>
    <w:rsid w:val="00F94E17"/>
    <w:rsid w:val="00FA06B0"/>
    <w:rsid w:val="00FA30C8"/>
    <w:rsid w:val="00FA4212"/>
    <w:rsid w:val="00FB4899"/>
    <w:rsid w:val="00FB4EB0"/>
    <w:rsid w:val="00FC3C34"/>
    <w:rsid w:val="00FC5FC9"/>
    <w:rsid w:val="00FC6385"/>
    <w:rsid w:val="00FD7B96"/>
    <w:rsid w:val="00FE211E"/>
    <w:rsid w:val="00FE41A3"/>
    <w:rsid w:val="00FE59C4"/>
    <w:rsid w:val="00FF2A44"/>
    <w:rsid w:val="00FF5782"/>
    <w:rsid w:val="0666973D"/>
    <w:rsid w:val="06F4CA44"/>
    <w:rsid w:val="091D8507"/>
    <w:rsid w:val="0F59F35F"/>
    <w:rsid w:val="0F5B22AF"/>
    <w:rsid w:val="109002AC"/>
    <w:rsid w:val="1A789425"/>
    <w:rsid w:val="3053A186"/>
    <w:rsid w:val="4049C7F4"/>
    <w:rsid w:val="4483AEDD"/>
    <w:rsid w:val="460A3D29"/>
    <w:rsid w:val="48A90EB3"/>
    <w:rsid w:val="4E37AF75"/>
    <w:rsid w:val="5A04D138"/>
    <w:rsid w:val="5A4ED9B0"/>
    <w:rsid w:val="5BA60A14"/>
    <w:rsid w:val="5DA1178D"/>
    <w:rsid w:val="5E5D84FF"/>
    <w:rsid w:val="5FC33B95"/>
    <w:rsid w:val="5FC72BB8"/>
    <w:rsid w:val="654EFA80"/>
    <w:rsid w:val="6D397413"/>
    <w:rsid w:val="6EC8D35B"/>
    <w:rsid w:val="77D5956C"/>
    <w:rsid w:val="7A57EE11"/>
    <w:rsid w:val="7B1AD127"/>
    <w:rsid w:val="7B9A87E5"/>
    <w:rsid w:val="7FD07D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3F77E6B3-7EA5-4947-897C-11336A43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paragraph" w:styleId="Revision">
    <w:name w:val="Revision"/>
    <w:hidden/>
    <w:uiPriority w:val="99"/>
    <w:semiHidden/>
    <w:rsid w:val="0040404C"/>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srh.org/Public/Public/Documents/FSRH-statement-Glucagon-like-peptide-1-agonists-and-oral-contraception-Feb-2025.aspx" TargetMode="External"/><Relationship Id="rId21" Type="http://schemas.openxmlformats.org/officeDocument/2006/relationships/hyperlink" Target="https://www.england.nhs.uk/long-read/nhs-pharmacy-contraception-service/" TargetMode="External"/><Relationship Id="rId34" Type="http://schemas.openxmlformats.org/officeDocument/2006/relationships/hyperlink" Target="http://www.bnf.org" TargetMode="External"/><Relationship Id="rId42" Type="http://schemas.openxmlformats.org/officeDocument/2006/relationships/hyperlink" Target="https://www.cosrh.org/Public/Public/Documents/FSRH-statement-Glucagon-like-peptide-1-agonists-and-oral-contraception-Feb-2025.aspx" TargetMode="External"/><Relationship Id="rId47" Type="http://schemas.openxmlformats.org/officeDocument/2006/relationships/hyperlink" Target="https://learning.nspcc.org.uk/child-protection-system/gillick-competence-fraser-guidelines" TargetMode="External"/><Relationship Id="rId50" Type="http://schemas.openxmlformats.org/officeDocument/2006/relationships/hyperlink" Target="https://www.cosrh.org/Public/Public/Standards-and-Guidance/uk-medical-eligibility-criteria-for-contraceptive-use-ukmec.aspx?hkey=e1816a9c-d7b1-4c64-8130-f6c013b1149a" TargetMode="External"/><Relationship Id="rId55" Type="http://schemas.openxmlformats.org/officeDocument/2006/relationships/hyperlink" Target="https://www.cosrh.org/Public/Public/Documents/FSRH-statement-Glucagon-like-peptide-1-agonists-and-oral-contraception-Feb-2025.asp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mhra.gov.uk/spc-pil/" TargetMode="External"/><Relationship Id="rId11" Type="http://schemas.openxmlformats.org/officeDocument/2006/relationships/header" Target="header1.xml"/><Relationship Id="rId24" Type="http://schemas.openxmlformats.org/officeDocument/2006/relationships/hyperlink" Target="http://www.bnf.org" TargetMode="External"/><Relationship Id="rId32" Type="http://schemas.openxmlformats.org/officeDocument/2006/relationships/hyperlink" Target="https://www.cosrh.org/Public/Documents/fsrh-clinical-guidance-quick-starting-contraception-april-2017.aspx" TargetMode="External"/><Relationship Id="rId37" Type="http://schemas.openxmlformats.org/officeDocument/2006/relationships/hyperlink" Target="http://www.medicines.org.uk" TargetMode="External"/><Relationship Id="rId40" Type="http://schemas.openxmlformats.org/officeDocument/2006/relationships/hyperlink" Target="https://www.gov.uk/government/publications/clinical-governance-approved-particulars" TargetMode="External"/><Relationship Id="rId45" Type="http://schemas.openxmlformats.org/officeDocument/2006/relationships/hyperlink" Target="https://bnf.nice.org.uk/" TargetMode="External"/><Relationship Id="rId53" Type="http://schemas.openxmlformats.org/officeDocument/2006/relationships/hyperlink" Target="https://www.cosrh.org/Common/Uploaded%20files/documents/fsrh-ceu-statement-upa-coc-restart-november-2020.pdf" TargetMode="External"/><Relationship Id="rId58" Type="http://schemas.openxmlformats.org/officeDocument/2006/relationships/footer" Target="footer3.xml"/><Relationship Id="rId66" Type="http://schemas.openxmlformats.org/officeDocument/2006/relationships/theme" Target="theme/theme1.xml"/><Relationship Id="rId5" Type="http://schemas.openxmlformats.org/officeDocument/2006/relationships/numbering" Target="numbering.xml"/><Relationship Id="rId61" Type="http://schemas.microsoft.com/office/2016/09/relationships/commentsIds" Target="commentsIds.xml"/><Relationship Id="rId19" Type="http://schemas.openxmlformats.org/officeDocument/2006/relationships/hyperlink" Target="https://www.england.nhs.uk/long-read/nhs-pharmacy-contraception-service/" TargetMode="External"/><Relationship Id="rId14" Type="http://schemas.openxmlformats.org/officeDocument/2006/relationships/footer" Target="footer2.xml"/><Relationship Id="rId22" Type="http://schemas.openxmlformats.org/officeDocument/2006/relationships/hyperlink" Target="https://learning.nspcc.org.uk/child-protection-system/gillick-competence-fraser-guidelines" TargetMode="External"/><Relationship Id="rId27" Type="http://schemas.openxmlformats.org/officeDocument/2006/relationships/hyperlink" Target="https://www.cosrh.org/Public/Public/Documents/FSRH-statement-Glucagon-like-peptide-1-agonists-and-oral-contraception-Feb-2025.aspx" TargetMode="External"/><Relationship Id="rId30" Type="http://schemas.openxmlformats.org/officeDocument/2006/relationships/hyperlink" Target="http://www.medicines.org.uk" TargetMode="External"/><Relationship Id="rId35" Type="http://schemas.openxmlformats.org/officeDocument/2006/relationships/hyperlink" Target="https://www.cosrh.org/Public/Documents/ceu-clinical-guidance-drug-interactions-with-hormonal.aspx" TargetMode="External"/><Relationship Id="rId43" Type="http://schemas.openxmlformats.org/officeDocument/2006/relationships/hyperlink" Target="https://www.england.nhs.uk/long-read/nhs-pharmacy-contraception-service/" TargetMode="External"/><Relationship Id="rId48" Type="http://schemas.openxmlformats.org/officeDocument/2006/relationships/hyperlink" Target="https://www.cosrh.org/Public/Documents/fsrh-guideline-combined-hormonal-contraception.aspx" TargetMode="External"/><Relationship Id="rId56" Type="http://schemas.openxmlformats.org/officeDocument/2006/relationships/hyperlink" Target="https://hep-druginteractions.org/checker"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cosrh.org/Public/Documents/fsrh-clinical-guidance-quick-starting-contraception-april-2017.asp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guidance/mpg2/chapter/recommendations" TargetMode="External"/><Relationship Id="rId25" Type="http://schemas.openxmlformats.org/officeDocument/2006/relationships/hyperlink" Target="https://learning.nspcc.org.uk/child-protection-system/gillick-competence-fraser-guidelines" TargetMode="External"/><Relationship Id="rId33" Type="http://schemas.openxmlformats.org/officeDocument/2006/relationships/hyperlink" Target="https://www.medicines.org.uk/emc" TargetMode="External"/><Relationship Id="rId38" Type="http://schemas.openxmlformats.org/officeDocument/2006/relationships/hyperlink" Target="http://www.bnf.org" TargetMode="External"/><Relationship Id="rId46" Type="http://schemas.openxmlformats.org/officeDocument/2006/relationships/hyperlink" Target="https://www.nice.org.uk/guidance/mpg2" TargetMode="External"/><Relationship Id="rId59" Type="http://schemas.openxmlformats.org/officeDocument/2006/relationships/comments" Target="comments.xml"/><Relationship Id="rId20" Type="http://schemas.openxmlformats.org/officeDocument/2006/relationships/hyperlink" Target="https://www.nice.org.uk/guidance/mpg2/resources" TargetMode="External"/><Relationship Id="rId41" Type="http://schemas.openxmlformats.org/officeDocument/2006/relationships/hyperlink" Target="https://www.cosrh.org/Public/Documents/fsrh-guideline-combined-hormonal-contraception.aspx" TargetMode="External"/><Relationship Id="rId54" Type="http://schemas.openxmlformats.org/officeDocument/2006/relationships/hyperlink" Target="https://www.cosrh.org/Public/Public/Documents/FSRH-statement-Glucagon-like-peptide-1-agonists-and-oral-contraception-Feb-2025.aspx" TargetMode="Externa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medicines.org.uk/emc" TargetMode="External"/><Relationship Id="rId28" Type="http://schemas.openxmlformats.org/officeDocument/2006/relationships/hyperlink" Target="https://cosrh.org/Public/Documents/fsrh-ceu-statement-contraception-for-women-using-known-teratogenic-drugs.aspx" TargetMode="External"/><Relationship Id="rId36" Type="http://schemas.openxmlformats.org/officeDocument/2006/relationships/hyperlink" Target="https://hep-druginteractions.org/checker" TargetMode="External"/><Relationship Id="rId49" Type="http://schemas.openxmlformats.org/officeDocument/2006/relationships/hyperlink" Target="https://cosrh.org/Public/Documents/ceu-clinical-guidance-drug-interactions-with-hormonal.aspx"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cosrh.org/Common/Uploaded%20files/documents/fsrh-ceu-statement-upa-coc-restart-november-2020.pdf" TargetMode="External"/><Relationship Id="rId44" Type="http://schemas.openxmlformats.org/officeDocument/2006/relationships/hyperlink" Target="http://www.medicines.org.uk/" TargetMode="External"/><Relationship Id="rId52" Type="http://schemas.openxmlformats.org/officeDocument/2006/relationships/hyperlink" Target="https://cosrh.org/Public/Documents/ceu-guidance-problematic-bleeding-hormonal-contraception.aspx" TargetMode="External"/><Relationship Id="rId60" Type="http://schemas.microsoft.com/office/2011/relationships/commentsExtended" Target="commentsExtended.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png"/><Relationship Id="rId39" Type="http://schemas.openxmlformats.org/officeDocument/2006/relationships/hyperlink" Target="http://yellowcard.mhr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6A8144B864A4B9E2C49E23E5C9DE3"/>
        <w:category>
          <w:name w:val="General"/>
          <w:gallery w:val="placeholder"/>
        </w:category>
        <w:types>
          <w:type w:val="bbPlcHdr"/>
        </w:types>
        <w:behaviors>
          <w:behavior w:val="content"/>
        </w:behaviors>
        <w:guid w:val="{34F7EA6D-49B1-4ED2-8559-8BAD9AA3D717}"/>
      </w:docPartPr>
      <w:docPartBody>
        <w:p w:rsidR="003E23F9" w:rsidRDefault="003E23F9">
          <w:pPr>
            <w:pStyle w:val="A376A8144B864A4B9E2C49E23E5C9DE3"/>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237849"/>
    <w:rsid w:val="003E23F9"/>
    <w:rsid w:val="00432541"/>
    <w:rsid w:val="00505F86"/>
    <w:rsid w:val="0063247C"/>
    <w:rsid w:val="006437F5"/>
    <w:rsid w:val="007D7E52"/>
    <w:rsid w:val="0085564F"/>
    <w:rsid w:val="00864206"/>
    <w:rsid w:val="00916BED"/>
    <w:rsid w:val="00952080"/>
    <w:rsid w:val="00D0790A"/>
    <w:rsid w:val="00D62641"/>
    <w:rsid w:val="00D8149B"/>
    <w:rsid w:val="00E94C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6A8144B864A4B9E2C49E23E5C9DE3">
    <w:name w:val="A376A8144B864A4B9E2C49E23E5C9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3" ma:contentTypeDescription="Create a new document." ma:contentTypeScope="" ma:versionID="1d7607081f9ef949bd7a56d0ebfb2a63">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027ab90a39f30543143d033e28740daa"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217a25-48d9-43aa-b36d-99e8c5fa0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F2E38-5817-46AC-95CC-8429C94EC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c0217a25-48d9-43aa-b36d-99e8c5fa0c3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3</TotalTime>
  <Pages>27</Pages>
  <Words>5973</Words>
  <Characters>34051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PATIENT GROUP DIRECTION (PGD)</vt:lpstr>
    </vt:vector>
  </TitlesOfParts>
  <Company>Health &amp; Social Care Information Centre</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ELLIS, Tracy (NHS ENGLAND - X24)</dc:creator>
  <cp:keywords/>
  <cp:lastModifiedBy>ARMSTRONG, Kirsty (NHS ENGLAND)</cp:lastModifiedBy>
  <cp:revision>3</cp:revision>
  <cp:lastPrinted>2016-07-14T17:27:00Z</cp:lastPrinted>
  <dcterms:created xsi:type="dcterms:W3CDTF">2025-10-07T05:53:00Z</dcterms:created>
  <dcterms:modified xsi:type="dcterms:W3CDTF">2025-10-07T05:55:00Z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