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2B3E" w14:textId="2FE82DE3" w:rsidR="00EE0481" w:rsidRPr="006A77F2" w:rsidRDefault="00C113B9" w:rsidP="008B351C">
      <w:pPr>
        <w:pStyle w:val="Heading1"/>
      </w:pPr>
      <w:sdt>
        <w:sdtPr>
          <w:alias w:val="Title"/>
          <w:tag w:val="title"/>
          <w:id w:val="1036308880"/>
          <w:placeholder>
            <w:docPart w:val="A376A8144B864A4B9E2C49E23E5C9DE3"/>
          </w:placeholder>
          <w:dataBinding w:prefixMappings="xmlns:ns0='http://purl.org/dc/elements/1.1/' xmlns:ns1='http://schemas.openxmlformats.org/package/2006/metadata/core-properties' " w:xpath="/ns1:coreProperties[1]/ns0:title[1]" w:storeItemID="{6C3C8BC8-F283-45AE-878A-BAB7291924A1}"/>
          <w:text/>
        </w:sdtPr>
        <w:sdtEndPr/>
        <w:sdtContent>
          <w:r w:rsidR="00684C60" w:rsidRPr="006A77F2">
            <w:t>PATIENT GROUP DIRECTION (PGD)</w:t>
          </w:r>
        </w:sdtContent>
      </w:sdt>
    </w:p>
    <w:p w14:paraId="2B7B1A24" w14:textId="2E571FC5" w:rsidR="00523CE2" w:rsidRPr="006A77F2" w:rsidRDefault="00523CE2" w:rsidP="00523CE2">
      <w:pPr>
        <w:spacing w:before="240" w:after="240"/>
        <w:jc w:val="center"/>
        <w:rPr>
          <w:b/>
          <w:sz w:val="40"/>
          <w:szCs w:val="40"/>
        </w:rPr>
      </w:pPr>
      <w:bookmarkStart w:id="0" w:name="_Toc142042366"/>
      <w:bookmarkStart w:id="1" w:name="_Toc142043217"/>
      <w:bookmarkStart w:id="2" w:name="_Toc143256350"/>
      <w:r w:rsidRPr="006A77F2">
        <w:rPr>
          <w:b/>
          <w:kern w:val="28"/>
          <w:sz w:val="40"/>
          <w:szCs w:val="40"/>
        </w:rPr>
        <w:t xml:space="preserve">Supply of </w:t>
      </w:r>
      <w:bookmarkStart w:id="3" w:name="_Hlk212805060"/>
      <w:bookmarkStart w:id="4" w:name="_Hlk83817971"/>
      <w:r w:rsidR="00096F53" w:rsidRPr="006A77F2">
        <w:rPr>
          <w:b/>
          <w:bCs/>
          <w:kern w:val="28"/>
          <w:sz w:val="40"/>
          <w:szCs w:val="40"/>
        </w:rPr>
        <w:t>varenicline</w:t>
      </w:r>
      <w:bookmarkEnd w:id="3"/>
      <w:r w:rsidR="00096F53" w:rsidRPr="006A77F2">
        <w:rPr>
          <w:b/>
          <w:bCs/>
          <w:kern w:val="28"/>
          <w:sz w:val="40"/>
          <w:szCs w:val="40"/>
        </w:rPr>
        <w:t xml:space="preserve"> tablets as part of a tobacco dependence treatment service</w:t>
      </w:r>
      <w:r w:rsidR="00096F53" w:rsidRPr="006A77F2">
        <w:rPr>
          <w:b/>
          <w:sz w:val="40"/>
          <w:szCs w:val="40"/>
        </w:rPr>
        <w:t xml:space="preserve"> </w:t>
      </w:r>
      <w:r w:rsidRPr="006A77F2">
        <w:rPr>
          <w:b/>
          <w:sz w:val="40"/>
          <w:szCs w:val="40"/>
        </w:rPr>
        <w:t xml:space="preserve">by Community Pharmacists and </w:t>
      </w:r>
      <w:r w:rsidRPr="006A77F2">
        <w:rPr>
          <w:b/>
          <w:sz w:val="40"/>
          <w:szCs w:val="40"/>
          <w:highlight w:val="yellow"/>
        </w:rPr>
        <w:t>Pharmacy Technicians</w:t>
      </w:r>
      <w:r w:rsidRPr="006A77F2">
        <w:rPr>
          <w:b/>
          <w:sz w:val="40"/>
          <w:szCs w:val="40"/>
        </w:rPr>
        <w:t xml:space="preserve"> in England working in a pharmacy registered to provide the NHS </w:t>
      </w:r>
      <w:r w:rsidR="00096F53" w:rsidRPr="006A77F2">
        <w:rPr>
          <w:b/>
          <w:sz w:val="40"/>
          <w:szCs w:val="40"/>
        </w:rPr>
        <w:t>Smoking Cessation Service</w:t>
      </w:r>
      <w:r w:rsidRPr="006A77F2">
        <w:rPr>
          <w:b/>
          <w:sz w:val="40"/>
          <w:szCs w:val="40"/>
        </w:rPr>
        <w:t xml:space="preserve"> </w:t>
      </w:r>
      <w:bookmarkEnd w:id="4"/>
    </w:p>
    <w:p w14:paraId="2CA6AD79" w14:textId="1DBDDAC4" w:rsidR="00523CE2" w:rsidRPr="006A77F2" w:rsidRDefault="00523CE2" w:rsidP="00523CE2">
      <w:pPr>
        <w:jc w:val="center"/>
        <w:rPr>
          <w:rFonts w:cs="Arial"/>
          <w:sz w:val="28"/>
          <w:szCs w:val="28"/>
        </w:rPr>
      </w:pPr>
      <w:r w:rsidRPr="006A77F2">
        <w:rPr>
          <w:rFonts w:cs="Arial"/>
          <w:sz w:val="28"/>
          <w:szCs w:val="28"/>
        </w:rPr>
        <w:t xml:space="preserve">Version </w:t>
      </w:r>
      <w:r w:rsidR="00096F53" w:rsidRPr="006A77F2">
        <w:rPr>
          <w:rFonts w:cs="Arial"/>
          <w:sz w:val="28"/>
          <w:szCs w:val="28"/>
        </w:rPr>
        <w:t>1</w:t>
      </w:r>
      <w:r w:rsidRPr="006A77F2">
        <w:rPr>
          <w:rFonts w:cs="Arial"/>
          <w:sz w:val="28"/>
          <w:szCs w:val="28"/>
        </w:rPr>
        <w:t>.0</w:t>
      </w:r>
    </w:p>
    <w:tbl>
      <w:tblPr>
        <w:tblW w:w="979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95"/>
        <w:gridCol w:w="7796"/>
      </w:tblGrid>
      <w:tr w:rsidR="00B10AEE" w:rsidRPr="006A77F2" w14:paraId="768CEF1C" w14:textId="77777777" w:rsidTr="00B10AEE">
        <w:trPr>
          <w:trHeight w:val="442"/>
        </w:trPr>
        <w:tc>
          <w:tcPr>
            <w:tcW w:w="9791" w:type="dxa"/>
            <w:gridSpan w:val="2"/>
            <w:tcBorders>
              <w:top w:val="single" w:sz="4" w:space="0" w:color="auto"/>
              <w:left w:val="single" w:sz="4" w:space="0" w:color="auto"/>
              <w:bottom w:val="single" w:sz="4" w:space="0" w:color="auto"/>
              <w:right w:val="single" w:sz="4" w:space="0" w:color="auto"/>
            </w:tcBorders>
          </w:tcPr>
          <w:p w14:paraId="08A68019" w14:textId="77777777" w:rsidR="00B10AEE" w:rsidRPr="006A77F2" w:rsidRDefault="00B10AEE" w:rsidP="006D19F4">
            <w:pPr>
              <w:jc w:val="center"/>
              <w:rPr>
                <w:rFonts w:cs="Arial"/>
                <w:b/>
              </w:rPr>
            </w:pPr>
            <w:r w:rsidRPr="006A77F2">
              <w:rPr>
                <w:rFonts w:cs="Arial"/>
                <w:b/>
              </w:rPr>
              <w:t>Change History</w:t>
            </w:r>
          </w:p>
        </w:tc>
      </w:tr>
      <w:tr w:rsidR="00B10AEE" w:rsidRPr="006A77F2" w14:paraId="4C944711" w14:textId="77777777" w:rsidTr="00000CBC">
        <w:trPr>
          <w:trHeight w:val="820"/>
        </w:trPr>
        <w:tc>
          <w:tcPr>
            <w:tcW w:w="1995" w:type="dxa"/>
            <w:tcBorders>
              <w:top w:val="single" w:sz="4" w:space="0" w:color="auto"/>
              <w:left w:val="single" w:sz="4" w:space="0" w:color="auto"/>
              <w:bottom w:val="single" w:sz="4" w:space="0" w:color="auto"/>
              <w:right w:val="single" w:sz="4" w:space="0" w:color="auto"/>
            </w:tcBorders>
          </w:tcPr>
          <w:p w14:paraId="17BDEF93" w14:textId="77777777" w:rsidR="00B10AEE" w:rsidRPr="006A77F2" w:rsidRDefault="00B10AEE" w:rsidP="00B85950">
            <w:pPr>
              <w:spacing w:after="0" w:line="240" w:lineRule="auto"/>
              <w:jc w:val="center"/>
              <w:rPr>
                <w:rFonts w:cs="Arial"/>
                <w:b/>
              </w:rPr>
            </w:pPr>
            <w:r w:rsidRPr="006A77F2">
              <w:rPr>
                <w:rFonts w:cs="Arial"/>
                <w:b/>
              </w:rPr>
              <w:t>Version and Date</w:t>
            </w:r>
          </w:p>
        </w:tc>
        <w:tc>
          <w:tcPr>
            <w:tcW w:w="7796" w:type="dxa"/>
            <w:tcBorders>
              <w:top w:val="single" w:sz="4" w:space="0" w:color="auto"/>
              <w:left w:val="single" w:sz="4" w:space="0" w:color="auto"/>
              <w:bottom w:val="single" w:sz="4" w:space="0" w:color="auto"/>
              <w:right w:val="single" w:sz="4" w:space="0" w:color="auto"/>
            </w:tcBorders>
          </w:tcPr>
          <w:p w14:paraId="6C9C8B2E" w14:textId="77777777" w:rsidR="00B10AEE" w:rsidRPr="006A77F2" w:rsidRDefault="00B10AEE" w:rsidP="004C3FFA">
            <w:pPr>
              <w:rPr>
                <w:rFonts w:cs="Arial"/>
                <w:b/>
              </w:rPr>
            </w:pPr>
            <w:r w:rsidRPr="006A77F2">
              <w:rPr>
                <w:rFonts w:cs="Arial"/>
                <w:b/>
              </w:rPr>
              <w:t>Change details</w:t>
            </w:r>
          </w:p>
        </w:tc>
      </w:tr>
      <w:tr w:rsidR="00B10AEE" w:rsidRPr="006A77F2" w14:paraId="4AA781D2" w14:textId="77777777" w:rsidTr="00000CBC">
        <w:trPr>
          <w:trHeight w:val="442"/>
        </w:trPr>
        <w:tc>
          <w:tcPr>
            <w:tcW w:w="1995" w:type="dxa"/>
            <w:tcBorders>
              <w:top w:val="single" w:sz="4" w:space="0" w:color="auto"/>
              <w:left w:val="single" w:sz="4" w:space="0" w:color="auto"/>
              <w:bottom w:val="single" w:sz="4" w:space="0" w:color="auto"/>
              <w:right w:val="single" w:sz="4" w:space="0" w:color="auto"/>
            </w:tcBorders>
          </w:tcPr>
          <w:p w14:paraId="6F772B9E" w14:textId="498EB044" w:rsidR="00B10AEE" w:rsidRPr="006A77F2" w:rsidRDefault="00B10AEE" w:rsidP="00B10AEE">
            <w:pPr>
              <w:spacing w:after="0"/>
              <w:rPr>
                <w:rFonts w:cs="Arial"/>
                <w:sz w:val="20"/>
                <w:szCs w:val="20"/>
              </w:rPr>
            </w:pPr>
            <w:r w:rsidRPr="006A77F2">
              <w:rPr>
                <w:rFonts w:cs="Arial"/>
                <w:sz w:val="20"/>
                <w:szCs w:val="20"/>
              </w:rPr>
              <w:t>Version 1</w:t>
            </w:r>
            <w:r w:rsidR="00000CBC">
              <w:rPr>
                <w:rFonts w:cs="Arial"/>
                <w:sz w:val="20"/>
                <w:szCs w:val="20"/>
              </w:rPr>
              <w:t>.0</w:t>
            </w:r>
          </w:p>
          <w:p w14:paraId="49D14170" w14:textId="1AA908B4" w:rsidR="00B10AEE" w:rsidRPr="006A77F2" w:rsidRDefault="0070762E" w:rsidP="00B10AEE">
            <w:pPr>
              <w:spacing w:after="0"/>
              <w:rPr>
                <w:rFonts w:cs="Arial"/>
                <w:sz w:val="20"/>
                <w:szCs w:val="20"/>
              </w:rPr>
            </w:pPr>
            <w:r>
              <w:rPr>
                <w:rFonts w:cs="Arial"/>
                <w:sz w:val="20"/>
                <w:szCs w:val="20"/>
                <w:highlight w:val="yellow"/>
              </w:rPr>
              <w:t>26</w:t>
            </w:r>
            <w:r w:rsidR="00000CBC" w:rsidRPr="00000CBC">
              <w:rPr>
                <w:rFonts w:cs="Arial"/>
                <w:sz w:val="20"/>
                <w:szCs w:val="20"/>
                <w:highlight w:val="yellow"/>
              </w:rPr>
              <w:t xml:space="preserve"> November 2025</w:t>
            </w:r>
          </w:p>
        </w:tc>
        <w:tc>
          <w:tcPr>
            <w:tcW w:w="7796" w:type="dxa"/>
            <w:tcBorders>
              <w:top w:val="single" w:sz="4" w:space="0" w:color="auto"/>
              <w:left w:val="single" w:sz="4" w:space="0" w:color="auto"/>
              <w:bottom w:val="single" w:sz="4" w:space="0" w:color="auto"/>
              <w:right w:val="single" w:sz="4" w:space="0" w:color="auto"/>
            </w:tcBorders>
          </w:tcPr>
          <w:p w14:paraId="7BC83509" w14:textId="77777777" w:rsidR="00B10AEE" w:rsidRPr="006A77F2" w:rsidRDefault="00B10AEE" w:rsidP="006D19F4">
            <w:pPr>
              <w:rPr>
                <w:rFonts w:cs="Arial"/>
                <w:sz w:val="20"/>
                <w:szCs w:val="20"/>
              </w:rPr>
            </w:pPr>
            <w:r w:rsidRPr="006A77F2">
              <w:rPr>
                <w:rFonts w:cs="Arial"/>
                <w:sz w:val="20"/>
                <w:szCs w:val="20"/>
              </w:rPr>
              <w:t>PGD approved</w:t>
            </w:r>
          </w:p>
        </w:tc>
      </w:tr>
    </w:tbl>
    <w:p w14:paraId="1EC6CA42" w14:textId="77777777" w:rsidR="0019462E" w:rsidRPr="006A77F2" w:rsidRDefault="0019462E" w:rsidP="00085A64"/>
    <w:p w14:paraId="3F8F08E0" w14:textId="77777777" w:rsidR="0000385F" w:rsidRPr="006A77F2" w:rsidRDefault="0000385F" w:rsidP="5FEA70BD">
      <w:pPr>
        <w:keepNext/>
        <w:spacing w:before="120" w:after="120"/>
        <w:jc w:val="both"/>
        <w:outlineLvl w:val="0"/>
        <w:rPr>
          <w:color w:val="FF0000"/>
          <w:kern w:val="28"/>
        </w:rPr>
      </w:pPr>
      <w:r w:rsidRPr="006A77F2">
        <w:rPr>
          <w:bCs/>
          <w:color w:val="FF0000"/>
          <w:kern w:val="28"/>
        </w:rPr>
        <w:t xml:space="preserve">This Patient Group Direction (PGD) must only be used by pharmacists </w:t>
      </w:r>
      <w:r w:rsidRPr="006A77F2">
        <w:rPr>
          <w:bCs/>
          <w:color w:val="FF0000"/>
          <w:kern w:val="28"/>
          <w:highlight w:val="yellow"/>
        </w:rPr>
        <w:t>and pharmacy technicians</w:t>
      </w:r>
      <w:r w:rsidRPr="006A77F2">
        <w:rPr>
          <w:bCs/>
          <w:color w:val="FF0000"/>
          <w:kern w:val="28"/>
        </w:rPr>
        <w:t xml:space="preserve"> who have been named and authorised by their organisation to practise under it (See Appendix A). The most recent and in date final signed version of the PGD must be used.</w:t>
      </w:r>
    </w:p>
    <w:p w14:paraId="18C77AEC" w14:textId="0179C872" w:rsidR="005B6CD5" w:rsidRPr="006A77F2" w:rsidRDefault="005B6CD5" w:rsidP="00891E3D">
      <w:pPr>
        <w:pBdr>
          <w:top w:val="single" w:sz="4" w:space="1" w:color="auto"/>
          <w:left w:val="single" w:sz="4" w:space="1" w:color="auto"/>
          <w:bottom w:val="single" w:sz="4" w:space="1" w:color="auto"/>
          <w:right w:val="single" w:sz="4" w:space="0" w:color="auto"/>
        </w:pBdr>
        <w:shd w:val="clear" w:color="auto" w:fill="C0C0C0"/>
        <w:rPr>
          <w:rFonts w:cs="Arial"/>
          <w:b/>
        </w:rPr>
      </w:pPr>
      <w:r w:rsidRPr="006A77F2">
        <w:rPr>
          <w:rFonts w:cs="Arial"/>
          <w:b/>
        </w:rPr>
        <w:t>PGD 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480421" w:rsidRPr="006A77F2" w14:paraId="15397C7E" w14:textId="77777777" w:rsidTr="006D19F4">
        <w:tc>
          <w:tcPr>
            <w:tcW w:w="3969" w:type="dxa"/>
          </w:tcPr>
          <w:p w14:paraId="37C36310" w14:textId="77777777" w:rsidR="00480421" w:rsidRPr="006A77F2" w:rsidRDefault="00480421" w:rsidP="00480421">
            <w:pPr>
              <w:tabs>
                <w:tab w:val="center" w:pos="3312"/>
                <w:tab w:val="right" w:pos="6624"/>
                <w:tab w:val="left" w:pos="8460"/>
                <w:tab w:val="left" w:pos="9936"/>
              </w:tabs>
              <w:rPr>
                <w:rFonts w:cs="Arial"/>
              </w:rPr>
            </w:pPr>
            <w:r w:rsidRPr="006A77F2">
              <w:rPr>
                <w:rFonts w:cs="Arial"/>
              </w:rPr>
              <w:t xml:space="preserve">Date PGD template comes into effect: </w:t>
            </w:r>
          </w:p>
        </w:tc>
        <w:tc>
          <w:tcPr>
            <w:tcW w:w="4536" w:type="dxa"/>
          </w:tcPr>
          <w:p w14:paraId="5DBC208C" w14:textId="22DC4C2A" w:rsidR="00480421" w:rsidRPr="006A77F2" w:rsidDel="003C5FD5" w:rsidRDefault="002014BF" w:rsidP="00480421">
            <w:pPr>
              <w:tabs>
                <w:tab w:val="center" w:pos="3312"/>
                <w:tab w:val="right" w:pos="6624"/>
                <w:tab w:val="left" w:pos="8460"/>
                <w:tab w:val="left" w:pos="9936"/>
              </w:tabs>
              <w:rPr>
                <w:rFonts w:cs="Arial"/>
                <w:highlight w:val="yellow"/>
              </w:rPr>
            </w:pPr>
            <w:r>
              <w:rPr>
                <w:rFonts w:cs="Arial"/>
                <w:highlight w:val="yellow"/>
              </w:rPr>
              <w:t xml:space="preserve">xx </w:t>
            </w:r>
            <w:r w:rsidR="00A60374">
              <w:rPr>
                <w:rFonts w:cs="Arial"/>
                <w:highlight w:val="yellow"/>
              </w:rPr>
              <w:t>xxx</w:t>
            </w:r>
            <w:r>
              <w:rPr>
                <w:rFonts w:cs="Arial"/>
                <w:highlight w:val="yellow"/>
              </w:rPr>
              <w:t xml:space="preserve"> </w:t>
            </w:r>
            <w:proofErr w:type="spellStart"/>
            <w:r w:rsidR="00A60374">
              <w:rPr>
                <w:rFonts w:cs="Arial"/>
                <w:highlight w:val="yellow"/>
              </w:rPr>
              <w:t>xxxx</w:t>
            </w:r>
            <w:proofErr w:type="spellEnd"/>
          </w:p>
        </w:tc>
      </w:tr>
      <w:tr w:rsidR="00480421" w:rsidRPr="006A77F2" w14:paraId="0E01F030" w14:textId="77777777" w:rsidTr="006D19F4">
        <w:tc>
          <w:tcPr>
            <w:tcW w:w="3969" w:type="dxa"/>
          </w:tcPr>
          <w:p w14:paraId="5969BB40" w14:textId="77777777" w:rsidR="00480421" w:rsidRPr="006A77F2" w:rsidRDefault="00480421" w:rsidP="00480421">
            <w:pPr>
              <w:tabs>
                <w:tab w:val="center" w:pos="3312"/>
                <w:tab w:val="right" w:pos="6624"/>
                <w:tab w:val="left" w:pos="8460"/>
                <w:tab w:val="left" w:pos="9936"/>
              </w:tabs>
              <w:rPr>
                <w:rFonts w:cs="Arial"/>
              </w:rPr>
            </w:pPr>
            <w:r w:rsidRPr="006A77F2">
              <w:rPr>
                <w:rFonts w:cs="Arial"/>
              </w:rPr>
              <w:t>Review date</w:t>
            </w:r>
          </w:p>
        </w:tc>
        <w:tc>
          <w:tcPr>
            <w:tcW w:w="4536" w:type="dxa"/>
          </w:tcPr>
          <w:p w14:paraId="4841590C" w14:textId="08D86968" w:rsidR="00480421" w:rsidRPr="006A77F2" w:rsidDel="003C5FD5" w:rsidRDefault="00144B0D" w:rsidP="00480421">
            <w:pPr>
              <w:tabs>
                <w:tab w:val="center" w:pos="3312"/>
                <w:tab w:val="right" w:pos="6624"/>
                <w:tab w:val="left" w:pos="8460"/>
                <w:tab w:val="left" w:pos="9936"/>
              </w:tabs>
              <w:rPr>
                <w:rFonts w:cs="Arial"/>
                <w:highlight w:val="yellow"/>
              </w:rPr>
            </w:pPr>
            <w:r w:rsidRPr="006A77F2">
              <w:rPr>
                <w:rFonts w:cs="Arial"/>
                <w:sz w:val="22"/>
                <w:szCs w:val="22"/>
              </w:rPr>
              <w:t>30 April 2027</w:t>
            </w:r>
          </w:p>
        </w:tc>
      </w:tr>
      <w:tr w:rsidR="00480421" w:rsidRPr="006A77F2" w14:paraId="32ADEDF1" w14:textId="77777777" w:rsidTr="006D19F4">
        <w:tc>
          <w:tcPr>
            <w:tcW w:w="3969" w:type="dxa"/>
          </w:tcPr>
          <w:p w14:paraId="7B681835" w14:textId="77777777" w:rsidR="00480421" w:rsidRPr="006A77F2" w:rsidRDefault="00480421" w:rsidP="00480421">
            <w:pPr>
              <w:tabs>
                <w:tab w:val="center" w:pos="3312"/>
                <w:tab w:val="right" w:pos="6624"/>
                <w:tab w:val="left" w:pos="8460"/>
                <w:tab w:val="left" w:pos="9936"/>
              </w:tabs>
              <w:rPr>
                <w:rFonts w:cs="Arial"/>
              </w:rPr>
            </w:pPr>
            <w:r w:rsidRPr="006A77F2">
              <w:rPr>
                <w:rFonts w:cs="Arial"/>
              </w:rPr>
              <w:t xml:space="preserve">Expiry date: </w:t>
            </w:r>
          </w:p>
        </w:tc>
        <w:tc>
          <w:tcPr>
            <w:tcW w:w="4536" w:type="dxa"/>
          </w:tcPr>
          <w:p w14:paraId="6375A0FD" w14:textId="71507D04" w:rsidR="00480421" w:rsidRPr="006A77F2" w:rsidDel="003C5FD5" w:rsidRDefault="00504200" w:rsidP="00480421">
            <w:pPr>
              <w:tabs>
                <w:tab w:val="center" w:pos="3312"/>
                <w:tab w:val="right" w:pos="6624"/>
                <w:tab w:val="left" w:pos="8460"/>
                <w:tab w:val="left" w:pos="9936"/>
              </w:tabs>
              <w:rPr>
                <w:rFonts w:cs="Arial"/>
                <w:highlight w:val="yellow"/>
              </w:rPr>
            </w:pPr>
            <w:r w:rsidRPr="006A77F2">
              <w:rPr>
                <w:rFonts w:cs="Arial"/>
                <w:color w:val="auto"/>
                <w:sz w:val="22"/>
                <w:szCs w:val="22"/>
                <w:lang w:eastAsia="en-GB"/>
              </w:rPr>
              <w:t>31 October 2027</w:t>
            </w:r>
          </w:p>
        </w:tc>
      </w:tr>
    </w:tbl>
    <w:p w14:paraId="558DFCD5" w14:textId="77777777" w:rsidR="005B6CD5" w:rsidRPr="006A77F2" w:rsidRDefault="005B6CD5" w:rsidP="005B6CD5">
      <w:pPr>
        <w:jc w:val="both"/>
        <w:rPr>
          <w:rFonts w:cs="Arial"/>
          <w:color w:val="FF0000"/>
        </w:rPr>
      </w:pPr>
    </w:p>
    <w:p w14:paraId="1FE88DEF" w14:textId="525C4604" w:rsidR="00145E1E" w:rsidRPr="006A77F2" w:rsidRDefault="00F518EB" w:rsidP="005B6CD5">
      <w:pPr>
        <w:rPr>
          <w:shd w:val="clear" w:color="auto" w:fill="FFFFFF"/>
        </w:rPr>
      </w:pPr>
      <w:r w:rsidRPr="006A77F2">
        <w:rPr>
          <w:rStyle w:val="normaltextrun"/>
          <w:shd w:val="clear" w:color="auto" w:fill="FFFFFF"/>
        </w:rPr>
        <w:lastRenderedPageBreak/>
        <w:t>This PGD template has been peer reviewed by the smoking cessation Short Life Working Group in accordance with their Terms of Reference. It has been endorsed by the NHS</w:t>
      </w:r>
      <w:r w:rsidR="00FB1C8E" w:rsidRPr="006A77F2">
        <w:rPr>
          <w:rStyle w:val="normaltextrun"/>
          <w:shd w:val="clear" w:color="auto" w:fill="FFFFFF"/>
        </w:rPr>
        <w:t xml:space="preserve"> </w:t>
      </w:r>
      <w:r w:rsidRPr="006A77F2">
        <w:rPr>
          <w:rStyle w:val="normaltextrun"/>
          <w:shd w:val="clear" w:color="auto" w:fill="FFFFFF"/>
        </w:rPr>
        <w:t>E</w:t>
      </w:r>
      <w:r w:rsidR="00FB1C8E" w:rsidRPr="006A77F2">
        <w:rPr>
          <w:rStyle w:val="normaltextrun"/>
          <w:shd w:val="clear" w:color="auto" w:fill="FFFFFF"/>
        </w:rPr>
        <w:t>ngland</w:t>
      </w:r>
      <w:r w:rsidRPr="006A77F2">
        <w:rPr>
          <w:rStyle w:val="normaltextrun"/>
          <w:shd w:val="clear" w:color="auto" w:fill="FFFFFF"/>
        </w:rPr>
        <w:t xml:space="preserve"> National specialty adviser for tobacco dependency and approved by the </w:t>
      </w:r>
      <w:r w:rsidR="006308D9" w:rsidRPr="006A77F2">
        <w:rPr>
          <w:rStyle w:val="normaltextrun"/>
          <w:shd w:val="clear" w:color="auto" w:fill="FFFFFF"/>
        </w:rPr>
        <w:t>Specialist Pharmacy Service (</w:t>
      </w:r>
      <w:r w:rsidRPr="006A77F2">
        <w:rPr>
          <w:rStyle w:val="normaltextrun"/>
          <w:shd w:val="clear" w:color="auto" w:fill="FFFFFF"/>
        </w:rPr>
        <w:t>SPS</w:t>
      </w:r>
      <w:r w:rsidR="006308D9" w:rsidRPr="006A77F2">
        <w:rPr>
          <w:rStyle w:val="normaltextrun"/>
          <w:shd w:val="clear" w:color="auto" w:fill="FFFFFF"/>
        </w:rPr>
        <w:t>)</w:t>
      </w:r>
      <w:r w:rsidRPr="006A77F2">
        <w:rPr>
          <w:rStyle w:val="normaltextrun"/>
          <w:shd w:val="clear" w:color="auto" w:fill="FFFFFF"/>
        </w:rPr>
        <w:t xml:space="preserve"> Medicines Governance Do Once Programme Board in January 2025.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5976"/>
      </w:tblGrid>
      <w:tr w:rsidR="005B6CD5" w:rsidRPr="006A77F2" w14:paraId="64ADF48C" w14:textId="77777777" w:rsidTr="00891E3D">
        <w:trPr>
          <w:trHeight w:val="254"/>
        </w:trPr>
        <w:tc>
          <w:tcPr>
            <w:tcW w:w="2440" w:type="dxa"/>
            <w:shd w:val="clear" w:color="auto" w:fill="BFBFBF" w:themeFill="text1" w:themeFillShade="BF"/>
            <w:vAlign w:val="center"/>
          </w:tcPr>
          <w:p w14:paraId="1DA05B01" w14:textId="77777777" w:rsidR="005B6CD5" w:rsidRPr="006A77F2" w:rsidRDefault="005B6CD5" w:rsidP="00B93D2E">
            <w:pPr>
              <w:overflowPunct w:val="0"/>
              <w:autoSpaceDE w:val="0"/>
              <w:autoSpaceDN w:val="0"/>
              <w:adjustRightInd w:val="0"/>
              <w:spacing w:line="240" w:lineRule="auto"/>
              <w:textAlignment w:val="baseline"/>
              <w:rPr>
                <w:rFonts w:cs="Arial"/>
                <w:b/>
              </w:rPr>
            </w:pPr>
            <w:r w:rsidRPr="006A77F2">
              <w:rPr>
                <w:rFonts w:cs="Arial"/>
                <w:b/>
              </w:rPr>
              <w:t>Name</w:t>
            </w:r>
          </w:p>
        </w:tc>
        <w:tc>
          <w:tcPr>
            <w:tcW w:w="6094" w:type="dxa"/>
            <w:shd w:val="clear" w:color="auto" w:fill="BFBFBF" w:themeFill="text1" w:themeFillShade="BF"/>
            <w:vAlign w:val="center"/>
          </w:tcPr>
          <w:p w14:paraId="2BCFF9C6" w14:textId="77777777" w:rsidR="005B6CD5" w:rsidRPr="006A77F2" w:rsidRDefault="005B6CD5" w:rsidP="00B93D2E">
            <w:pPr>
              <w:overflowPunct w:val="0"/>
              <w:autoSpaceDE w:val="0"/>
              <w:autoSpaceDN w:val="0"/>
              <w:adjustRightInd w:val="0"/>
              <w:spacing w:line="240" w:lineRule="auto"/>
              <w:textAlignment w:val="baseline"/>
              <w:rPr>
                <w:rFonts w:cs="Arial"/>
                <w:b/>
              </w:rPr>
            </w:pPr>
            <w:r w:rsidRPr="006A77F2">
              <w:rPr>
                <w:rFonts w:cs="Arial"/>
                <w:b/>
              </w:rPr>
              <w:t>Designation</w:t>
            </w:r>
          </w:p>
        </w:tc>
      </w:tr>
      <w:tr w:rsidR="006809C4" w:rsidRPr="006A77F2" w14:paraId="5F3D8466" w14:textId="77777777" w:rsidTr="00891E3D">
        <w:trPr>
          <w:trHeight w:val="267"/>
        </w:trPr>
        <w:tc>
          <w:tcPr>
            <w:tcW w:w="2440" w:type="dxa"/>
          </w:tcPr>
          <w:p w14:paraId="008B93FA" w14:textId="0F8A0F90"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Anne Joshua</w:t>
            </w:r>
          </w:p>
        </w:tc>
        <w:tc>
          <w:tcPr>
            <w:tcW w:w="6094" w:type="dxa"/>
          </w:tcPr>
          <w:p w14:paraId="141E089F" w14:textId="2E831B7F"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Deputy Director of Pharmacy Commissioning, Primary Care Community Services, NHS</w:t>
            </w:r>
            <w:r w:rsidR="0025151B" w:rsidRPr="006A77F2">
              <w:rPr>
                <w:rFonts w:cs="Arial"/>
              </w:rPr>
              <w:t xml:space="preserve"> </w:t>
            </w:r>
            <w:r w:rsidRPr="006A77F2">
              <w:rPr>
                <w:rFonts w:cs="Arial"/>
              </w:rPr>
              <w:t>E</w:t>
            </w:r>
            <w:r w:rsidR="0025151B" w:rsidRPr="006A77F2">
              <w:rPr>
                <w:rFonts w:cs="Arial"/>
              </w:rPr>
              <w:t>ngland</w:t>
            </w:r>
            <w:r w:rsidRPr="006A77F2">
              <w:rPr>
                <w:rFonts w:cs="Arial"/>
              </w:rPr>
              <w:t xml:space="preserve"> </w:t>
            </w:r>
          </w:p>
        </w:tc>
      </w:tr>
      <w:tr w:rsidR="006809C4" w:rsidRPr="006A77F2" w14:paraId="20F24EE1" w14:textId="77777777" w:rsidTr="00891E3D">
        <w:trPr>
          <w:trHeight w:val="267"/>
        </w:trPr>
        <w:tc>
          <w:tcPr>
            <w:tcW w:w="2440" w:type="dxa"/>
          </w:tcPr>
          <w:p w14:paraId="51838E46" w14:textId="62535E81"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Katie Evans</w:t>
            </w:r>
          </w:p>
        </w:tc>
        <w:tc>
          <w:tcPr>
            <w:tcW w:w="6094" w:type="dxa"/>
          </w:tcPr>
          <w:p w14:paraId="7B37A643" w14:textId="335D6D81"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Specialist Mental Health Pharmacist and Consultations Lead for College of Mental Health Pharmacy (CMHP)</w:t>
            </w:r>
          </w:p>
        </w:tc>
      </w:tr>
      <w:tr w:rsidR="006809C4" w:rsidRPr="006A77F2" w14:paraId="01BEF7F2" w14:textId="77777777" w:rsidTr="00891E3D">
        <w:trPr>
          <w:trHeight w:val="267"/>
        </w:trPr>
        <w:tc>
          <w:tcPr>
            <w:tcW w:w="2440" w:type="dxa"/>
          </w:tcPr>
          <w:p w14:paraId="0AC8CF01" w14:textId="223EC442"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Roz Gittins</w:t>
            </w:r>
          </w:p>
        </w:tc>
        <w:tc>
          <w:tcPr>
            <w:tcW w:w="6094" w:type="dxa"/>
          </w:tcPr>
          <w:p w14:paraId="54BA14DB" w14:textId="5CFBDC03"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Past President, College of Mental Health Pharmacy (CMHP)</w:t>
            </w:r>
          </w:p>
        </w:tc>
      </w:tr>
      <w:tr w:rsidR="006809C4" w:rsidRPr="006A77F2" w14:paraId="1AFD66B7" w14:textId="77777777" w:rsidTr="00891E3D">
        <w:trPr>
          <w:trHeight w:val="267"/>
        </w:trPr>
        <w:tc>
          <w:tcPr>
            <w:tcW w:w="2440" w:type="dxa"/>
          </w:tcPr>
          <w:p w14:paraId="163A9EFC" w14:textId="4534363B"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Ciara Ni Dhubhlaing</w:t>
            </w:r>
          </w:p>
        </w:tc>
        <w:tc>
          <w:tcPr>
            <w:tcW w:w="6094" w:type="dxa"/>
          </w:tcPr>
          <w:p w14:paraId="61F1F97F" w14:textId="7F1158C9"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Past President, College of Mental Health Pharmacy (CMHP)</w:t>
            </w:r>
          </w:p>
        </w:tc>
      </w:tr>
      <w:tr w:rsidR="006809C4" w:rsidRPr="006A77F2" w14:paraId="65BB0910" w14:textId="77777777" w:rsidTr="00891E3D">
        <w:trPr>
          <w:trHeight w:val="267"/>
        </w:trPr>
        <w:tc>
          <w:tcPr>
            <w:tcW w:w="2440" w:type="dxa"/>
          </w:tcPr>
          <w:p w14:paraId="065A2B56" w14:textId="578811AD"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Emma Bryant</w:t>
            </w:r>
          </w:p>
        </w:tc>
        <w:tc>
          <w:tcPr>
            <w:tcW w:w="6094" w:type="dxa"/>
          </w:tcPr>
          <w:p w14:paraId="4C3D4634" w14:textId="1A1B0107"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Specialist Pharmacist – Mental Health, SPS Medicines Use and Safety Team</w:t>
            </w:r>
          </w:p>
        </w:tc>
      </w:tr>
      <w:tr w:rsidR="006809C4" w:rsidRPr="006A77F2" w14:paraId="04234719" w14:textId="77777777" w:rsidTr="00891E3D">
        <w:trPr>
          <w:trHeight w:val="267"/>
        </w:trPr>
        <w:tc>
          <w:tcPr>
            <w:tcW w:w="2440" w:type="dxa"/>
          </w:tcPr>
          <w:p w14:paraId="5357924A" w14:textId="19032198"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Dr Peter Byrne</w:t>
            </w:r>
          </w:p>
        </w:tc>
        <w:tc>
          <w:tcPr>
            <w:tcW w:w="6094" w:type="dxa"/>
          </w:tcPr>
          <w:p w14:paraId="6193F4CD" w14:textId="282C729A"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497DD2">
              <w:rPr>
                <w:rFonts w:cs="Arial"/>
                <w:lang w:val="fr-FR"/>
              </w:rPr>
              <w:t xml:space="preserve">Consultant Liaison Psychiatrist Royal London Hospital. </w:t>
            </w:r>
            <w:r w:rsidRPr="006A77F2">
              <w:rPr>
                <w:rFonts w:cs="Arial"/>
              </w:rPr>
              <w:t>Royal College of Psychiatrists Associate Registrar for Public Health</w:t>
            </w:r>
          </w:p>
        </w:tc>
      </w:tr>
      <w:tr w:rsidR="006809C4" w:rsidRPr="006A77F2" w14:paraId="5401F895" w14:textId="77777777" w:rsidTr="00891E3D">
        <w:trPr>
          <w:trHeight w:val="267"/>
        </w:trPr>
        <w:tc>
          <w:tcPr>
            <w:tcW w:w="2440" w:type="dxa"/>
          </w:tcPr>
          <w:p w14:paraId="586B4FC4" w14:textId="4C354221"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 xml:space="preserve">Keith Kendall </w:t>
            </w:r>
          </w:p>
        </w:tc>
        <w:tc>
          <w:tcPr>
            <w:tcW w:w="6094" w:type="dxa"/>
          </w:tcPr>
          <w:p w14:paraId="27DFE932" w14:textId="3236D111"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Regional Senior Pharmacy Integration Lead – North East and Yorkshire Region</w:t>
            </w:r>
          </w:p>
        </w:tc>
      </w:tr>
      <w:tr w:rsidR="006809C4" w:rsidRPr="006A77F2" w14:paraId="591C78A8" w14:textId="77777777" w:rsidTr="00891E3D">
        <w:trPr>
          <w:trHeight w:val="267"/>
        </w:trPr>
        <w:tc>
          <w:tcPr>
            <w:tcW w:w="2440" w:type="dxa"/>
          </w:tcPr>
          <w:p w14:paraId="7BFF5449" w14:textId="77777777" w:rsidR="006809C4" w:rsidRPr="006A77F2" w:rsidRDefault="006809C4" w:rsidP="00B93D2E">
            <w:pPr>
              <w:spacing w:line="240" w:lineRule="auto"/>
              <w:rPr>
                <w:rFonts w:cs="Arial"/>
              </w:rPr>
            </w:pPr>
            <w:r w:rsidRPr="006A77F2">
              <w:rPr>
                <w:rFonts w:cs="Arial"/>
              </w:rPr>
              <w:t>Louise Ross</w:t>
            </w:r>
          </w:p>
          <w:p w14:paraId="6AAA48AA" w14:textId="4C89E2CE" w:rsidR="006809C4" w:rsidRPr="006A77F2" w:rsidRDefault="006809C4" w:rsidP="00B93D2E">
            <w:pPr>
              <w:overflowPunct w:val="0"/>
              <w:autoSpaceDE w:val="0"/>
              <w:autoSpaceDN w:val="0"/>
              <w:adjustRightInd w:val="0"/>
              <w:spacing w:before="60" w:after="60" w:line="240" w:lineRule="auto"/>
              <w:textAlignment w:val="baseline"/>
              <w:rPr>
                <w:rFonts w:cs="Arial"/>
              </w:rPr>
            </w:pPr>
          </w:p>
        </w:tc>
        <w:tc>
          <w:tcPr>
            <w:tcW w:w="6094" w:type="dxa"/>
          </w:tcPr>
          <w:p w14:paraId="0D516FEE" w14:textId="77777777" w:rsidR="006809C4" w:rsidRPr="006A77F2" w:rsidRDefault="006809C4" w:rsidP="00B93D2E">
            <w:pPr>
              <w:spacing w:line="240" w:lineRule="auto"/>
              <w:rPr>
                <w:rFonts w:cs="Arial"/>
              </w:rPr>
            </w:pPr>
            <w:r w:rsidRPr="006A77F2">
              <w:rPr>
                <w:rFonts w:cs="Arial"/>
              </w:rPr>
              <w:t xml:space="preserve">Clinical Consultant </w:t>
            </w:r>
          </w:p>
          <w:p w14:paraId="21B2881D" w14:textId="083FB73C"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National Centre for Smoking Cessation and Training</w:t>
            </w:r>
          </w:p>
        </w:tc>
      </w:tr>
      <w:tr w:rsidR="006809C4" w:rsidRPr="006A77F2" w14:paraId="5D52443B" w14:textId="77777777" w:rsidTr="00891E3D">
        <w:trPr>
          <w:trHeight w:val="267"/>
        </w:trPr>
        <w:tc>
          <w:tcPr>
            <w:tcW w:w="2440" w:type="dxa"/>
          </w:tcPr>
          <w:p w14:paraId="344DA0BF" w14:textId="0F652E00"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Martyn Willmore</w:t>
            </w:r>
          </w:p>
        </w:tc>
        <w:tc>
          <w:tcPr>
            <w:tcW w:w="6094" w:type="dxa"/>
          </w:tcPr>
          <w:p w14:paraId="211C7F74" w14:textId="2FA49097"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 xml:space="preserve">Tobacco Control Senior Programme Manager, Health Improvement: Alcohol, Drugs, Tobacco and Justice Division, </w:t>
            </w:r>
            <w:r w:rsidR="00604DFF" w:rsidRPr="006A77F2">
              <w:rPr>
                <w:rFonts w:cs="Arial"/>
              </w:rPr>
              <w:t>Department of Health and Social Care</w:t>
            </w:r>
          </w:p>
        </w:tc>
      </w:tr>
      <w:tr w:rsidR="006809C4" w:rsidRPr="006A77F2" w14:paraId="7672561D" w14:textId="77777777" w:rsidTr="00891E3D">
        <w:trPr>
          <w:trHeight w:val="267"/>
        </w:trPr>
        <w:tc>
          <w:tcPr>
            <w:tcW w:w="2440" w:type="dxa"/>
          </w:tcPr>
          <w:p w14:paraId="6C818151" w14:textId="77777777" w:rsidR="006809C4" w:rsidRPr="006A77F2" w:rsidRDefault="006809C4" w:rsidP="00B93D2E">
            <w:pPr>
              <w:spacing w:line="240" w:lineRule="auto"/>
              <w:rPr>
                <w:rFonts w:cs="Arial"/>
              </w:rPr>
            </w:pPr>
            <w:r w:rsidRPr="006A77F2">
              <w:rPr>
                <w:rFonts w:cs="Arial"/>
              </w:rPr>
              <w:t>Dr Debbie Robson</w:t>
            </w:r>
          </w:p>
          <w:p w14:paraId="38106307" w14:textId="04B51FE1" w:rsidR="006809C4" w:rsidRPr="006A77F2" w:rsidRDefault="006809C4" w:rsidP="00B93D2E">
            <w:pPr>
              <w:overflowPunct w:val="0"/>
              <w:autoSpaceDE w:val="0"/>
              <w:autoSpaceDN w:val="0"/>
              <w:adjustRightInd w:val="0"/>
              <w:spacing w:before="60" w:after="60" w:line="240" w:lineRule="auto"/>
              <w:textAlignment w:val="baseline"/>
              <w:rPr>
                <w:rFonts w:cs="Arial"/>
              </w:rPr>
            </w:pPr>
          </w:p>
        </w:tc>
        <w:tc>
          <w:tcPr>
            <w:tcW w:w="6094" w:type="dxa"/>
          </w:tcPr>
          <w:p w14:paraId="67B3C3FB" w14:textId="3F4AFDA2"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Senior Lecturer in Tobacco Harm Reduction, National Addiction Centre, Addictions Department &amp; NIHR ARC South London, Institute of Psychiatry, Psychology &amp; Neuroscience, King's College London,</w:t>
            </w:r>
          </w:p>
        </w:tc>
      </w:tr>
      <w:tr w:rsidR="006809C4" w:rsidRPr="006A77F2" w14:paraId="6E87075B" w14:textId="77777777" w:rsidTr="00891E3D">
        <w:trPr>
          <w:trHeight w:val="267"/>
        </w:trPr>
        <w:tc>
          <w:tcPr>
            <w:tcW w:w="2440" w:type="dxa"/>
          </w:tcPr>
          <w:p w14:paraId="3AF0F769" w14:textId="77777777" w:rsidR="006809C4" w:rsidRPr="006A77F2" w:rsidRDefault="006809C4" w:rsidP="00B93D2E">
            <w:pPr>
              <w:spacing w:line="240" w:lineRule="auto"/>
              <w:rPr>
                <w:rFonts w:cs="Arial"/>
              </w:rPr>
            </w:pPr>
            <w:r w:rsidRPr="006A77F2">
              <w:rPr>
                <w:rFonts w:cs="Arial"/>
              </w:rPr>
              <w:t>Julia Robson</w:t>
            </w:r>
          </w:p>
          <w:p w14:paraId="1B5E7FE3" w14:textId="69202ED5" w:rsidR="006809C4" w:rsidRPr="006A77F2" w:rsidRDefault="006809C4" w:rsidP="00B93D2E">
            <w:pPr>
              <w:overflowPunct w:val="0"/>
              <w:autoSpaceDE w:val="0"/>
              <w:autoSpaceDN w:val="0"/>
              <w:adjustRightInd w:val="0"/>
              <w:spacing w:before="60" w:after="60" w:line="240" w:lineRule="auto"/>
              <w:textAlignment w:val="baseline"/>
              <w:rPr>
                <w:rFonts w:cs="Arial"/>
              </w:rPr>
            </w:pPr>
          </w:p>
        </w:tc>
        <w:tc>
          <w:tcPr>
            <w:tcW w:w="6094" w:type="dxa"/>
          </w:tcPr>
          <w:p w14:paraId="135CE9EE" w14:textId="574BC91F"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Tobacco Control Programme Manager. Office for Health Improvement and Disparities, Department of Health and Social Care</w:t>
            </w:r>
          </w:p>
        </w:tc>
      </w:tr>
      <w:tr w:rsidR="006809C4" w:rsidRPr="006A77F2" w14:paraId="6785261F" w14:textId="77777777" w:rsidTr="00891E3D">
        <w:trPr>
          <w:trHeight w:val="267"/>
        </w:trPr>
        <w:tc>
          <w:tcPr>
            <w:tcW w:w="2440" w:type="dxa"/>
          </w:tcPr>
          <w:p w14:paraId="4D321B3B" w14:textId="262EE887"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 xml:space="preserve">Professor Sanjay Agrawal </w:t>
            </w:r>
          </w:p>
        </w:tc>
        <w:tc>
          <w:tcPr>
            <w:tcW w:w="6094" w:type="dxa"/>
          </w:tcPr>
          <w:p w14:paraId="164B72F0" w14:textId="5CD88DEA"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NHS</w:t>
            </w:r>
            <w:r w:rsidR="00FB1C8E" w:rsidRPr="006A77F2">
              <w:rPr>
                <w:rFonts w:cs="Arial"/>
              </w:rPr>
              <w:t xml:space="preserve"> </w:t>
            </w:r>
            <w:r w:rsidRPr="006A77F2">
              <w:rPr>
                <w:rFonts w:cs="Arial"/>
              </w:rPr>
              <w:t>E</w:t>
            </w:r>
            <w:r w:rsidR="00FB1C8E" w:rsidRPr="006A77F2">
              <w:rPr>
                <w:rFonts w:cs="Arial"/>
              </w:rPr>
              <w:t>ngland</w:t>
            </w:r>
            <w:r w:rsidRPr="006A77F2">
              <w:rPr>
                <w:rFonts w:cs="Arial"/>
              </w:rPr>
              <w:t xml:space="preserve"> National Specialty Adviser for tobacco dependency, Chair RCP of the Tobacco Special </w:t>
            </w:r>
            <w:r w:rsidRPr="006A77F2">
              <w:rPr>
                <w:rFonts w:cs="Arial"/>
              </w:rPr>
              <w:lastRenderedPageBreak/>
              <w:t>Advisory Group, Chair NHS</w:t>
            </w:r>
            <w:r w:rsidR="00FB1C8E" w:rsidRPr="006A77F2">
              <w:rPr>
                <w:rFonts w:cs="Arial"/>
              </w:rPr>
              <w:t xml:space="preserve"> </w:t>
            </w:r>
            <w:r w:rsidRPr="006A77F2">
              <w:rPr>
                <w:rFonts w:cs="Arial"/>
              </w:rPr>
              <w:t>E</w:t>
            </w:r>
            <w:r w:rsidR="00FB1C8E" w:rsidRPr="006A77F2">
              <w:rPr>
                <w:rFonts w:cs="Arial"/>
              </w:rPr>
              <w:t>ngland</w:t>
            </w:r>
            <w:r w:rsidRPr="006A77F2">
              <w:rPr>
                <w:rFonts w:cs="Arial"/>
              </w:rPr>
              <w:t xml:space="preserve"> Tobacco Dependence Stakeholder Group, Consultant in respiratory and critical care medicine University Hospitals of Leicester NHS Trust.</w:t>
            </w:r>
          </w:p>
        </w:tc>
      </w:tr>
      <w:tr w:rsidR="006809C4" w:rsidRPr="006A77F2" w14:paraId="547E7250" w14:textId="77777777" w:rsidTr="00891E3D">
        <w:trPr>
          <w:trHeight w:val="267"/>
        </w:trPr>
        <w:tc>
          <w:tcPr>
            <w:tcW w:w="2440" w:type="dxa"/>
          </w:tcPr>
          <w:p w14:paraId="7A14514B" w14:textId="0F56292C"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lastRenderedPageBreak/>
              <w:t xml:space="preserve">Peter Pratt </w:t>
            </w:r>
          </w:p>
        </w:tc>
        <w:tc>
          <w:tcPr>
            <w:tcW w:w="6094" w:type="dxa"/>
          </w:tcPr>
          <w:p w14:paraId="787FA8DF" w14:textId="777624C5"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National Speciality Adviser for Mental Health Pharmacy, NHS England</w:t>
            </w:r>
          </w:p>
        </w:tc>
      </w:tr>
      <w:tr w:rsidR="006809C4" w:rsidRPr="006A77F2" w14:paraId="17B01B22" w14:textId="77777777" w:rsidTr="00891E3D">
        <w:trPr>
          <w:trHeight w:val="267"/>
        </w:trPr>
        <w:tc>
          <w:tcPr>
            <w:tcW w:w="2440" w:type="dxa"/>
          </w:tcPr>
          <w:p w14:paraId="11F45848" w14:textId="0A6D84B8"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Qasim Chowdary</w:t>
            </w:r>
          </w:p>
        </w:tc>
        <w:tc>
          <w:tcPr>
            <w:tcW w:w="6094" w:type="dxa"/>
          </w:tcPr>
          <w:p w14:paraId="65EB873D" w14:textId="0A42B7AE"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 xml:space="preserve">Tobacco Control Manager, </w:t>
            </w:r>
            <w:r w:rsidR="00604DFF" w:rsidRPr="006A77F2">
              <w:rPr>
                <w:rFonts w:cs="Arial"/>
              </w:rPr>
              <w:t>Department of Health and Social Care</w:t>
            </w:r>
          </w:p>
        </w:tc>
      </w:tr>
      <w:tr w:rsidR="006809C4" w:rsidRPr="006A77F2" w14:paraId="5CC939AB" w14:textId="77777777" w:rsidTr="00891E3D">
        <w:trPr>
          <w:trHeight w:val="267"/>
        </w:trPr>
        <w:tc>
          <w:tcPr>
            <w:tcW w:w="2440" w:type="dxa"/>
          </w:tcPr>
          <w:p w14:paraId="5A0DB760" w14:textId="781F3E03"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Rob Hebdon</w:t>
            </w:r>
          </w:p>
        </w:tc>
        <w:tc>
          <w:tcPr>
            <w:tcW w:w="6094" w:type="dxa"/>
          </w:tcPr>
          <w:p w14:paraId="5B40B76A" w14:textId="619AEF40"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 xml:space="preserve">National Pharmacy Integration Lead, NHS England </w:t>
            </w:r>
          </w:p>
        </w:tc>
      </w:tr>
      <w:tr w:rsidR="006809C4" w:rsidRPr="006A77F2" w14:paraId="09F18EA1" w14:textId="77777777" w:rsidTr="00891E3D">
        <w:trPr>
          <w:trHeight w:val="267"/>
        </w:trPr>
        <w:tc>
          <w:tcPr>
            <w:tcW w:w="2440" w:type="dxa"/>
          </w:tcPr>
          <w:p w14:paraId="2EB63EFF" w14:textId="0FD95553"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 xml:space="preserve">Stephen Riley </w:t>
            </w:r>
          </w:p>
        </w:tc>
        <w:tc>
          <w:tcPr>
            <w:tcW w:w="6094" w:type="dxa"/>
          </w:tcPr>
          <w:p w14:paraId="209B895E" w14:textId="1FAB1A49"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Deputy North West Regional Chief Pharmacist – Pharmacy Integration</w:t>
            </w:r>
          </w:p>
        </w:tc>
      </w:tr>
      <w:tr w:rsidR="006809C4" w:rsidRPr="006A77F2" w14:paraId="4D3204BA" w14:textId="77777777" w:rsidTr="00891E3D">
        <w:trPr>
          <w:trHeight w:val="267"/>
        </w:trPr>
        <w:tc>
          <w:tcPr>
            <w:tcW w:w="2440" w:type="dxa"/>
          </w:tcPr>
          <w:p w14:paraId="12F961CD" w14:textId="021C20CA"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Jo Jenkins (SLWG co-ordinator)</w:t>
            </w:r>
          </w:p>
        </w:tc>
        <w:tc>
          <w:tcPr>
            <w:tcW w:w="6094" w:type="dxa"/>
          </w:tcPr>
          <w:p w14:paraId="0C2296B0" w14:textId="77777777" w:rsidR="006809C4" w:rsidRPr="006A77F2" w:rsidRDefault="006809C4" w:rsidP="00B93D2E">
            <w:pPr>
              <w:spacing w:line="240" w:lineRule="auto"/>
              <w:rPr>
                <w:rFonts w:cs="Arial"/>
              </w:rPr>
            </w:pPr>
            <w:r w:rsidRPr="006A77F2">
              <w:rPr>
                <w:rFonts w:cs="Arial"/>
              </w:rPr>
              <w:t xml:space="preserve">Associate Director – Medicines Governance, </w:t>
            </w:r>
          </w:p>
          <w:p w14:paraId="0429A881" w14:textId="25FBA559"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 xml:space="preserve">Medicines Use and Safety Division, Specialist Pharmacy Service </w:t>
            </w:r>
          </w:p>
        </w:tc>
      </w:tr>
      <w:tr w:rsidR="006809C4" w:rsidRPr="006A77F2" w14:paraId="016BF5E0" w14:textId="77777777" w:rsidTr="00891E3D">
        <w:trPr>
          <w:trHeight w:val="267"/>
        </w:trPr>
        <w:tc>
          <w:tcPr>
            <w:tcW w:w="2440" w:type="dxa"/>
          </w:tcPr>
          <w:p w14:paraId="12EC1F53" w14:textId="420315C6"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Kieran Reynolds (SLWG co-ordinator)</w:t>
            </w:r>
          </w:p>
        </w:tc>
        <w:tc>
          <w:tcPr>
            <w:tcW w:w="6094" w:type="dxa"/>
          </w:tcPr>
          <w:p w14:paraId="077A7F22" w14:textId="0B671E58"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Advanced Specialist Pharmacist – Medicines Governance, Medicines Use and Safety Division, Specialist Pharmacy Service</w:t>
            </w:r>
          </w:p>
        </w:tc>
      </w:tr>
      <w:tr w:rsidR="006809C4" w:rsidRPr="006A77F2" w14:paraId="2EA0044E" w14:textId="77777777" w:rsidTr="00891E3D">
        <w:trPr>
          <w:trHeight w:val="267"/>
        </w:trPr>
        <w:tc>
          <w:tcPr>
            <w:tcW w:w="2440" w:type="dxa"/>
          </w:tcPr>
          <w:p w14:paraId="25C44088" w14:textId="0E03C3D4" w:rsidR="006809C4" w:rsidRPr="006A77F2" w:rsidRDefault="006809C4" w:rsidP="00B93D2E">
            <w:pPr>
              <w:overflowPunct w:val="0"/>
              <w:autoSpaceDE w:val="0"/>
              <w:autoSpaceDN w:val="0"/>
              <w:adjustRightInd w:val="0"/>
              <w:spacing w:before="60" w:after="60" w:line="240" w:lineRule="auto"/>
              <w:textAlignment w:val="baseline"/>
              <w:rPr>
                <w:rFonts w:cs="Arial"/>
              </w:rPr>
            </w:pPr>
            <w:r w:rsidRPr="006A77F2">
              <w:rPr>
                <w:rFonts w:cs="Arial"/>
              </w:rPr>
              <w:t xml:space="preserve">Tracy Rogers </w:t>
            </w:r>
          </w:p>
        </w:tc>
        <w:tc>
          <w:tcPr>
            <w:tcW w:w="6094" w:type="dxa"/>
          </w:tcPr>
          <w:p w14:paraId="74EC770C" w14:textId="417C55C9" w:rsidR="006809C4" w:rsidRPr="006A77F2" w:rsidRDefault="006809C4" w:rsidP="00B93D2E">
            <w:pPr>
              <w:tabs>
                <w:tab w:val="left" w:pos="2320"/>
              </w:tabs>
              <w:overflowPunct w:val="0"/>
              <w:autoSpaceDE w:val="0"/>
              <w:autoSpaceDN w:val="0"/>
              <w:adjustRightInd w:val="0"/>
              <w:spacing w:before="60" w:after="60" w:line="240" w:lineRule="auto"/>
              <w:textAlignment w:val="baseline"/>
              <w:rPr>
                <w:rFonts w:cs="Arial"/>
              </w:rPr>
            </w:pPr>
            <w:r w:rsidRPr="006A77F2">
              <w:rPr>
                <w:rFonts w:cs="Arial"/>
              </w:rPr>
              <w:t>Director, Medicines Use and Safety Division, Specialist Pharmacy Service</w:t>
            </w:r>
          </w:p>
        </w:tc>
      </w:tr>
    </w:tbl>
    <w:p w14:paraId="3EE3ED21" w14:textId="77777777" w:rsidR="000907BD" w:rsidRPr="006A77F2" w:rsidRDefault="000907BD" w:rsidP="00085A64"/>
    <w:p w14:paraId="031997DA" w14:textId="77777777" w:rsidR="00EC08DE" w:rsidRPr="006A77F2" w:rsidRDefault="00EC08DE" w:rsidP="00EC08DE">
      <w:pPr>
        <w:jc w:val="both"/>
        <w:rPr>
          <w:rFonts w:cs="Arial"/>
          <w:b/>
        </w:rPr>
      </w:pPr>
    </w:p>
    <w:p w14:paraId="33FFF1D5" w14:textId="77777777" w:rsidR="00EC08DE" w:rsidRPr="006A77F2" w:rsidRDefault="00EC08DE" w:rsidP="00EC08DE">
      <w:pPr>
        <w:jc w:val="both"/>
        <w:rPr>
          <w:rFonts w:cs="Arial"/>
          <w:b/>
        </w:rPr>
      </w:pPr>
    </w:p>
    <w:p w14:paraId="1D53634E" w14:textId="77777777" w:rsidR="00BF4FDA" w:rsidRPr="006A77F2" w:rsidRDefault="00BF4FDA">
      <w:pPr>
        <w:spacing w:after="0" w:line="240" w:lineRule="auto"/>
        <w:textboxTightWrap w:val="none"/>
        <w:rPr>
          <w:rFonts w:cs="Arial"/>
          <w:b/>
        </w:rPr>
      </w:pPr>
      <w:r w:rsidRPr="006A77F2">
        <w:rPr>
          <w:rFonts w:cs="Arial"/>
          <w:b/>
        </w:rPr>
        <w:br w:type="page"/>
      </w:r>
    </w:p>
    <w:p w14:paraId="7FE83C5A" w14:textId="100A7373" w:rsidR="00EC08DE" w:rsidRPr="006A77F2" w:rsidRDefault="00EC08DE" w:rsidP="00EC08DE">
      <w:pPr>
        <w:jc w:val="both"/>
        <w:rPr>
          <w:rFonts w:cs="Arial"/>
          <w:b/>
        </w:rPr>
      </w:pPr>
      <w:r w:rsidRPr="006A77F2">
        <w:rPr>
          <w:rFonts w:cs="Arial"/>
          <w:b/>
        </w:rPr>
        <w:lastRenderedPageBreak/>
        <w:t>ORGANISATIONAL AUTHORISATIONS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137"/>
        <w:gridCol w:w="3036"/>
        <w:gridCol w:w="1279"/>
      </w:tblGrid>
      <w:tr w:rsidR="00EC08DE" w:rsidRPr="006A77F2" w14:paraId="5F1A9F46" w14:textId="77777777" w:rsidTr="4D30AF06">
        <w:tc>
          <w:tcPr>
            <w:tcW w:w="2209"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3B1A1AF" w14:textId="77777777" w:rsidR="00EC08DE" w:rsidRPr="006A77F2" w:rsidRDefault="00EC08DE" w:rsidP="006D19F4">
            <w:pPr>
              <w:keepNext/>
              <w:spacing w:after="60"/>
              <w:rPr>
                <w:b/>
              </w:rPr>
            </w:pPr>
            <w:r w:rsidRPr="006A77F2">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60948B17" w14:textId="77777777" w:rsidR="00EC08DE" w:rsidRPr="006A77F2" w:rsidRDefault="00EC08DE" w:rsidP="006D19F4">
            <w:pPr>
              <w:keepNext/>
              <w:spacing w:after="60"/>
              <w:rPr>
                <w:b/>
              </w:rPr>
            </w:pPr>
            <w:r w:rsidRPr="006A77F2">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DA8ED5D" w14:textId="77777777" w:rsidR="00EC08DE" w:rsidRPr="006A77F2" w:rsidRDefault="00EC08DE" w:rsidP="006D19F4">
            <w:pPr>
              <w:keepNext/>
              <w:spacing w:after="60"/>
              <w:rPr>
                <w:b/>
              </w:rPr>
            </w:pPr>
            <w:r w:rsidRPr="006A77F2">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text1" w:themeFillShade="D9"/>
          </w:tcPr>
          <w:p w14:paraId="14A6D3DE" w14:textId="77777777" w:rsidR="00EC08DE" w:rsidRPr="006A77F2" w:rsidRDefault="00EC08DE" w:rsidP="006D19F4">
            <w:pPr>
              <w:keepNext/>
              <w:spacing w:after="60"/>
              <w:rPr>
                <w:b/>
              </w:rPr>
            </w:pPr>
            <w:r w:rsidRPr="006A77F2">
              <w:rPr>
                <w:b/>
              </w:rPr>
              <w:t>Date</w:t>
            </w:r>
          </w:p>
        </w:tc>
      </w:tr>
      <w:tr w:rsidR="00EC08DE" w:rsidRPr="006A77F2" w14:paraId="388012AE" w14:textId="77777777" w:rsidTr="4D30AF06">
        <w:tc>
          <w:tcPr>
            <w:tcW w:w="2209" w:type="dxa"/>
            <w:tcBorders>
              <w:top w:val="single" w:sz="4" w:space="0" w:color="auto"/>
              <w:left w:val="single" w:sz="4" w:space="0" w:color="auto"/>
              <w:bottom w:val="single" w:sz="4" w:space="0" w:color="auto"/>
              <w:right w:val="single" w:sz="4" w:space="0" w:color="auto"/>
            </w:tcBorders>
          </w:tcPr>
          <w:p w14:paraId="1B5D200A" w14:textId="77777777" w:rsidR="00EC08DE" w:rsidRPr="006A77F2" w:rsidRDefault="00EC08DE" w:rsidP="006D19F4">
            <w:pPr>
              <w:keepNext/>
              <w:spacing w:after="60"/>
              <w:rPr>
                <w:b/>
                <w:highlight w:val="yellow"/>
              </w:rPr>
            </w:pPr>
            <w:r w:rsidRPr="006A77F2">
              <w:rPr>
                <w:b/>
                <w:highlight w:val="yellow"/>
              </w:rPr>
              <w:t xml:space="preserve">Senior doctor </w:t>
            </w:r>
          </w:p>
          <w:p w14:paraId="5EA2F0C7" w14:textId="01B81FA3" w:rsidR="00EC08DE" w:rsidRPr="006A77F2" w:rsidRDefault="53C0BFA1" w:rsidP="4D30AF06">
            <w:pPr>
              <w:keepNext/>
              <w:spacing w:after="60"/>
              <w:rPr>
                <w:b/>
                <w:bCs/>
                <w:highlight w:val="yellow"/>
              </w:rPr>
            </w:pPr>
            <w:r w:rsidRPr="006A77F2">
              <w:rPr>
                <w:b/>
                <w:bCs/>
                <w:highlight w:val="yellow"/>
              </w:rPr>
              <w:t>Claire Fuller</w:t>
            </w:r>
          </w:p>
        </w:tc>
        <w:tc>
          <w:tcPr>
            <w:tcW w:w="2217" w:type="dxa"/>
            <w:tcBorders>
              <w:top w:val="single" w:sz="4" w:space="0" w:color="auto"/>
              <w:left w:val="single" w:sz="4" w:space="0" w:color="auto"/>
              <w:bottom w:val="single" w:sz="4" w:space="0" w:color="auto"/>
              <w:right w:val="single" w:sz="4" w:space="0" w:color="auto"/>
            </w:tcBorders>
          </w:tcPr>
          <w:p w14:paraId="2BFBF7A2" w14:textId="77777777" w:rsidR="00EC08DE" w:rsidRPr="006A77F2" w:rsidRDefault="00EC08DE" w:rsidP="006D19F4">
            <w:pPr>
              <w:keepNext/>
              <w:spacing w:after="60"/>
            </w:pPr>
            <w:r w:rsidRPr="006A77F2">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7C57C68F" w14:textId="6E7D30BA" w:rsidR="00EC08DE" w:rsidRPr="006A77F2" w:rsidRDefault="00D672FC" w:rsidP="006D19F4">
            <w:pPr>
              <w:keepNext/>
              <w:spacing w:after="60"/>
            </w:pPr>
            <w:r>
              <w:rPr>
                <w:rFonts w:cs="Arial"/>
                <w:noProof/>
                <w:lang w:eastAsia="en-GB"/>
              </w:rPr>
              <w:drawing>
                <wp:inline distT="0" distB="0" distL="0" distR="0" wp14:anchorId="53C34163" wp14:editId="04B04983">
                  <wp:extent cx="1784350" cy="48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4E694B71" w14:textId="31CB7423" w:rsidR="00EC08DE" w:rsidRPr="006A77F2" w:rsidRDefault="00733715" w:rsidP="006D19F4">
            <w:pPr>
              <w:keepNext/>
              <w:spacing w:after="60"/>
            </w:pPr>
            <w:r>
              <w:t>04/11/25</w:t>
            </w:r>
          </w:p>
        </w:tc>
      </w:tr>
      <w:tr w:rsidR="00EC08DE" w:rsidRPr="006A77F2" w14:paraId="3BDD3AC2" w14:textId="77777777" w:rsidTr="4D30AF06">
        <w:tc>
          <w:tcPr>
            <w:tcW w:w="2209" w:type="dxa"/>
            <w:tcBorders>
              <w:top w:val="single" w:sz="4" w:space="0" w:color="auto"/>
              <w:left w:val="single" w:sz="4" w:space="0" w:color="auto"/>
              <w:bottom w:val="single" w:sz="4" w:space="0" w:color="auto"/>
              <w:right w:val="single" w:sz="4" w:space="0" w:color="auto"/>
            </w:tcBorders>
          </w:tcPr>
          <w:p w14:paraId="245974E1" w14:textId="77777777" w:rsidR="00EC08DE" w:rsidRPr="006A77F2" w:rsidRDefault="00EC08DE" w:rsidP="006D19F4">
            <w:pPr>
              <w:keepNext/>
              <w:spacing w:after="60"/>
              <w:rPr>
                <w:b/>
              </w:rPr>
            </w:pPr>
            <w:r w:rsidRPr="006A77F2">
              <w:rPr>
                <w:b/>
              </w:rPr>
              <w:t>Senior pharmacist</w:t>
            </w:r>
          </w:p>
          <w:p w14:paraId="16E5A326" w14:textId="77777777" w:rsidR="00EC08DE" w:rsidRPr="006A77F2" w:rsidRDefault="00EC08DE" w:rsidP="006D19F4">
            <w:pPr>
              <w:keepNext/>
              <w:spacing w:after="60"/>
              <w:rPr>
                <w:b/>
              </w:rPr>
            </w:pPr>
            <w:r w:rsidRPr="006A77F2">
              <w:rPr>
                <w:b/>
              </w:rPr>
              <w:t>David Webb</w:t>
            </w:r>
          </w:p>
        </w:tc>
        <w:tc>
          <w:tcPr>
            <w:tcW w:w="2217" w:type="dxa"/>
            <w:tcBorders>
              <w:top w:val="single" w:sz="4" w:space="0" w:color="auto"/>
              <w:left w:val="single" w:sz="4" w:space="0" w:color="auto"/>
              <w:bottom w:val="single" w:sz="4" w:space="0" w:color="auto"/>
              <w:right w:val="single" w:sz="4" w:space="0" w:color="auto"/>
            </w:tcBorders>
          </w:tcPr>
          <w:p w14:paraId="02B0A041" w14:textId="77777777" w:rsidR="00EC08DE" w:rsidRPr="006A77F2" w:rsidRDefault="00EC08DE" w:rsidP="006D19F4">
            <w:pPr>
              <w:keepNext/>
              <w:spacing w:after="60"/>
            </w:pPr>
            <w:r w:rsidRPr="006A77F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4D00A0F9" w14:textId="77777777" w:rsidR="00EC08DE" w:rsidRPr="006A77F2" w:rsidRDefault="00EC08DE" w:rsidP="006D19F4">
            <w:pPr>
              <w:keepNext/>
              <w:spacing w:after="60"/>
            </w:pPr>
            <w:r w:rsidRPr="006A77F2">
              <w:rPr>
                <w:rFonts w:eastAsia="Calibri"/>
                <w:noProof/>
                <w:color w:val="231F20"/>
              </w:rPr>
              <w:drawing>
                <wp:inline distT="0" distB="0" distL="0" distR="0" wp14:anchorId="16539DE4" wp14:editId="20DCE821">
                  <wp:extent cx="1152525" cy="92392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2C2C559D" w14:textId="77821B89" w:rsidR="00EC08DE" w:rsidRPr="006A77F2" w:rsidRDefault="008E2493" w:rsidP="006D19F4">
            <w:pPr>
              <w:keepNext/>
              <w:spacing w:after="60"/>
            </w:pPr>
            <w:r>
              <w:t>26/11/25</w:t>
            </w:r>
          </w:p>
        </w:tc>
      </w:tr>
      <w:tr w:rsidR="00EC08DE" w:rsidRPr="006A77F2" w14:paraId="56A12872" w14:textId="77777777" w:rsidTr="4D30AF06">
        <w:tc>
          <w:tcPr>
            <w:tcW w:w="2209" w:type="dxa"/>
            <w:tcBorders>
              <w:top w:val="single" w:sz="4" w:space="0" w:color="auto"/>
              <w:left w:val="single" w:sz="4" w:space="0" w:color="auto"/>
              <w:bottom w:val="single" w:sz="4" w:space="0" w:color="auto"/>
              <w:right w:val="single" w:sz="4" w:space="0" w:color="auto"/>
            </w:tcBorders>
          </w:tcPr>
          <w:p w14:paraId="3123EC56" w14:textId="77777777" w:rsidR="00EC08DE" w:rsidRPr="006A77F2" w:rsidRDefault="00EC08DE" w:rsidP="006D19F4">
            <w:pPr>
              <w:keepNext/>
              <w:spacing w:after="60"/>
              <w:rPr>
                <w:rFonts w:cs="Arial"/>
                <w:b/>
              </w:rPr>
            </w:pPr>
            <w:r w:rsidRPr="006A77F2">
              <w:rPr>
                <w:rFonts w:cs="Arial"/>
                <w:b/>
              </w:rPr>
              <w:t xml:space="preserve">Person signing on behalf of </w:t>
            </w:r>
            <w:hyperlink r:id="rId13" w:anchor="authorising-body" w:history="1">
              <w:r w:rsidRPr="006A77F2">
                <w:rPr>
                  <w:rStyle w:val="Hyperlink"/>
                  <w:rFonts w:cs="Arial"/>
                </w:rPr>
                <w:t>authorising body</w:t>
              </w:r>
            </w:hyperlink>
            <w:r w:rsidRPr="006A77F2">
              <w:rPr>
                <w:rFonts w:cs="Arial"/>
                <w:b/>
              </w:rPr>
              <w:t xml:space="preserve"> </w:t>
            </w:r>
          </w:p>
          <w:p w14:paraId="4A2E5A23" w14:textId="77777777" w:rsidR="00EC08DE" w:rsidRPr="006A77F2" w:rsidRDefault="00EC08DE" w:rsidP="006D19F4">
            <w:pPr>
              <w:keepNext/>
              <w:spacing w:after="60"/>
              <w:rPr>
                <w:rFonts w:cs="Arial"/>
                <w:b/>
              </w:rPr>
            </w:pPr>
            <w:r w:rsidRPr="006A77F2">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6F44C1B6" w14:textId="77777777" w:rsidR="00EC08DE" w:rsidRPr="006A77F2" w:rsidRDefault="00EC08DE" w:rsidP="006D19F4">
            <w:pPr>
              <w:spacing w:before="60" w:after="60"/>
              <w:rPr>
                <w:sz w:val="20"/>
                <w:szCs w:val="20"/>
              </w:rPr>
            </w:pPr>
            <w:r w:rsidRPr="006A77F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3BC84A85" w14:textId="77777777" w:rsidR="00EC08DE" w:rsidRPr="006A77F2" w:rsidRDefault="00EC08DE" w:rsidP="006D19F4">
            <w:pPr>
              <w:keepNext/>
              <w:spacing w:after="60"/>
            </w:pPr>
            <w:r w:rsidRPr="006A77F2">
              <w:rPr>
                <w:noProof/>
              </w:rPr>
              <w:drawing>
                <wp:inline distT="0" distB="0" distL="0" distR="0" wp14:anchorId="55C20B96" wp14:editId="217AD3EC">
                  <wp:extent cx="1152525" cy="926465"/>
                  <wp:effectExtent l="0" t="0" r="9525" b="6985"/>
                  <wp:docPr id="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0DDF9D45" w14:textId="637ABA75" w:rsidR="00EC08DE" w:rsidRPr="006A77F2" w:rsidRDefault="008E2493" w:rsidP="006D19F4">
            <w:pPr>
              <w:keepNext/>
              <w:spacing w:after="60"/>
            </w:pPr>
            <w:r>
              <w:t>26/11/25</w:t>
            </w:r>
          </w:p>
        </w:tc>
      </w:tr>
    </w:tbl>
    <w:p w14:paraId="43B8739D" w14:textId="77777777" w:rsidR="00B10AEE" w:rsidRPr="006A77F2" w:rsidRDefault="00B10AEE" w:rsidP="00085A64"/>
    <w:p w14:paraId="0999DD21" w14:textId="7A360868" w:rsidR="00B42FAF" w:rsidRPr="006A77F2" w:rsidRDefault="00B42FAF">
      <w:pPr>
        <w:spacing w:after="0" w:line="240" w:lineRule="auto"/>
        <w:textboxTightWrap w:val="none"/>
      </w:pPr>
      <w:r w:rsidRPr="006A77F2">
        <w:br w:type="page"/>
      </w:r>
    </w:p>
    <w:p w14:paraId="4CEC48FA" w14:textId="097B19C5" w:rsidR="00BB4335" w:rsidRPr="006A77F2" w:rsidRDefault="001D21C1" w:rsidP="007C597E">
      <w:pPr>
        <w:pStyle w:val="h2numbered"/>
        <w:keepNext w:val="0"/>
        <w:widowControl w:val="0"/>
      </w:pPr>
      <w:r w:rsidRPr="006A77F2">
        <w:rPr>
          <w:rFonts w:ascii="Arial" w:hAnsi="Arial"/>
        </w:rPr>
        <w:lastRenderedPageBreak/>
        <w:t>Characteristics of staff</w:t>
      </w:r>
      <w:r w:rsidRPr="006A77F2">
        <w:t xml:space="preserve"> </w:t>
      </w:r>
    </w:p>
    <w:tbl>
      <w:tblPr>
        <w:tblpPr w:leftFromText="180" w:rightFromText="180" w:vertAnchor="text" w:tblpX="-318"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4A635B" w:rsidRPr="006A77F2" w14:paraId="00C8B0AA" w14:textId="77777777" w:rsidTr="007C597E">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580528C4" w14:textId="77777777" w:rsidR="004A635B" w:rsidRPr="006A77F2" w:rsidRDefault="004A635B" w:rsidP="007C597E">
            <w:pPr>
              <w:keepNext/>
              <w:spacing w:before="60" w:after="60"/>
              <w:ind w:left="31"/>
              <w:rPr>
                <w:b/>
              </w:rPr>
            </w:pPr>
            <w:r w:rsidRPr="006A77F2">
              <w:rPr>
                <w:b/>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tcPr>
          <w:p w14:paraId="58F9C35D" w14:textId="77777777" w:rsidR="004A635B" w:rsidRPr="006A77F2" w:rsidRDefault="004A635B" w:rsidP="007C597E">
            <w:pPr>
              <w:pStyle w:val="Default"/>
              <w:rPr>
                <w:rFonts w:ascii="Arial" w:eastAsia="Arial" w:hAnsi="Arial" w:cs="Arial"/>
              </w:rPr>
            </w:pPr>
            <w:r w:rsidRPr="006A77F2">
              <w:rPr>
                <w:rFonts w:ascii="Arial" w:eastAsia="Arial" w:hAnsi="Arial" w:cs="Arial"/>
              </w:rPr>
              <w:t xml:space="preserve">GPhC registered pharmacist or </w:t>
            </w:r>
            <w:r w:rsidRPr="006A77F2">
              <w:rPr>
                <w:rFonts w:ascii="Arial" w:eastAsia="Arial" w:hAnsi="Arial" w:cs="Arial"/>
                <w:highlight w:val="yellow"/>
              </w:rPr>
              <w:t>pharmacy technician</w:t>
            </w:r>
            <w:r w:rsidRPr="006A77F2">
              <w:rPr>
                <w:rFonts w:ascii="Arial" w:eastAsia="Arial" w:hAnsi="Arial" w:cs="Arial"/>
              </w:rPr>
              <w:t xml:space="preserve"> able to practise under Patient Group Directions (PGDs).</w:t>
            </w:r>
          </w:p>
        </w:tc>
      </w:tr>
      <w:tr w:rsidR="004A635B" w:rsidRPr="006A77F2" w14:paraId="3ADF22FC" w14:textId="77777777" w:rsidTr="007C597E">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2E2E101F" w14:textId="77777777" w:rsidR="004A635B" w:rsidRPr="006A77F2" w:rsidRDefault="004A635B" w:rsidP="007C597E">
            <w:pPr>
              <w:keepNext/>
              <w:spacing w:before="60" w:after="60"/>
              <w:rPr>
                <w:b/>
              </w:rPr>
            </w:pPr>
            <w:r w:rsidRPr="006A77F2">
              <w:rPr>
                <w:b/>
              </w:rPr>
              <w:t>Initial training</w:t>
            </w:r>
          </w:p>
        </w:tc>
        <w:tc>
          <w:tcPr>
            <w:tcW w:w="6241" w:type="dxa"/>
            <w:tcBorders>
              <w:top w:val="single" w:sz="4" w:space="0" w:color="auto"/>
              <w:left w:val="single" w:sz="4" w:space="0" w:color="auto"/>
              <w:bottom w:val="single" w:sz="4" w:space="0" w:color="auto"/>
              <w:right w:val="single" w:sz="4" w:space="0" w:color="auto"/>
            </w:tcBorders>
          </w:tcPr>
          <w:p w14:paraId="4F3DBD0B" w14:textId="77777777" w:rsidR="00A3569F" w:rsidRPr="006A77F2" w:rsidRDefault="00A3569F" w:rsidP="007C597E">
            <w:pPr>
              <w:pStyle w:val="Default"/>
              <w:rPr>
                <w:rFonts w:ascii="Arial" w:hAnsi="Arial" w:cs="Arial"/>
              </w:rPr>
            </w:pPr>
            <w:r w:rsidRPr="006A77F2">
              <w:rPr>
                <w:rFonts w:ascii="Arial" w:hAnsi="Arial" w:cs="Arial"/>
              </w:rPr>
              <w:t>The pharmacist or pharmacy technician authorised to operate under this PGD must have undertaken appropriate education and training and be competent to undertake clinical assessment of</w:t>
            </w:r>
            <w:r w:rsidRPr="006A77F2">
              <w:rPr>
                <w:rFonts w:ascii="Arial" w:hAnsi="Arial" w:cs="Arial"/>
                <w:color w:val="auto"/>
              </w:rPr>
              <w:t xml:space="preserve"> individuals </w:t>
            </w:r>
            <w:r w:rsidRPr="006A77F2">
              <w:rPr>
                <w:rFonts w:ascii="Arial" w:hAnsi="Arial" w:cs="Arial"/>
              </w:rPr>
              <w:t xml:space="preserve">ensuring safe provision of the medicines listed in accordance with the specification. </w:t>
            </w:r>
          </w:p>
          <w:p w14:paraId="0E8A1C7A" w14:textId="77777777" w:rsidR="00A3569F" w:rsidRPr="006A77F2" w:rsidRDefault="00A3569F" w:rsidP="007C597E">
            <w:pPr>
              <w:pStyle w:val="Default"/>
              <w:rPr>
                <w:rFonts w:ascii="Arial" w:hAnsi="Arial" w:cs="Arial"/>
              </w:rPr>
            </w:pPr>
          </w:p>
          <w:p w14:paraId="637337C1" w14:textId="27326A9B" w:rsidR="00A3569F" w:rsidRPr="006A77F2" w:rsidRDefault="00A3569F" w:rsidP="007C597E">
            <w:pPr>
              <w:spacing w:line="240" w:lineRule="auto"/>
              <w:rPr>
                <w:rFonts w:cs="Arial"/>
                <w:lang w:eastAsia="en-GB"/>
              </w:rPr>
            </w:pPr>
            <w:r w:rsidRPr="006A77F2">
              <w:rPr>
                <w:rFonts w:cs="Arial"/>
              </w:rPr>
              <w:t>To deliver this service, the pharmacist or pharmacy technician should have evidence of competence in the clinical skills and knowledge covered in the</w:t>
            </w:r>
            <w:r w:rsidRPr="006A77F2">
              <w:rPr>
                <w:rFonts w:cs="Arial"/>
                <w:lang w:eastAsia="en-GB"/>
              </w:rPr>
              <w:t xml:space="preserve"> </w:t>
            </w:r>
            <w:hyperlink r:id="rId15" w:history="1">
              <w:r w:rsidR="00562975" w:rsidRPr="006A77F2">
                <w:rPr>
                  <w:rStyle w:val="Hyperlink"/>
                  <w:rFonts w:ascii="Arial" w:hAnsi="Arial" w:cs="Arial"/>
                </w:rPr>
                <w:t>National Centre of Smoking Cessation Treatment (NCSCT)</w:t>
              </w:r>
            </w:hyperlink>
            <w:r w:rsidR="00562975" w:rsidRPr="006A77F2">
              <w:rPr>
                <w:rFonts w:cs="Arial"/>
              </w:rPr>
              <w:t xml:space="preserve"> training listed </w:t>
            </w:r>
            <w:r w:rsidRPr="006A77F2">
              <w:rPr>
                <w:rFonts w:cs="Arial"/>
              </w:rPr>
              <w:t>in the service specification</w:t>
            </w:r>
            <w:r w:rsidR="00213084" w:rsidRPr="006A77F2">
              <w:rPr>
                <w:rFonts w:cs="Arial"/>
              </w:rPr>
              <w:t>.</w:t>
            </w:r>
          </w:p>
          <w:p w14:paraId="1B843B2E" w14:textId="278863FA" w:rsidR="004A635B" w:rsidRPr="006A77F2" w:rsidRDefault="00A3569F" w:rsidP="007C597E">
            <w:pPr>
              <w:pStyle w:val="Default"/>
              <w:rPr>
                <w:rFonts w:asciiTheme="minorHAnsi" w:hAnsiTheme="minorHAnsi" w:cstheme="minorHAnsi"/>
              </w:rPr>
            </w:pPr>
            <w:r w:rsidRPr="006A77F2">
              <w:rPr>
                <w:rFonts w:asciiTheme="minorHAnsi" w:hAnsiTheme="minorHAnsi" w:cstheme="minorHAnsi"/>
              </w:rPr>
              <w:t>The pharmacist or</w:t>
            </w:r>
            <w:r w:rsidRPr="006A77F2">
              <w:rPr>
                <w:rFonts w:asciiTheme="minorHAnsi" w:hAnsiTheme="minorHAnsi" w:cstheme="minorHAnsi"/>
                <w:color w:val="auto"/>
              </w:rPr>
              <w:t xml:space="preserve"> pharmacy technician has completed training and is up to date with service requirements for safeguarding vulnerable adults.</w:t>
            </w:r>
            <w:r w:rsidRPr="006A77F2">
              <w:rPr>
                <w:rFonts w:asciiTheme="minorHAnsi" w:hAnsiTheme="minorHAnsi" w:cstheme="minorHAnsi"/>
                <w:i/>
                <w:iCs/>
                <w:color w:val="auto"/>
              </w:rPr>
              <w:t> </w:t>
            </w:r>
          </w:p>
        </w:tc>
      </w:tr>
      <w:tr w:rsidR="004A635B" w:rsidRPr="006A77F2" w14:paraId="05659AC9" w14:textId="77777777" w:rsidTr="007C597E">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1D4DFE22" w14:textId="77777777" w:rsidR="004A635B" w:rsidRPr="006A77F2" w:rsidRDefault="004A635B" w:rsidP="007C597E">
            <w:pPr>
              <w:keepNext/>
              <w:spacing w:before="60" w:after="60"/>
              <w:rPr>
                <w:b/>
              </w:rPr>
            </w:pPr>
            <w:r w:rsidRPr="006A77F2">
              <w:rPr>
                <w:b/>
              </w:rPr>
              <w:t>Competency assessment</w:t>
            </w:r>
          </w:p>
        </w:tc>
        <w:tc>
          <w:tcPr>
            <w:tcW w:w="6241" w:type="dxa"/>
            <w:tcBorders>
              <w:top w:val="single" w:sz="4" w:space="0" w:color="auto"/>
              <w:left w:val="single" w:sz="4" w:space="0" w:color="auto"/>
              <w:bottom w:val="single" w:sz="4" w:space="0" w:color="auto"/>
              <w:right w:val="single" w:sz="4" w:space="0" w:color="auto"/>
            </w:tcBorders>
          </w:tcPr>
          <w:p w14:paraId="2FF9605B" w14:textId="3E126754" w:rsidR="0087053C" w:rsidRPr="006A77F2" w:rsidRDefault="0087053C" w:rsidP="007C597E">
            <w:pPr>
              <w:spacing w:line="240" w:lineRule="auto"/>
              <w:rPr>
                <w:rFonts w:cs="Arial"/>
              </w:rPr>
            </w:pPr>
            <w:r w:rsidRPr="006A77F2">
              <w:rPr>
                <w:rFonts w:cs="Arial"/>
              </w:rPr>
              <w:t xml:space="preserve">The registered </w:t>
            </w:r>
            <w:r w:rsidR="008572AA" w:rsidRPr="006A77F2">
              <w:rPr>
                <w:rFonts w:cs="Arial"/>
              </w:rPr>
              <w:t xml:space="preserve">pharmacist or pharmacy technician </w:t>
            </w:r>
            <w:r w:rsidRPr="006A77F2">
              <w:rPr>
                <w:rFonts w:cs="Arial"/>
              </w:rPr>
              <w:t>authorised to operate under this PGD must:</w:t>
            </w:r>
          </w:p>
          <w:p w14:paraId="0CF25329" w14:textId="2D1507D0" w:rsidR="0087053C" w:rsidRPr="006A77F2" w:rsidRDefault="0060337D" w:rsidP="007C597E">
            <w:pPr>
              <w:pStyle w:val="ListParagraph"/>
              <w:numPr>
                <w:ilvl w:val="0"/>
                <w:numId w:val="37"/>
              </w:numPr>
              <w:spacing w:line="240" w:lineRule="auto"/>
              <w:rPr>
                <w:rFonts w:cs="Arial"/>
              </w:rPr>
            </w:pPr>
            <w:r w:rsidRPr="006A77F2">
              <w:rPr>
                <w:rFonts w:cs="Arial"/>
              </w:rPr>
              <w:t>Have u</w:t>
            </w:r>
            <w:r w:rsidR="0087053C" w:rsidRPr="006A77F2">
              <w:rPr>
                <w:rFonts w:cs="Arial"/>
              </w:rPr>
              <w:t xml:space="preserve">ndertaken appropriate training and successfully completed the competencies to undertake clinical assessment of individuals leading to </w:t>
            </w:r>
            <w:r w:rsidR="00676B15" w:rsidRPr="006A77F2">
              <w:rPr>
                <w:rFonts w:cs="Arial"/>
              </w:rPr>
              <w:t>assistance with treatment for tobacco dependence for those who have chosen to continue their treatment in community pharmacy after discharge from a hospital</w:t>
            </w:r>
          </w:p>
          <w:p w14:paraId="1C4E01BC" w14:textId="21DE3553" w:rsidR="0087053C" w:rsidRPr="006A77F2" w:rsidRDefault="00676B15" w:rsidP="007C597E">
            <w:pPr>
              <w:pStyle w:val="ListParagraph"/>
              <w:numPr>
                <w:ilvl w:val="0"/>
                <w:numId w:val="37"/>
              </w:numPr>
              <w:spacing w:line="240" w:lineRule="auto"/>
              <w:rPr>
                <w:rFonts w:cs="Arial"/>
              </w:rPr>
            </w:pPr>
            <w:r w:rsidRPr="006A77F2">
              <w:rPr>
                <w:rFonts w:cs="Arial"/>
              </w:rPr>
              <w:t>Have u</w:t>
            </w:r>
            <w:r w:rsidR="0087053C" w:rsidRPr="006A77F2">
              <w:rPr>
                <w:rFonts w:cs="Arial"/>
              </w:rPr>
              <w:t xml:space="preserve">ndertaken appropriate training for working under PGDs for the supply and administration of medicines. Recommended training </w:t>
            </w:r>
            <w:hyperlink r:id="rId16" w:history="1">
              <w:r w:rsidR="0087053C" w:rsidRPr="006A77F2">
                <w:rPr>
                  <w:rStyle w:val="Hyperlink"/>
                  <w:rFonts w:ascii="Arial" w:hAnsi="Arial" w:cs="Arial"/>
                </w:rPr>
                <w:t xml:space="preserve">- </w:t>
              </w:r>
              <w:proofErr w:type="spellStart"/>
              <w:r w:rsidR="0087053C" w:rsidRPr="006A77F2">
                <w:rPr>
                  <w:rStyle w:val="Hyperlink"/>
                  <w:rFonts w:ascii="Arial" w:hAnsi="Arial" w:cs="Arial"/>
                </w:rPr>
                <w:t>eLfH</w:t>
              </w:r>
              <w:proofErr w:type="spellEnd"/>
              <w:r w:rsidR="0087053C" w:rsidRPr="006A77F2">
                <w:rPr>
                  <w:rStyle w:val="Hyperlink"/>
                  <w:rFonts w:ascii="Arial" w:hAnsi="Arial" w:cs="Arial"/>
                </w:rPr>
                <w:t xml:space="preserve"> PGD e</w:t>
              </w:r>
              <w:r w:rsidRPr="006A77F2">
                <w:rPr>
                  <w:rStyle w:val="Hyperlink"/>
                  <w:rFonts w:ascii="Arial" w:hAnsi="Arial" w:cs="Arial"/>
                </w:rPr>
                <w:t>-</w:t>
              </w:r>
              <w:r w:rsidR="0087053C" w:rsidRPr="006A77F2">
                <w:rPr>
                  <w:rStyle w:val="Hyperlink"/>
                  <w:rFonts w:ascii="Arial" w:hAnsi="Arial" w:cs="Arial"/>
                </w:rPr>
                <w:t>learning programme</w:t>
              </w:r>
            </w:hyperlink>
            <w:r w:rsidR="0087053C" w:rsidRPr="006A77F2">
              <w:rPr>
                <w:rFonts w:cs="Arial"/>
              </w:rPr>
              <w:t xml:space="preserve"> </w:t>
            </w:r>
            <w:r w:rsidR="0087053C" w:rsidRPr="006A77F2">
              <w:rPr>
                <w:rFonts w:cs="Arial"/>
              </w:rPr>
              <w:tab/>
            </w:r>
          </w:p>
          <w:p w14:paraId="77A55280" w14:textId="1C52CA6B" w:rsidR="0087053C" w:rsidRPr="006A77F2" w:rsidRDefault="00C422B9" w:rsidP="007C597E">
            <w:pPr>
              <w:pStyle w:val="ListParagraph"/>
              <w:numPr>
                <w:ilvl w:val="0"/>
                <w:numId w:val="38"/>
              </w:numPr>
              <w:spacing w:line="240" w:lineRule="auto"/>
              <w:rPr>
                <w:rFonts w:cs="Arial"/>
              </w:rPr>
            </w:pPr>
            <w:r w:rsidRPr="006A77F2">
              <w:rPr>
                <w:rFonts w:cs="Arial"/>
              </w:rPr>
              <w:t>B</w:t>
            </w:r>
            <w:r w:rsidR="0087053C" w:rsidRPr="006A77F2">
              <w:rPr>
                <w:rFonts w:cs="Arial"/>
              </w:rPr>
              <w:t xml:space="preserve">e familiar with the product and alert to changes in the </w:t>
            </w:r>
            <w:hyperlink r:id="rId17" w:history="1">
              <w:r w:rsidR="0087053C" w:rsidRPr="006A77F2">
                <w:rPr>
                  <w:rStyle w:val="Hyperlink"/>
                  <w:rFonts w:ascii="Arial" w:hAnsi="Arial" w:cs="Arial"/>
                </w:rPr>
                <w:t>Summary of Product Characteristics (SPC)</w:t>
              </w:r>
            </w:hyperlink>
          </w:p>
          <w:p w14:paraId="5D0188E8" w14:textId="1B53EDCF" w:rsidR="0087053C" w:rsidRPr="006A77F2" w:rsidRDefault="00D30040" w:rsidP="007C597E">
            <w:pPr>
              <w:pStyle w:val="ListParagraph"/>
              <w:numPr>
                <w:ilvl w:val="0"/>
                <w:numId w:val="38"/>
              </w:numPr>
              <w:spacing w:line="240" w:lineRule="auto"/>
              <w:rPr>
                <w:rFonts w:cs="Arial"/>
              </w:rPr>
            </w:pPr>
            <w:r w:rsidRPr="006A77F2">
              <w:rPr>
                <w:rFonts w:cs="Arial"/>
              </w:rPr>
              <w:t>H</w:t>
            </w:r>
            <w:r w:rsidR="0087053C" w:rsidRPr="006A77F2">
              <w:rPr>
                <w:rFonts w:cs="Arial"/>
              </w:rPr>
              <w:t>ave access to the PGD and associated online resources</w:t>
            </w:r>
          </w:p>
          <w:p w14:paraId="4C75D6E6" w14:textId="5D3B7E47" w:rsidR="004F0F87" w:rsidRPr="006A77F2" w:rsidRDefault="00DB5BCE" w:rsidP="007C597E">
            <w:pPr>
              <w:pStyle w:val="ListParagraph"/>
              <w:numPr>
                <w:ilvl w:val="0"/>
                <w:numId w:val="38"/>
              </w:numPr>
              <w:spacing w:line="240" w:lineRule="auto"/>
              <w:rPr>
                <w:rFonts w:cs="Arial"/>
              </w:rPr>
            </w:pPr>
            <w:r w:rsidRPr="006A77F2">
              <w:rPr>
                <w:rFonts w:cs="Arial"/>
              </w:rPr>
              <w:t>B</w:t>
            </w:r>
            <w:r w:rsidR="00612CA0" w:rsidRPr="006A77F2">
              <w:rPr>
                <w:rFonts w:cs="Arial"/>
              </w:rPr>
              <w:t>e assessed as competent or</w:t>
            </w:r>
            <w:r w:rsidRPr="006A77F2">
              <w:rPr>
                <w:rFonts w:cs="Arial"/>
              </w:rPr>
              <w:t xml:space="preserve"> have</w:t>
            </w:r>
            <w:r w:rsidR="00612CA0" w:rsidRPr="006A77F2">
              <w:rPr>
                <w:rFonts w:cs="Arial"/>
              </w:rPr>
              <w:t xml:space="preserve"> complete</w:t>
            </w:r>
            <w:r w:rsidRPr="006A77F2">
              <w:rPr>
                <w:rFonts w:cs="Arial"/>
              </w:rPr>
              <w:t>d</w:t>
            </w:r>
            <w:r w:rsidR="00612CA0" w:rsidRPr="006A77F2">
              <w:rPr>
                <w:rFonts w:cs="Arial"/>
              </w:rPr>
              <w:t xml:space="preserve"> a self-declaration of competence to operate under this PGD (see </w:t>
            </w:r>
            <w:hyperlink w:anchor="Appendix" w:history="1">
              <w:r w:rsidR="00612CA0" w:rsidRPr="006A77F2">
                <w:rPr>
                  <w:rStyle w:val="Hyperlink"/>
                  <w:rFonts w:ascii="Arial" w:hAnsi="Arial" w:cs="Arial"/>
                </w:rPr>
                <w:t>Appendix A</w:t>
              </w:r>
            </w:hyperlink>
            <w:r w:rsidR="00612CA0" w:rsidRPr="006A77F2">
              <w:rPr>
                <w:rFonts w:cs="Arial"/>
              </w:rPr>
              <w:t>)</w:t>
            </w:r>
          </w:p>
          <w:p w14:paraId="2E4E1AC4" w14:textId="78CC566A" w:rsidR="004A635B" w:rsidRPr="006A77F2" w:rsidRDefault="00527590" w:rsidP="007C597E">
            <w:pPr>
              <w:spacing w:line="240" w:lineRule="auto"/>
              <w:rPr>
                <w:rFonts w:cs="Arial"/>
              </w:rPr>
            </w:pPr>
            <w:r w:rsidRPr="006A77F2">
              <w:rPr>
                <w:rFonts w:cs="Arial"/>
                <w:lang w:eastAsia="en-GB"/>
              </w:rPr>
              <w:lastRenderedPageBreak/>
              <w:t>P</w:t>
            </w:r>
            <w:r w:rsidR="00230EDA" w:rsidRPr="006A77F2">
              <w:rPr>
                <w:rFonts w:cs="Arial"/>
                <w:lang w:eastAsia="en-GB"/>
              </w:rPr>
              <w:t>harmacist</w:t>
            </w:r>
            <w:r w:rsidR="0028181B">
              <w:rPr>
                <w:rFonts w:cs="Arial"/>
                <w:lang w:eastAsia="en-GB"/>
              </w:rPr>
              <w:t>s</w:t>
            </w:r>
            <w:r w:rsidR="00230EDA" w:rsidRPr="006A77F2">
              <w:rPr>
                <w:rFonts w:cs="Arial"/>
                <w:lang w:eastAsia="en-GB"/>
              </w:rPr>
              <w:t xml:space="preserve"> </w:t>
            </w:r>
            <w:r w:rsidRPr="006A77F2">
              <w:rPr>
                <w:rFonts w:cs="Arial"/>
                <w:lang w:eastAsia="en-GB"/>
              </w:rPr>
              <w:t>and</w:t>
            </w:r>
            <w:r w:rsidR="00230EDA" w:rsidRPr="006A77F2">
              <w:rPr>
                <w:rFonts w:cs="Arial"/>
                <w:lang w:eastAsia="en-GB"/>
              </w:rPr>
              <w:t xml:space="preserve"> pharmacy technician</w:t>
            </w:r>
            <w:r w:rsidRPr="006A77F2">
              <w:rPr>
                <w:rFonts w:cs="Arial"/>
                <w:lang w:eastAsia="en-GB"/>
              </w:rPr>
              <w:t>s</w:t>
            </w:r>
            <w:r w:rsidR="00612CA0" w:rsidRPr="006A77F2">
              <w:rPr>
                <w:rFonts w:eastAsia="Calibri" w:cs="Arial"/>
                <w:iCs/>
              </w:rPr>
              <w:t xml:space="preserve"> operating under this PGD are encouraged to review their competency using the</w:t>
            </w:r>
            <w:hyperlink r:id="rId18" w:history="1">
              <w:r w:rsidR="00612CA0" w:rsidRPr="006A77F2">
                <w:rPr>
                  <w:rFonts w:eastAsia="Calibri" w:cs="Arial"/>
                  <w:iCs/>
                  <w:color w:val="0000FF"/>
                  <w:u w:val="single"/>
                </w:rPr>
                <w:t xml:space="preserve"> NICE Competency Framework for health professionals using patient group directions</w:t>
              </w:r>
            </w:hyperlink>
            <w:r w:rsidR="007C5EF9" w:rsidRPr="006A77F2">
              <w:t>.</w:t>
            </w:r>
          </w:p>
        </w:tc>
      </w:tr>
      <w:tr w:rsidR="004A635B" w:rsidRPr="006A77F2" w14:paraId="112B2ED1" w14:textId="77777777" w:rsidTr="007C597E">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25EFD2BC" w14:textId="77777777" w:rsidR="004A635B" w:rsidRPr="006A77F2" w:rsidRDefault="004A635B" w:rsidP="007C597E">
            <w:pPr>
              <w:keepNext/>
              <w:spacing w:before="60" w:after="60"/>
              <w:rPr>
                <w:b/>
              </w:rPr>
            </w:pPr>
            <w:r w:rsidRPr="006A77F2">
              <w:rPr>
                <w:b/>
              </w:rPr>
              <w:lastRenderedPageBreak/>
              <w:t>Ongoing training and competency</w:t>
            </w:r>
          </w:p>
        </w:tc>
        <w:tc>
          <w:tcPr>
            <w:tcW w:w="6241" w:type="dxa"/>
            <w:tcBorders>
              <w:top w:val="single" w:sz="4" w:space="0" w:color="auto"/>
              <w:left w:val="single" w:sz="4" w:space="0" w:color="auto"/>
              <w:bottom w:val="single" w:sz="4" w:space="0" w:color="auto"/>
              <w:right w:val="single" w:sz="4" w:space="0" w:color="auto"/>
            </w:tcBorders>
          </w:tcPr>
          <w:p w14:paraId="7C74353C" w14:textId="06B5B348" w:rsidR="004A635B" w:rsidRPr="006A77F2" w:rsidRDefault="00426380" w:rsidP="007C597E">
            <w:pPr>
              <w:spacing w:line="240" w:lineRule="auto"/>
            </w:pPr>
            <w:r w:rsidRPr="006A77F2">
              <w:rPr>
                <w:rFonts w:cs="Arial"/>
                <w:highlight w:val="cyan"/>
              </w:rPr>
              <w:t xml:space="preserve">Pharmacists and pharmacy technicians </w:t>
            </w:r>
            <w:r w:rsidRPr="006A77F2">
              <w:rPr>
                <w:rFonts w:cs="Arial"/>
              </w:rPr>
              <w:t>operating under this PGD are personally responsible for ensuring they remain up to date with the use of all medicines and guidance included in the PGD - if any training needs are identified these should be addressed and further training undertaken as required.</w:t>
            </w:r>
          </w:p>
        </w:tc>
      </w:tr>
      <w:tr w:rsidR="004A635B" w:rsidRPr="006A77F2" w14:paraId="33E58B5D" w14:textId="77777777" w:rsidTr="007C597E">
        <w:tc>
          <w:tcPr>
            <w:tcW w:w="9640" w:type="dxa"/>
            <w:gridSpan w:val="2"/>
            <w:tcBorders>
              <w:top w:val="single" w:sz="4" w:space="0" w:color="auto"/>
              <w:left w:val="single" w:sz="4" w:space="0" w:color="auto"/>
              <w:bottom w:val="single" w:sz="4" w:space="0" w:color="auto"/>
              <w:right w:val="single" w:sz="4" w:space="0" w:color="auto"/>
            </w:tcBorders>
          </w:tcPr>
          <w:p w14:paraId="40AFD0AE" w14:textId="0258F823" w:rsidR="004A635B" w:rsidRPr="006A77F2" w:rsidRDefault="004A635B" w:rsidP="007C597E">
            <w:pPr>
              <w:keepNext/>
              <w:spacing w:line="240" w:lineRule="auto"/>
              <w:rPr>
                <w:b/>
                <w:bCs/>
              </w:rPr>
            </w:pPr>
            <w:r w:rsidRPr="006A77F2">
              <w:rPr>
                <w:b/>
                <w:bCs/>
              </w:rPr>
              <w:t xml:space="preserve">The decision to supply any medication rests with the pharmacist </w:t>
            </w:r>
            <w:r w:rsidRPr="006A77F2">
              <w:rPr>
                <w:b/>
                <w:bCs/>
                <w:highlight w:val="yellow"/>
              </w:rPr>
              <w:t>or pharmacy technician</w:t>
            </w:r>
            <w:r w:rsidRPr="006A77F2">
              <w:rPr>
                <w:b/>
                <w:bCs/>
              </w:rPr>
              <w:t xml:space="preserve"> who must abide by the PGD and any associated organisational policies.  </w:t>
            </w:r>
          </w:p>
        </w:tc>
      </w:tr>
    </w:tbl>
    <w:p w14:paraId="63B9FE88" w14:textId="77777777" w:rsidR="001D21C1" w:rsidRPr="006A77F2" w:rsidRDefault="001D21C1" w:rsidP="001D21C1"/>
    <w:p w14:paraId="63E0E42E" w14:textId="77777777" w:rsidR="00AF52F2" w:rsidRPr="006A77F2" w:rsidRDefault="00AF52F2" w:rsidP="001D21C1"/>
    <w:p w14:paraId="66091F3B" w14:textId="77777777" w:rsidR="00A421D7" w:rsidRPr="006A77F2" w:rsidRDefault="00A421D7">
      <w:pPr>
        <w:spacing w:after="0" w:line="240" w:lineRule="auto"/>
        <w:textboxTightWrap w:val="none"/>
        <w:rPr>
          <w:rFonts w:ascii="Arial Bold" w:hAnsi="Arial Bold" w:cs="Arial"/>
          <w:b/>
          <w:color w:val="005EB8"/>
          <w:kern w:val="28"/>
          <w:sz w:val="36"/>
          <w14:ligatures w14:val="standardContextual"/>
        </w:rPr>
      </w:pPr>
      <w:r w:rsidRPr="006A77F2">
        <w:br w:type="page"/>
      </w:r>
    </w:p>
    <w:p w14:paraId="5021C356" w14:textId="31C82390" w:rsidR="00C03D72" w:rsidRPr="006A77F2" w:rsidRDefault="00C03D72" w:rsidP="00C03D72">
      <w:pPr>
        <w:pStyle w:val="h2numbered"/>
      </w:pPr>
      <w:r w:rsidRPr="006A77F2">
        <w:lastRenderedPageBreak/>
        <w:t>Clinical condition or situation to which this PGD applies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45"/>
      </w:tblGrid>
      <w:tr w:rsidR="00DE0B31" w:rsidRPr="006A77F2" w14:paraId="06DE46E8" w14:textId="77777777" w:rsidTr="00DE0B31">
        <w:tc>
          <w:tcPr>
            <w:tcW w:w="3403" w:type="dxa"/>
            <w:shd w:val="clear" w:color="auto" w:fill="BFBFBF" w:themeFill="text1" w:themeFillShade="BF"/>
          </w:tcPr>
          <w:p w14:paraId="25C78512" w14:textId="77777777" w:rsidR="00DE0B31" w:rsidRPr="006A77F2" w:rsidRDefault="00DE0B31" w:rsidP="006D19F4">
            <w:pPr>
              <w:overflowPunct w:val="0"/>
              <w:autoSpaceDE w:val="0"/>
              <w:autoSpaceDN w:val="0"/>
              <w:adjustRightInd w:val="0"/>
              <w:spacing w:before="60" w:after="60"/>
              <w:textAlignment w:val="baseline"/>
              <w:rPr>
                <w:rFonts w:cs="Arial"/>
                <w:b/>
              </w:rPr>
            </w:pPr>
            <w:r w:rsidRPr="006A77F2">
              <w:rPr>
                <w:rFonts w:cs="Arial"/>
                <w:b/>
              </w:rPr>
              <w:t>Clinical condition or situation to which this PGD applies</w:t>
            </w:r>
          </w:p>
        </w:tc>
        <w:tc>
          <w:tcPr>
            <w:tcW w:w="6945" w:type="dxa"/>
          </w:tcPr>
          <w:p w14:paraId="72411F23" w14:textId="0577968E" w:rsidR="0039210D" w:rsidRPr="006A77F2" w:rsidRDefault="00DE0B31" w:rsidP="0039210D">
            <w:pPr>
              <w:numPr>
                <w:ilvl w:val="0"/>
                <w:numId w:val="7"/>
              </w:numPr>
              <w:overflowPunct w:val="0"/>
              <w:autoSpaceDE w:val="0"/>
              <w:autoSpaceDN w:val="0"/>
              <w:adjustRightInd w:val="0"/>
              <w:spacing w:after="160" w:line="278" w:lineRule="auto"/>
              <w:textAlignment w:val="baseline"/>
              <w:textboxTightWrap w:val="none"/>
              <w:rPr>
                <w:rFonts w:cs="Arial"/>
              </w:rPr>
            </w:pPr>
            <w:r w:rsidRPr="006A77F2">
              <w:rPr>
                <w:rFonts w:cs="Arial"/>
              </w:rPr>
              <w:t xml:space="preserve">This PGD applies to the </w:t>
            </w:r>
            <w:hyperlink r:id="rId19" w:history="1">
              <w:r w:rsidR="0064308B" w:rsidRPr="006A77F2">
                <w:rPr>
                  <w:rStyle w:val="Hyperlink"/>
                  <w:rFonts w:ascii="Arial" w:hAnsi="Arial"/>
                </w:rPr>
                <w:t>NHS Smoking Cessation Servic</w:t>
              </w:r>
              <w:r w:rsidR="0039210D" w:rsidRPr="006A77F2">
                <w:rPr>
                  <w:rStyle w:val="Hyperlink"/>
                  <w:rFonts w:ascii="Arial" w:hAnsi="Arial"/>
                </w:rPr>
                <w:t>e</w:t>
              </w:r>
            </w:hyperlink>
            <w:r w:rsidR="0039210D" w:rsidRPr="006A77F2">
              <w:t xml:space="preserve"> </w:t>
            </w:r>
            <w:r w:rsidR="0039210D" w:rsidRPr="006A77F2">
              <w:rPr>
                <w:rFonts w:cs="Arial"/>
                <w:iCs/>
              </w:rPr>
              <w:t xml:space="preserve"> </w:t>
            </w:r>
          </w:p>
          <w:p w14:paraId="2FF28B7F" w14:textId="71A2165F" w:rsidR="00DE0B31" w:rsidRPr="006A77F2" w:rsidRDefault="00DE0B31" w:rsidP="00480309">
            <w:pPr>
              <w:overflowPunct w:val="0"/>
              <w:autoSpaceDE w:val="0"/>
              <w:autoSpaceDN w:val="0"/>
              <w:adjustRightInd w:val="0"/>
              <w:spacing w:after="160" w:line="278" w:lineRule="auto"/>
              <w:contextualSpacing/>
              <w:textAlignment w:val="baseline"/>
              <w:textboxTightWrap w:val="none"/>
              <w:rPr>
                <w:rFonts w:cs="Arial"/>
                <w:highlight w:val="yellow"/>
              </w:rPr>
            </w:pPr>
          </w:p>
        </w:tc>
      </w:tr>
      <w:tr w:rsidR="00DE0B31" w:rsidRPr="006A77F2" w14:paraId="405A5B79" w14:textId="77777777" w:rsidTr="00DE0B31">
        <w:tc>
          <w:tcPr>
            <w:tcW w:w="3403" w:type="dxa"/>
            <w:shd w:val="clear" w:color="auto" w:fill="BFBFBF" w:themeFill="text1" w:themeFillShade="BF"/>
          </w:tcPr>
          <w:p w14:paraId="1852D580" w14:textId="77777777" w:rsidR="00DE0B31" w:rsidRPr="006A77F2" w:rsidRDefault="00DE0B31" w:rsidP="006D19F4">
            <w:pPr>
              <w:overflowPunct w:val="0"/>
              <w:autoSpaceDE w:val="0"/>
              <w:autoSpaceDN w:val="0"/>
              <w:adjustRightInd w:val="0"/>
              <w:spacing w:before="60" w:after="60"/>
              <w:textAlignment w:val="baseline"/>
              <w:rPr>
                <w:rFonts w:cs="Arial"/>
                <w:b/>
              </w:rPr>
            </w:pPr>
            <w:r w:rsidRPr="006A77F2">
              <w:rPr>
                <w:rFonts w:cs="Arial"/>
                <w:b/>
              </w:rPr>
              <w:t>Criteria for inclusion</w:t>
            </w:r>
          </w:p>
        </w:tc>
        <w:tc>
          <w:tcPr>
            <w:tcW w:w="6945" w:type="dxa"/>
          </w:tcPr>
          <w:p w14:paraId="2F430689" w14:textId="77777777" w:rsidR="00C22392" w:rsidRPr="006A77F2" w:rsidRDefault="00EB5400" w:rsidP="00C22392">
            <w:pPr>
              <w:widowControl w:val="0"/>
              <w:overflowPunct w:val="0"/>
              <w:autoSpaceDE w:val="0"/>
              <w:autoSpaceDN w:val="0"/>
              <w:adjustRightInd w:val="0"/>
              <w:spacing w:after="0" w:line="240" w:lineRule="auto"/>
              <w:ind w:left="360"/>
              <w:textAlignment w:val="baseline"/>
              <w:textboxTightWrap w:val="none"/>
              <w:rPr>
                <w:rFonts w:eastAsia="Calibri" w:cs="Arial"/>
                <w:iCs/>
              </w:rPr>
            </w:pPr>
            <w:r w:rsidRPr="006A77F2">
              <w:rPr>
                <w:rFonts w:eastAsia="Calibri" w:cs="Arial"/>
                <w:iCs/>
              </w:rPr>
              <w:t xml:space="preserve">Individuals </w:t>
            </w:r>
            <w:r w:rsidR="00C22392" w:rsidRPr="006A77F2">
              <w:rPr>
                <w:rFonts w:eastAsia="Calibri" w:cs="Arial"/>
                <w:iCs/>
              </w:rPr>
              <w:t>who:</w:t>
            </w:r>
          </w:p>
          <w:p w14:paraId="7EECF198" w14:textId="77777777" w:rsidR="00C22392" w:rsidRPr="006A77F2" w:rsidRDefault="00C22392" w:rsidP="00C22392">
            <w:pPr>
              <w:widowControl w:val="0"/>
              <w:overflowPunct w:val="0"/>
              <w:autoSpaceDE w:val="0"/>
              <w:autoSpaceDN w:val="0"/>
              <w:adjustRightInd w:val="0"/>
              <w:spacing w:after="0" w:line="240" w:lineRule="auto"/>
              <w:ind w:left="360"/>
              <w:textAlignment w:val="baseline"/>
              <w:textboxTightWrap w:val="none"/>
              <w:rPr>
                <w:rFonts w:eastAsia="Calibri" w:cs="Arial"/>
                <w:iCs/>
              </w:rPr>
            </w:pPr>
          </w:p>
          <w:p w14:paraId="143DB317" w14:textId="0CD130AA" w:rsidR="00EB5400" w:rsidRPr="006A77F2" w:rsidRDefault="009B597D" w:rsidP="004F0579">
            <w:pPr>
              <w:pStyle w:val="ListParagraph"/>
              <w:widowControl w:val="0"/>
              <w:numPr>
                <w:ilvl w:val="0"/>
                <w:numId w:val="7"/>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a</w:t>
            </w:r>
            <w:r w:rsidR="001C046C" w:rsidRPr="006A77F2">
              <w:rPr>
                <w:rFonts w:eastAsia="Calibri" w:cs="Arial"/>
                <w:iCs/>
              </w:rPr>
              <w:t xml:space="preserve">re </w:t>
            </w:r>
            <w:r w:rsidR="00EB5400" w:rsidRPr="006A77F2">
              <w:rPr>
                <w:rFonts w:eastAsia="Calibri" w:cs="Arial"/>
                <w:iCs/>
              </w:rPr>
              <w:t>aged 18 years or older</w:t>
            </w:r>
          </w:p>
          <w:p w14:paraId="1E0C27AA" w14:textId="1208CE9F" w:rsidR="00EB5400" w:rsidRPr="006A77F2" w:rsidRDefault="00EB5400" w:rsidP="00EB5400">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smoke</w:t>
            </w:r>
            <w:r w:rsidR="00A679C6" w:rsidRPr="006A77F2">
              <w:rPr>
                <w:rFonts w:eastAsia="Calibri" w:cs="Arial"/>
                <w:iCs/>
              </w:rPr>
              <w:t xml:space="preserve"> and have been</w:t>
            </w:r>
            <w:r w:rsidRPr="006A77F2">
              <w:rPr>
                <w:rFonts w:eastAsia="Calibri" w:cs="Arial"/>
                <w:iCs/>
              </w:rPr>
              <w:t xml:space="preserve"> identified as having a long-term goal of tobacco abstinence </w:t>
            </w:r>
          </w:p>
          <w:p w14:paraId="535A78FA" w14:textId="5232DCE2" w:rsidR="00EB5400" w:rsidRPr="006A77F2" w:rsidRDefault="009B597D" w:rsidP="00EB5400">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 xml:space="preserve">are </w:t>
            </w:r>
            <w:r w:rsidR="00EB5400" w:rsidRPr="006A77F2">
              <w:rPr>
                <w:rFonts w:eastAsia="Calibri" w:cs="Arial"/>
                <w:iCs/>
              </w:rPr>
              <w:t xml:space="preserve">sufficiently motivated to stop tobacco dependence 7-14 days after starting varenicline </w:t>
            </w:r>
          </w:p>
          <w:p w14:paraId="50DFEEF4" w14:textId="70D827D1" w:rsidR="00EB5400" w:rsidRPr="006A77F2" w:rsidRDefault="00826A2C" w:rsidP="00EB5400">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 xml:space="preserve">are </w:t>
            </w:r>
            <w:r w:rsidR="00EB5400" w:rsidRPr="006A77F2">
              <w:rPr>
                <w:rFonts w:eastAsia="Calibri" w:cs="Arial"/>
                <w:iCs/>
              </w:rPr>
              <w:t>willing to continue a course of treatment</w:t>
            </w:r>
            <w:r w:rsidR="00EB5400" w:rsidRPr="006A77F2">
              <w:rPr>
                <w:rFonts w:ascii="Calibri" w:eastAsia="Calibri" w:hAnsi="Calibri"/>
              </w:rPr>
              <w:t xml:space="preserve"> </w:t>
            </w:r>
            <w:r w:rsidR="00EB5400" w:rsidRPr="006A77F2">
              <w:rPr>
                <w:rFonts w:eastAsia="Calibri" w:cs="Arial"/>
                <w:iCs/>
              </w:rPr>
              <w:t xml:space="preserve">for (at least) 12 weeks, which includes behavioural support, at agreed intervals from </w:t>
            </w:r>
            <w:r w:rsidR="007855CF" w:rsidRPr="006A77F2">
              <w:rPr>
                <w:rFonts w:eastAsia="Calibri" w:cs="Arial"/>
                <w:iCs/>
              </w:rPr>
              <w:t>the pharmacy</w:t>
            </w:r>
          </w:p>
          <w:p w14:paraId="39DEE234" w14:textId="727B7B41" w:rsidR="00EB5400" w:rsidRPr="006A77F2" w:rsidRDefault="00D37CD0" w:rsidP="00EB5400">
            <w:pPr>
              <w:widowControl w:val="0"/>
              <w:numPr>
                <w:ilvl w:val="0"/>
                <w:numId w:val="6"/>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 xml:space="preserve">are </w:t>
            </w:r>
            <w:r w:rsidR="00EB5400" w:rsidRPr="006A77F2">
              <w:rPr>
                <w:rFonts w:eastAsia="Calibri" w:cs="Arial"/>
                <w:iCs/>
              </w:rPr>
              <w:t>dependent on tobacco</w:t>
            </w:r>
            <w:r w:rsidR="00F01FDC" w:rsidRPr="006A77F2">
              <w:rPr>
                <w:rFonts w:eastAsia="Calibri" w:cs="Arial"/>
                <w:iCs/>
              </w:rPr>
              <w:t xml:space="preserve"> and</w:t>
            </w:r>
            <w:r w:rsidR="00EB5400" w:rsidRPr="006A77F2">
              <w:rPr>
                <w:rFonts w:eastAsia="Calibri" w:cs="Arial"/>
                <w:iCs/>
              </w:rPr>
              <w:t xml:space="preserve"> motivated to engage in a gradual approach to quit smoking but who </w:t>
            </w:r>
            <w:r w:rsidR="00DA44A1" w:rsidRPr="006A77F2">
              <w:rPr>
                <w:rFonts w:eastAsia="Calibri" w:cs="Arial"/>
                <w:iCs/>
              </w:rPr>
              <w:t>cannot</w:t>
            </w:r>
            <w:r w:rsidR="00EB5400" w:rsidRPr="006A77F2">
              <w:rPr>
                <w:rFonts w:eastAsia="Calibri" w:cs="Arial"/>
                <w:iCs/>
              </w:rPr>
              <w:t xml:space="preserve"> quit abruptly. </w:t>
            </w:r>
          </w:p>
          <w:p w14:paraId="07CC36AE" w14:textId="4D7223F4" w:rsidR="00DE0B31" w:rsidRPr="006A77F2" w:rsidRDefault="00EB5400" w:rsidP="00EB5400">
            <w:pPr>
              <w:numPr>
                <w:ilvl w:val="0"/>
                <w:numId w:val="6"/>
              </w:numPr>
              <w:overflowPunct w:val="0"/>
              <w:autoSpaceDE w:val="0"/>
              <w:autoSpaceDN w:val="0"/>
              <w:adjustRightInd w:val="0"/>
              <w:spacing w:after="160" w:line="278" w:lineRule="auto"/>
              <w:contextualSpacing/>
              <w:textAlignment w:val="baseline"/>
              <w:textboxTightWrap w:val="none"/>
              <w:rPr>
                <w:rFonts w:eastAsia="Calibri" w:cs="Arial"/>
              </w:rPr>
            </w:pPr>
            <w:r w:rsidRPr="006A77F2">
              <w:rPr>
                <w:rFonts w:eastAsia="Calibri" w:cs="Arial"/>
                <w:iCs/>
              </w:rPr>
              <w:t>agree to receiv</w:t>
            </w:r>
            <w:r w:rsidR="007C1572" w:rsidRPr="006A77F2">
              <w:rPr>
                <w:rFonts w:eastAsia="Calibri" w:cs="Arial"/>
                <w:iCs/>
              </w:rPr>
              <w:t>ing</w:t>
            </w:r>
            <w:r w:rsidRPr="006A77F2">
              <w:rPr>
                <w:rFonts w:eastAsia="Calibri" w:cs="Arial"/>
                <w:iCs/>
              </w:rPr>
              <w:t xml:space="preserve"> advice and treatment from the </w:t>
            </w:r>
            <w:r w:rsidR="008572AA" w:rsidRPr="006A77F2">
              <w:rPr>
                <w:rFonts w:eastAsia="Calibri" w:cs="Arial"/>
                <w:iCs/>
              </w:rPr>
              <w:t xml:space="preserve">pharmacist or pharmacy technician </w:t>
            </w:r>
            <w:r w:rsidRPr="006A77F2">
              <w:rPr>
                <w:rFonts w:eastAsia="Calibri" w:cs="Arial"/>
                <w:iCs/>
              </w:rPr>
              <w:t>in line with this PGD</w:t>
            </w:r>
          </w:p>
        </w:tc>
      </w:tr>
      <w:tr w:rsidR="00A97E1E" w:rsidRPr="006A77F2" w14:paraId="39EAC916" w14:textId="77777777" w:rsidTr="00DE0B31">
        <w:tc>
          <w:tcPr>
            <w:tcW w:w="3403" w:type="dxa"/>
            <w:shd w:val="clear" w:color="auto" w:fill="BFBFBF" w:themeFill="text1" w:themeFillShade="BF"/>
          </w:tcPr>
          <w:p w14:paraId="6573F584" w14:textId="77777777" w:rsidR="00A97E1E" w:rsidRPr="006A77F2" w:rsidRDefault="00A97E1E" w:rsidP="00A97E1E">
            <w:pPr>
              <w:overflowPunct w:val="0"/>
              <w:autoSpaceDE w:val="0"/>
              <w:autoSpaceDN w:val="0"/>
              <w:adjustRightInd w:val="0"/>
              <w:spacing w:before="60" w:after="60"/>
              <w:textAlignment w:val="baseline"/>
              <w:rPr>
                <w:rFonts w:cs="Arial"/>
              </w:rPr>
            </w:pPr>
            <w:r w:rsidRPr="006A77F2">
              <w:rPr>
                <w:rFonts w:cs="Arial"/>
                <w:b/>
              </w:rPr>
              <w:t>Criteria for exclusion</w:t>
            </w:r>
          </w:p>
        </w:tc>
        <w:tc>
          <w:tcPr>
            <w:tcW w:w="6945" w:type="dxa"/>
          </w:tcPr>
          <w:p w14:paraId="03FEDED7" w14:textId="2EDA332A" w:rsidR="00196FB9" w:rsidRPr="006A77F2" w:rsidRDefault="00196FB9" w:rsidP="00A97E1E">
            <w:pPr>
              <w:widowControl w:val="0"/>
              <w:ind w:left="38"/>
              <w:rPr>
                <w:rFonts w:eastAsia="Calibri" w:cs="Arial"/>
                <w:bCs/>
                <w:iCs/>
              </w:rPr>
            </w:pPr>
            <w:r w:rsidRPr="006A77F2">
              <w:rPr>
                <w:rFonts w:eastAsia="Calibri" w:cs="Arial"/>
                <w:bCs/>
                <w:iCs/>
              </w:rPr>
              <w:t>Individuals who</w:t>
            </w:r>
            <w:r w:rsidR="001B74CC" w:rsidRPr="006A77F2">
              <w:rPr>
                <w:rFonts w:eastAsia="Calibri" w:cs="Arial"/>
                <w:bCs/>
                <w:iCs/>
              </w:rPr>
              <w:t>:</w:t>
            </w:r>
          </w:p>
          <w:p w14:paraId="2C818256" w14:textId="3508AC33" w:rsidR="00A97E1E" w:rsidRPr="006A77F2" w:rsidRDefault="001B74CC" w:rsidP="00A97E1E">
            <w:pPr>
              <w:widowControl w:val="0"/>
              <w:numPr>
                <w:ilvl w:val="3"/>
                <w:numId w:val="15"/>
              </w:numPr>
              <w:overflowPunct w:val="0"/>
              <w:autoSpaceDE w:val="0"/>
              <w:autoSpaceDN w:val="0"/>
              <w:adjustRightInd w:val="0"/>
              <w:spacing w:after="0" w:line="240" w:lineRule="auto"/>
              <w:ind w:left="324" w:hanging="284"/>
              <w:textAlignment w:val="baseline"/>
              <w:textboxTightWrap w:val="none"/>
              <w:rPr>
                <w:rFonts w:eastAsia="Calibri" w:cs="Arial"/>
                <w:iCs/>
              </w:rPr>
            </w:pPr>
            <w:r w:rsidRPr="006A77F2">
              <w:rPr>
                <w:rFonts w:eastAsia="Calibri" w:cs="Arial"/>
                <w:iCs/>
              </w:rPr>
              <w:t xml:space="preserve">are </w:t>
            </w:r>
            <w:r w:rsidR="00A97E1E" w:rsidRPr="006A77F2">
              <w:rPr>
                <w:rFonts w:eastAsia="Calibri" w:cs="Arial"/>
                <w:iCs/>
              </w:rPr>
              <w:t>under 18 years of age</w:t>
            </w:r>
          </w:p>
          <w:p w14:paraId="7F71F25C" w14:textId="28C2F5CC" w:rsidR="00A97E1E" w:rsidRPr="006A77F2" w:rsidRDefault="001B74CC" w:rsidP="00A97E1E">
            <w:pPr>
              <w:widowControl w:val="0"/>
              <w:numPr>
                <w:ilvl w:val="3"/>
                <w:numId w:val="15"/>
              </w:numPr>
              <w:overflowPunct w:val="0"/>
              <w:autoSpaceDE w:val="0"/>
              <w:autoSpaceDN w:val="0"/>
              <w:adjustRightInd w:val="0"/>
              <w:spacing w:after="0" w:line="240" w:lineRule="auto"/>
              <w:ind w:left="324" w:hanging="284"/>
              <w:textAlignment w:val="baseline"/>
              <w:textboxTightWrap w:val="none"/>
              <w:rPr>
                <w:rFonts w:eastAsia="Calibri" w:cs="Arial"/>
                <w:iCs/>
              </w:rPr>
            </w:pPr>
            <w:r w:rsidRPr="006A77F2">
              <w:rPr>
                <w:rFonts w:eastAsia="Calibri" w:cs="Arial"/>
                <w:iCs/>
              </w:rPr>
              <w:t xml:space="preserve">are </w:t>
            </w:r>
            <w:r w:rsidR="00A97E1E" w:rsidRPr="006A77F2">
              <w:rPr>
                <w:rFonts w:eastAsia="Calibri" w:cs="Arial"/>
                <w:iCs/>
              </w:rPr>
              <w:t xml:space="preserve">receiving varenicline and/or tobacco dependence treatment (i.e. </w:t>
            </w:r>
            <w:proofErr w:type="spellStart"/>
            <w:r w:rsidR="00A97E1E" w:rsidRPr="006A77F2">
              <w:rPr>
                <w:rFonts w:eastAsia="Calibri" w:cs="Arial"/>
                <w:iCs/>
              </w:rPr>
              <w:t>cytisinicline</w:t>
            </w:r>
            <w:proofErr w:type="spellEnd"/>
            <w:r w:rsidR="00A97E1E" w:rsidRPr="006A77F2">
              <w:rPr>
                <w:rFonts w:eastAsia="Calibri" w:cs="Arial"/>
                <w:iCs/>
              </w:rPr>
              <w:t xml:space="preserve"> (</w:t>
            </w:r>
            <w:proofErr w:type="spellStart"/>
            <w:r w:rsidR="00A834A1" w:rsidRPr="006A77F2">
              <w:rPr>
                <w:rFonts w:eastAsia="Calibri" w:cs="Arial"/>
                <w:iCs/>
              </w:rPr>
              <w:t>C</w:t>
            </w:r>
            <w:r w:rsidR="00A97E1E" w:rsidRPr="006A77F2">
              <w:rPr>
                <w:rFonts w:eastAsia="Calibri" w:cs="Arial"/>
                <w:iCs/>
              </w:rPr>
              <w:t>ytisine</w:t>
            </w:r>
            <w:proofErr w:type="spellEnd"/>
            <w:r w:rsidR="00A834A1" w:rsidRPr="006A77F2">
              <w:rPr>
                <w:rFonts w:eastAsia="Calibri" w:cs="Arial"/>
                <w:iCs/>
              </w:rPr>
              <w:t xml:space="preserve"> ®</w:t>
            </w:r>
            <w:r w:rsidR="00A97E1E" w:rsidRPr="006A77F2">
              <w:rPr>
                <w:rFonts w:eastAsia="Calibri" w:cs="Arial"/>
                <w:iCs/>
              </w:rPr>
              <w:t>) or bupropion) from another provider</w:t>
            </w:r>
          </w:p>
          <w:p w14:paraId="2A38E57F" w14:textId="270269FD" w:rsidR="00A97E1E" w:rsidRPr="0034239E" w:rsidRDefault="00A97E1E"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34239E">
              <w:rPr>
                <w:rFonts w:eastAsia="Calibri" w:cs="Arial"/>
                <w:iCs/>
              </w:rPr>
              <w:t xml:space="preserve">have no intention to stop smoking </w:t>
            </w:r>
            <w:r w:rsidR="0034239E" w:rsidRPr="0034239E">
              <w:rPr>
                <w:rFonts w:eastAsia="Calibri" w:cs="Arial"/>
                <w:iCs/>
              </w:rPr>
              <w:t>or</w:t>
            </w:r>
            <w:r w:rsidR="0034239E">
              <w:rPr>
                <w:rFonts w:eastAsia="Calibri" w:cs="Arial"/>
                <w:iCs/>
              </w:rPr>
              <w:t xml:space="preserve"> </w:t>
            </w:r>
            <w:r w:rsidRPr="0034239E">
              <w:rPr>
                <w:rFonts w:eastAsia="Calibri" w:cs="Arial"/>
                <w:iCs/>
              </w:rPr>
              <w:t xml:space="preserve">report </w:t>
            </w:r>
            <w:r w:rsidR="005A2905" w:rsidRPr="0034239E">
              <w:rPr>
                <w:rFonts w:eastAsia="Calibri" w:cs="Arial"/>
                <w:iCs/>
              </w:rPr>
              <w:t xml:space="preserve">that </w:t>
            </w:r>
            <w:r w:rsidRPr="0034239E">
              <w:rPr>
                <w:rFonts w:eastAsia="Calibri" w:cs="Arial"/>
                <w:iCs/>
              </w:rPr>
              <w:t>they are not sufficiently motivated to stop smoking or who are not willing to continue a course of treatment for (at least) 12 weeks and engage in behavioural support</w:t>
            </w:r>
          </w:p>
          <w:p w14:paraId="63C9051D" w14:textId="738220E8" w:rsidR="00A97E1E" w:rsidRPr="006A77F2" w:rsidRDefault="00DE511B"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are unable to absorb oral medica</w:t>
            </w:r>
            <w:r w:rsidR="00734E42" w:rsidRPr="006A77F2">
              <w:rPr>
                <w:rFonts w:eastAsia="Calibri" w:cs="Arial"/>
                <w:iCs/>
              </w:rPr>
              <w:t>tions or swallow solid oral dosage forms (</w:t>
            </w:r>
            <w:r w:rsidR="006A77F2" w:rsidRPr="006A77F2">
              <w:rPr>
                <w:rFonts w:eastAsia="Calibri" w:cs="Arial"/>
                <w:iCs/>
              </w:rPr>
              <w:t>e.g.</w:t>
            </w:r>
            <w:r w:rsidR="00734E42" w:rsidRPr="006A77F2">
              <w:rPr>
                <w:rFonts w:eastAsia="Calibri" w:cs="Arial"/>
                <w:iCs/>
              </w:rPr>
              <w:t>, tablets)</w:t>
            </w:r>
          </w:p>
          <w:p w14:paraId="61880FED" w14:textId="77777777" w:rsidR="00E51C47" w:rsidRPr="006A77F2" w:rsidRDefault="00E51C47" w:rsidP="00E51C4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do not consent to treatment or to the sharing of information with their GP practice </w:t>
            </w:r>
          </w:p>
          <w:p w14:paraId="7DBC8014" w14:textId="77777777" w:rsidR="00E51C47" w:rsidRPr="006A77F2" w:rsidRDefault="00E51C47" w:rsidP="004F0579">
            <w:pPr>
              <w:widowControl w:val="0"/>
              <w:overflowPunct w:val="0"/>
              <w:autoSpaceDE w:val="0"/>
              <w:autoSpaceDN w:val="0"/>
              <w:adjustRightInd w:val="0"/>
              <w:spacing w:after="0" w:line="240" w:lineRule="auto"/>
              <w:ind w:left="321"/>
              <w:textAlignment w:val="baseline"/>
              <w:textboxTightWrap w:val="none"/>
              <w:rPr>
                <w:rFonts w:eastAsia="Calibri" w:cs="Arial"/>
                <w:iCs/>
              </w:rPr>
            </w:pPr>
          </w:p>
          <w:p w14:paraId="6B176AE1" w14:textId="77777777" w:rsidR="00FC67A5" w:rsidRPr="006A77F2" w:rsidRDefault="00A97E1E" w:rsidP="00A97E1E">
            <w:pPr>
              <w:widowControl w:val="0"/>
              <w:ind w:left="38"/>
              <w:rPr>
                <w:rFonts w:eastAsia="Calibri" w:cs="Arial"/>
                <w:b/>
                <w:iCs/>
              </w:rPr>
            </w:pPr>
            <w:r w:rsidRPr="006A77F2">
              <w:rPr>
                <w:rFonts w:eastAsia="Calibri" w:cs="Arial"/>
                <w:b/>
                <w:iCs/>
              </w:rPr>
              <w:t xml:space="preserve">Pharmaceutical </w:t>
            </w:r>
          </w:p>
          <w:p w14:paraId="3237249E" w14:textId="399A2F5A" w:rsidR="009F2F1D" w:rsidRPr="006A77F2" w:rsidRDefault="009F2F1D" w:rsidP="00A97E1E">
            <w:pPr>
              <w:widowControl w:val="0"/>
              <w:ind w:left="38"/>
              <w:rPr>
                <w:rFonts w:eastAsia="Calibri" w:cs="Arial"/>
                <w:bCs/>
                <w:iCs/>
              </w:rPr>
            </w:pPr>
            <w:r w:rsidRPr="006A77F2">
              <w:rPr>
                <w:rFonts w:eastAsia="Calibri" w:cs="Arial"/>
                <w:bCs/>
                <w:iCs/>
              </w:rPr>
              <w:t>Individuals with:</w:t>
            </w:r>
          </w:p>
          <w:p w14:paraId="59D5F4F8" w14:textId="14025898" w:rsidR="00A97E1E" w:rsidRPr="006A77F2" w:rsidRDefault="00FC67A5"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k</w:t>
            </w:r>
            <w:r w:rsidR="00A97E1E" w:rsidRPr="006A77F2">
              <w:rPr>
                <w:rFonts w:eastAsia="Calibri" w:cs="Arial"/>
                <w:iCs/>
              </w:rPr>
              <w:t xml:space="preserve">nown hypersensitivity to varenicline or any of the components within the formulation – see </w:t>
            </w:r>
            <w:hyperlink r:id="rId20" w:history="1">
              <w:r w:rsidR="00A97E1E" w:rsidRPr="006A77F2">
                <w:rPr>
                  <w:rStyle w:val="Hyperlink"/>
                  <w:rFonts w:eastAsia="Calibri" w:cs="Arial"/>
                  <w:iCs/>
                </w:rPr>
                <w:t xml:space="preserve">Summary of </w:t>
              </w:r>
              <w:r w:rsidR="00A97E1E" w:rsidRPr="006A77F2">
                <w:rPr>
                  <w:rStyle w:val="Hyperlink"/>
                  <w:rFonts w:eastAsia="Calibri" w:cs="Arial"/>
                  <w:iCs/>
                </w:rPr>
                <w:lastRenderedPageBreak/>
                <w:t xml:space="preserve">Product Characteristics </w:t>
              </w:r>
            </w:hyperlink>
          </w:p>
          <w:p w14:paraId="0023BF9D" w14:textId="52665A50" w:rsidR="00A97E1E" w:rsidRPr="006A77F2" w:rsidRDefault="0035637A"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p</w:t>
            </w:r>
            <w:r w:rsidR="00A97E1E" w:rsidRPr="006A77F2">
              <w:rPr>
                <w:rFonts w:eastAsia="Calibri" w:cs="Arial"/>
                <w:iCs/>
              </w:rPr>
              <w:t xml:space="preserve">revious intolerable adverse effects with varenicline use that were not managed by dose reduction </w:t>
            </w:r>
          </w:p>
          <w:p w14:paraId="767AA4A0" w14:textId="3BA385D4" w:rsidR="00A97E1E" w:rsidRPr="006A77F2" w:rsidRDefault="0035637A"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bookmarkStart w:id="5" w:name="SJS"/>
            <w:r w:rsidRPr="006A77F2">
              <w:rPr>
                <w:rFonts w:eastAsia="Calibri" w:cs="Arial"/>
                <w:iCs/>
              </w:rPr>
              <w:t>p</w:t>
            </w:r>
            <w:r w:rsidR="00A97E1E" w:rsidRPr="006A77F2">
              <w:rPr>
                <w:rFonts w:eastAsia="Calibri" w:cs="Arial"/>
                <w:iCs/>
              </w:rPr>
              <w:t>revious</w:t>
            </w:r>
            <w:bookmarkEnd w:id="5"/>
            <w:r w:rsidR="00A97E1E" w:rsidRPr="006A77F2">
              <w:rPr>
                <w:rFonts w:eastAsia="Calibri" w:cs="Arial"/>
                <w:iCs/>
              </w:rPr>
              <w:t xml:space="preserve"> </w:t>
            </w:r>
            <w:hyperlink r:id="rId21" w:history="1">
              <w:r w:rsidR="00A97E1E" w:rsidRPr="006A77F2">
                <w:rPr>
                  <w:rStyle w:val="Hyperlink"/>
                  <w:rFonts w:eastAsia="Calibri" w:cs="Arial"/>
                  <w:iCs/>
                </w:rPr>
                <w:t>Stevens-Johnson Syndrome</w:t>
              </w:r>
            </w:hyperlink>
            <w:r w:rsidR="00A97E1E" w:rsidRPr="006A77F2">
              <w:rPr>
                <w:rFonts w:eastAsia="Calibri" w:cs="Arial"/>
                <w:iCs/>
              </w:rPr>
              <w:t xml:space="preserve"> or </w:t>
            </w:r>
            <w:hyperlink r:id="rId22" w:history="1">
              <w:r w:rsidR="00A97E1E" w:rsidRPr="006A77F2">
                <w:rPr>
                  <w:rStyle w:val="Hyperlink"/>
                  <w:rFonts w:eastAsia="Calibri" w:cs="Arial"/>
                  <w:iCs/>
                </w:rPr>
                <w:t>Erythema Multiforme</w:t>
              </w:r>
            </w:hyperlink>
            <w:r w:rsidR="00A97E1E" w:rsidRPr="006A77F2">
              <w:rPr>
                <w:rFonts w:eastAsia="Calibri" w:cs="Arial"/>
                <w:iCs/>
              </w:rPr>
              <w:t xml:space="preserve"> associated with varenicline use</w:t>
            </w:r>
          </w:p>
          <w:p w14:paraId="624249CD" w14:textId="77777777" w:rsidR="00A97E1E" w:rsidRPr="006A77F2" w:rsidRDefault="00A97E1E" w:rsidP="00A97E1E">
            <w:pPr>
              <w:widowControl w:val="0"/>
              <w:ind w:left="38"/>
              <w:rPr>
                <w:rFonts w:eastAsia="Calibri" w:cs="Arial"/>
                <w:b/>
                <w:iCs/>
              </w:rPr>
            </w:pPr>
            <w:r w:rsidRPr="006A77F2">
              <w:rPr>
                <w:rFonts w:eastAsia="Calibri" w:cs="Arial"/>
                <w:b/>
                <w:iCs/>
              </w:rPr>
              <w:t>Medical</w:t>
            </w:r>
          </w:p>
          <w:p w14:paraId="2D0BA01F" w14:textId="0AA79326" w:rsidR="0035637A" w:rsidRPr="006A77F2" w:rsidRDefault="0035637A" w:rsidP="00A97E1E">
            <w:pPr>
              <w:widowControl w:val="0"/>
              <w:ind w:left="38"/>
              <w:rPr>
                <w:rFonts w:eastAsia="Calibri" w:cs="Arial"/>
                <w:bCs/>
                <w:iCs/>
              </w:rPr>
            </w:pPr>
            <w:r w:rsidRPr="006A77F2">
              <w:rPr>
                <w:rFonts w:eastAsia="Calibri" w:cs="Arial"/>
                <w:bCs/>
                <w:iCs/>
              </w:rPr>
              <w:t>Indi</w:t>
            </w:r>
            <w:r w:rsidR="00037587" w:rsidRPr="006A77F2">
              <w:rPr>
                <w:rFonts w:eastAsia="Calibri" w:cs="Arial"/>
                <w:bCs/>
                <w:iCs/>
              </w:rPr>
              <w:t>viduals:</w:t>
            </w:r>
          </w:p>
          <w:p w14:paraId="150439CC" w14:textId="19BC4E27" w:rsidR="00A97E1E" w:rsidRPr="006A77F2" w:rsidRDefault="00536241" w:rsidP="00410880">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color w:val="FF0000"/>
                <w:highlight w:val="cyan"/>
              </w:rPr>
            </w:pPr>
            <w:r w:rsidRPr="006A77F2">
              <w:rPr>
                <w:rFonts w:eastAsia="Calibri" w:cs="Arial"/>
                <w:iCs/>
                <w:highlight w:val="cyan"/>
              </w:rPr>
              <w:t xml:space="preserve">who are </w:t>
            </w:r>
            <w:r w:rsidR="00A97E1E" w:rsidRPr="006A77F2">
              <w:rPr>
                <w:rFonts w:eastAsia="Calibri" w:cs="Arial"/>
                <w:iCs/>
                <w:highlight w:val="cyan"/>
              </w:rPr>
              <w:t>taking clozapine</w:t>
            </w:r>
            <w:r w:rsidR="001B6195">
              <w:rPr>
                <w:rFonts w:eastAsia="Calibri" w:cs="Arial"/>
                <w:iCs/>
                <w:highlight w:val="cyan"/>
              </w:rPr>
              <w:t xml:space="preserve"> (refer to </w:t>
            </w:r>
            <w:r w:rsidR="002221C5">
              <w:rPr>
                <w:rFonts w:eastAsia="Calibri" w:cs="Arial"/>
                <w:iCs/>
                <w:highlight w:val="cyan"/>
              </w:rPr>
              <w:t>their prescriber)</w:t>
            </w:r>
            <w:r w:rsidR="00A97E1E" w:rsidRPr="006A77F2">
              <w:rPr>
                <w:rFonts w:eastAsia="Calibri" w:cs="Arial"/>
                <w:iCs/>
                <w:highlight w:val="cyan"/>
              </w:rPr>
              <w:t xml:space="preserve"> </w:t>
            </w:r>
          </w:p>
          <w:p w14:paraId="5E29F8B6" w14:textId="5BB75078" w:rsidR="00A97E1E" w:rsidRPr="006A77F2" w:rsidRDefault="00AB4681"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with k</w:t>
            </w:r>
            <w:r w:rsidR="00A97E1E" w:rsidRPr="006A77F2">
              <w:rPr>
                <w:rFonts w:eastAsia="Calibri" w:cs="Arial"/>
                <w:iCs/>
              </w:rPr>
              <w:t>nown</w:t>
            </w:r>
            <w:r w:rsidR="005C6127" w:rsidRPr="006A77F2">
              <w:rPr>
                <w:rFonts w:eastAsia="Calibri" w:cs="Arial"/>
                <w:iCs/>
              </w:rPr>
              <w:t xml:space="preserve">, </w:t>
            </w:r>
            <w:r w:rsidR="00A97E1E" w:rsidRPr="006A77F2">
              <w:rPr>
                <w:rFonts w:eastAsia="Calibri" w:cs="Arial"/>
                <w:iCs/>
              </w:rPr>
              <w:t>suspected or</w:t>
            </w:r>
            <w:r w:rsidR="009F2F1D" w:rsidRPr="006A77F2">
              <w:rPr>
                <w:rFonts w:eastAsia="Calibri" w:cs="Arial"/>
                <w:iCs/>
              </w:rPr>
              <w:t xml:space="preserve"> planned</w:t>
            </w:r>
            <w:r w:rsidR="00A97E1E" w:rsidRPr="006A77F2">
              <w:rPr>
                <w:rFonts w:eastAsia="Calibri" w:cs="Arial"/>
                <w:iCs/>
              </w:rPr>
              <w:t xml:space="preserve"> pregnancy during</w:t>
            </w:r>
            <w:r w:rsidR="009F2F1D" w:rsidRPr="006A77F2">
              <w:rPr>
                <w:rFonts w:eastAsia="Calibri" w:cs="Arial"/>
                <w:iCs/>
              </w:rPr>
              <w:t xml:space="preserve"> the</w:t>
            </w:r>
            <w:r w:rsidR="00A97E1E" w:rsidRPr="006A77F2">
              <w:rPr>
                <w:rFonts w:eastAsia="Calibri" w:cs="Arial"/>
                <w:iCs/>
              </w:rPr>
              <w:t xml:space="preserve"> treatment period [See </w:t>
            </w:r>
            <w:hyperlink r:id="rId23" w:history="1">
              <w:r w:rsidR="00A97E1E" w:rsidRPr="006A77F2">
                <w:rPr>
                  <w:rStyle w:val="Hyperlink"/>
                  <w:rFonts w:eastAsia="Calibri" w:cs="Arial"/>
                  <w:iCs/>
                </w:rPr>
                <w:t>NICE NG209 guidance</w:t>
              </w:r>
            </w:hyperlink>
            <w:r w:rsidR="00A97E1E" w:rsidRPr="006A77F2">
              <w:rPr>
                <w:rFonts w:eastAsia="Calibri" w:cs="Arial"/>
                <w:iCs/>
              </w:rPr>
              <w:t xml:space="preserve"> for information on recommended tobacco dependence treatment interventions in pregnant individuals]</w:t>
            </w:r>
          </w:p>
          <w:p w14:paraId="0B374167" w14:textId="2296FF83" w:rsidR="00A97E1E" w:rsidRPr="006A77F2" w:rsidRDefault="00AB4681"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who are </w:t>
            </w:r>
            <w:r w:rsidR="00A97E1E" w:rsidRPr="006A77F2">
              <w:rPr>
                <w:rFonts w:eastAsia="Calibri" w:cs="Arial"/>
                <w:iCs/>
              </w:rPr>
              <w:t>breastfeeding</w:t>
            </w:r>
          </w:p>
          <w:p w14:paraId="61D4B361" w14:textId="15D4F7FE" w:rsidR="00A97E1E" w:rsidRPr="006A77F2" w:rsidRDefault="00364052"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with a h</w:t>
            </w:r>
            <w:r w:rsidR="00A97E1E" w:rsidRPr="006A77F2">
              <w:rPr>
                <w:rFonts w:eastAsia="Calibri" w:cs="Arial"/>
                <w:iCs/>
              </w:rPr>
              <w:t>istory of seizures or conditions known to lower the seizure threshold</w:t>
            </w:r>
          </w:p>
          <w:p w14:paraId="6C7734EE" w14:textId="263A95FB" w:rsidR="00A97E1E" w:rsidRPr="006A77F2" w:rsidRDefault="00364052" w:rsidP="00A97E1E">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with k</w:t>
            </w:r>
            <w:r w:rsidR="00A97E1E" w:rsidRPr="006A77F2">
              <w:rPr>
                <w:rFonts w:eastAsia="Calibri" w:cs="Arial"/>
                <w:iCs/>
              </w:rPr>
              <w:t>nown or suspected end stage renal disease (CKD stage 5, eGFR &lt;15mL/min/1.73m</w:t>
            </w:r>
            <w:r w:rsidR="00A97E1E" w:rsidRPr="006A77F2">
              <w:rPr>
                <w:rFonts w:eastAsia="Calibri" w:cs="Arial"/>
                <w:iCs/>
                <w:vertAlign w:val="superscript"/>
              </w:rPr>
              <w:t>2</w:t>
            </w:r>
            <w:r w:rsidR="00A97E1E" w:rsidRPr="006A77F2">
              <w:rPr>
                <w:rFonts w:eastAsia="Calibri" w:cs="Arial"/>
                <w:iCs/>
              </w:rPr>
              <w:t>)</w:t>
            </w:r>
          </w:p>
          <w:p w14:paraId="466415C9" w14:textId="77777777" w:rsidR="001A0142" w:rsidRPr="006A77F2" w:rsidRDefault="001A0142" w:rsidP="00410880">
            <w:pPr>
              <w:widowControl w:val="0"/>
              <w:overflowPunct w:val="0"/>
              <w:autoSpaceDE w:val="0"/>
              <w:autoSpaceDN w:val="0"/>
              <w:adjustRightInd w:val="0"/>
              <w:spacing w:after="0" w:line="240" w:lineRule="auto"/>
              <w:ind w:left="321"/>
              <w:textAlignment w:val="baseline"/>
              <w:textboxTightWrap w:val="none"/>
              <w:rPr>
                <w:rFonts w:eastAsia="Calibri" w:cs="Arial"/>
                <w:iCs/>
              </w:rPr>
            </w:pPr>
          </w:p>
          <w:p w14:paraId="637FD3BC" w14:textId="3CADDB7F" w:rsidR="00A97E1E" w:rsidRPr="006A77F2" w:rsidRDefault="00A97E1E" w:rsidP="00410880">
            <w:pPr>
              <w:overflowPunct w:val="0"/>
              <w:autoSpaceDE w:val="0"/>
              <w:autoSpaceDN w:val="0"/>
              <w:adjustRightInd w:val="0"/>
              <w:spacing w:after="160" w:line="278" w:lineRule="auto"/>
              <w:contextualSpacing/>
              <w:textAlignment w:val="baseline"/>
              <w:textboxTightWrap w:val="none"/>
              <w:rPr>
                <w:rFonts w:eastAsia="Calibri" w:cs="Arial"/>
                <w:iCs/>
              </w:rPr>
            </w:pPr>
          </w:p>
        </w:tc>
      </w:tr>
      <w:tr w:rsidR="00ED0357" w:rsidRPr="006A77F2" w14:paraId="5B268F7D" w14:textId="77777777" w:rsidTr="00DE0B31">
        <w:trPr>
          <w:trHeight w:val="269"/>
        </w:trPr>
        <w:tc>
          <w:tcPr>
            <w:tcW w:w="3403" w:type="dxa"/>
            <w:shd w:val="clear" w:color="auto" w:fill="BFBFBF" w:themeFill="text1" w:themeFillShade="BF"/>
          </w:tcPr>
          <w:p w14:paraId="7F311925" w14:textId="77777777" w:rsidR="00ED0357" w:rsidRPr="006A77F2" w:rsidRDefault="00ED0357" w:rsidP="00ED0357">
            <w:pPr>
              <w:overflowPunct w:val="0"/>
              <w:autoSpaceDE w:val="0"/>
              <w:autoSpaceDN w:val="0"/>
              <w:adjustRightInd w:val="0"/>
              <w:spacing w:before="60" w:after="60"/>
              <w:textAlignment w:val="baseline"/>
              <w:rPr>
                <w:rFonts w:cs="Arial"/>
                <w:b/>
              </w:rPr>
            </w:pPr>
            <w:r w:rsidRPr="006A77F2">
              <w:rPr>
                <w:rFonts w:cs="Arial"/>
                <w:b/>
              </w:rPr>
              <w:lastRenderedPageBreak/>
              <w:t>Cautions including any relevant action to be taken</w:t>
            </w:r>
          </w:p>
        </w:tc>
        <w:tc>
          <w:tcPr>
            <w:tcW w:w="6945" w:type="dxa"/>
          </w:tcPr>
          <w:p w14:paraId="3982A86D" w14:textId="1DD9D5D7" w:rsidR="00ED0357" w:rsidRPr="006A77F2" w:rsidRDefault="00ED0357" w:rsidP="00F06DC8">
            <w:pPr>
              <w:spacing w:line="240" w:lineRule="auto"/>
              <w:rPr>
                <w:rFonts w:asciiTheme="minorHAnsi" w:eastAsia="Calibri" w:hAnsiTheme="minorHAnsi" w:cstheme="minorHAnsi"/>
                <w:b/>
                <w:iCs/>
              </w:rPr>
            </w:pPr>
            <w:r w:rsidRPr="006A77F2">
              <w:rPr>
                <w:rFonts w:asciiTheme="minorHAnsi" w:eastAsia="Calibri" w:hAnsiTheme="minorHAnsi" w:cstheme="minorHAnsi"/>
                <w:b/>
                <w:iCs/>
              </w:rPr>
              <w:t>The health risks of tobacco dependence are widely acknowledged</w:t>
            </w:r>
            <w:r w:rsidR="00A64CFC" w:rsidRPr="006A77F2">
              <w:rPr>
                <w:rFonts w:asciiTheme="minorHAnsi" w:eastAsia="Calibri" w:hAnsiTheme="minorHAnsi" w:cstheme="minorHAnsi"/>
                <w:b/>
                <w:iCs/>
              </w:rPr>
              <w:t>.</w:t>
            </w:r>
            <w:r w:rsidRPr="006A77F2">
              <w:rPr>
                <w:rFonts w:asciiTheme="minorHAnsi" w:eastAsia="Calibri" w:hAnsiTheme="minorHAnsi" w:cstheme="minorHAnsi"/>
                <w:b/>
                <w:iCs/>
              </w:rPr>
              <w:t xml:space="preserve"> </w:t>
            </w:r>
            <w:r w:rsidR="00A64CFC" w:rsidRPr="006A77F2">
              <w:rPr>
                <w:rFonts w:asciiTheme="minorHAnsi" w:eastAsia="Calibri" w:hAnsiTheme="minorHAnsi" w:cstheme="minorHAnsi"/>
                <w:b/>
                <w:iCs/>
              </w:rPr>
              <w:t>T</w:t>
            </w:r>
            <w:r w:rsidRPr="006A77F2">
              <w:rPr>
                <w:rFonts w:asciiTheme="minorHAnsi" w:eastAsia="Calibri" w:hAnsiTheme="minorHAnsi" w:cstheme="minorHAnsi"/>
                <w:b/>
                <w:iCs/>
              </w:rPr>
              <w:t xml:space="preserve">he likelihood of </w:t>
            </w:r>
            <w:r w:rsidR="00A64CFC" w:rsidRPr="006A77F2">
              <w:rPr>
                <w:rFonts w:asciiTheme="minorHAnsi" w:eastAsia="Calibri" w:hAnsiTheme="minorHAnsi" w:cstheme="minorHAnsi"/>
                <w:b/>
                <w:iCs/>
              </w:rPr>
              <w:t xml:space="preserve">associated </w:t>
            </w:r>
            <w:r w:rsidRPr="006A77F2">
              <w:rPr>
                <w:rFonts w:asciiTheme="minorHAnsi" w:eastAsia="Calibri" w:hAnsiTheme="minorHAnsi" w:cstheme="minorHAnsi"/>
                <w:b/>
                <w:iCs/>
              </w:rPr>
              <w:t xml:space="preserve">risks from varenicline </w:t>
            </w:r>
            <w:r w:rsidR="00A64CFC" w:rsidRPr="006A77F2">
              <w:rPr>
                <w:rFonts w:asciiTheme="minorHAnsi" w:eastAsia="Calibri" w:hAnsiTheme="minorHAnsi" w:cstheme="minorHAnsi"/>
                <w:b/>
                <w:iCs/>
              </w:rPr>
              <w:t xml:space="preserve">use </w:t>
            </w:r>
            <w:r w:rsidRPr="006A77F2">
              <w:rPr>
                <w:rFonts w:asciiTheme="minorHAnsi" w:eastAsia="Calibri" w:hAnsiTheme="minorHAnsi" w:cstheme="minorHAnsi"/>
                <w:b/>
                <w:iCs/>
              </w:rPr>
              <w:t>is expected to be lower compared to the risk of continu</w:t>
            </w:r>
            <w:r w:rsidR="00826577" w:rsidRPr="006A77F2">
              <w:rPr>
                <w:rFonts w:asciiTheme="minorHAnsi" w:eastAsia="Calibri" w:hAnsiTheme="minorHAnsi" w:cstheme="minorHAnsi"/>
                <w:b/>
                <w:iCs/>
              </w:rPr>
              <w:t>ed smoking</w:t>
            </w:r>
            <w:r w:rsidRPr="006A77F2">
              <w:rPr>
                <w:rFonts w:asciiTheme="minorHAnsi" w:eastAsia="Calibri" w:hAnsiTheme="minorHAnsi" w:cstheme="minorHAnsi"/>
                <w:b/>
                <w:iCs/>
              </w:rPr>
              <w:t xml:space="preserve">. </w:t>
            </w:r>
          </w:p>
          <w:p w14:paraId="0241DEA3" w14:textId="48ED51C0" w:rsidR="00FA00FD" w:rsidRPr="006A77F2" w:rsidRDefault="00ED0357" w:rsidP="00F06DC8">
            <w:pPr>
              <w:widowControl w:val="0"/>
              <w:overflowPunct w:val="0"/>
              <w:autoSpaceDE w:val="0"/>
              <w:autoSpaceDN w:val="0"/>
              <w:adjustRightInd w:val="0"/>
              <w:spacing w:line="240" w:lineRule="auto"/>
              <w:textAlignment w:val="baseline"/>
              <w:rPr>
                <w:rFonts w:asciiTheme="minorHAnsi" w:eastAsia="Calibri" w:hAnsiTheme="minorHAnsi" w:cstheme="minorHAnsi"/>
                <w:iCs/>
                <w:u w:val="single"/>
              </w:rPr>
            </w:pPr>
            <w:r w:rsidRPr="006A77F2">
              <w:rPr>
                <w:rFonts w:asciiTheme="minorHAnsi" w:eastAsia="Calibri" w:hAnsiTheme="minorHAnsi" w:cstheme="minorHAnsi"/>
                <w:b/>
                <w:bCs/>
                <w:iCs/>
                <w:u w:val="single"/>
              </w:rPr>
              <w:t>Cardiovascular symptoms</w:t>
            </w:r>
          </w:p>
          <w:p w14:paraId="3DCE66B1" w14:textId="536618E0" w:rsidR="00ED0357" w:rsidRPr="006A77F2" w:rsidRDefault="00ED0357" w:rsidP="00F06DC8">
            <w:pPr>
              <w:widowControl w:val="0"/>
              <w:overflowPunct w:val="0"/>
              <w:autoSpaceDE w:val="0"/>
              <w:autoSpaceDN w:val="0"/>
              <w:adjustRightInd w:val="0"/>
              <w:spacing w:line="240" w:lineRule="auto"/>
              <w:textAlignment w:val="baseline"/>
              <w:rPr>
                <w:rFonts w:asciiTheme="minorHAnsi" w:eastAsia="Calibri" w:hAnsiTheme="minorHAnsi" w:cstheme="minorHAnsi"/>
                <w:iCs/>
              </w:rPr>
            </w:pPr>
            <w:r w:rsidRPr="006A77F2">
              <w:rPr>
                <w:rFonts w:asciiTheme="minorHAnsi" w:eastAsia="Calibri" w:hAnsiTheme="minorHAnsi" w:cstheme="minorHAnsi"/>
                <w:iCs/>
              </w:rPr>
              <w:t>Individuals taking varenicline</w:t>
            </w:r>
            <w:r w:rsidRPr="006A77F2" w:rsidDel="004E00F6">
              <w:rPr>
                <w:rFonts w:asciiTheme="minorHAnsi" w:eastAsia="Calibri" w:hAnsiTheme="minorHAnsi" w:cstheme="minorHAnsi"/>
                <w:iCs/>
              </w:rPr>
              <w:t xml:space="preserve"> </w:t>
            </w:r>
            <w:r w:rsidRPr="006A77F2">
              <w:rPr>
                <w:rFonts w:asciiTheme="minorHAnsi" w:eastAsia="Calibri" w:hAnsiTheme="minorHAnsi" w:cstheme="minorHAnsi"/>
                <w:iCs/>
              </w:rPr>
              <w:t xml:space="preserve">should be instructed to notify their GP Practice of new or worsening cardiovascular symptoms and to seek immediate medical attention if they experience signs and </w:t>
            </w:r>
            <w:r w:rsidRPr="006A77F2">
              <w:rPr>
                <w:rFonts w:asciiTheme="minorHAnsi" w:eastAsia="Calibri" w:hAnsiTheme="minorHAnsi" w:cstheme="minorHAnsi"/>
              </w:rPr>
              <w:t xml:space="preserve">symptoms of </w:t>
            </w:r>
            <w:hyperlink r:id="rId24" w:history="1">
              <w:r w:rsidRPr="006A77F2">
                <w:rPr>
                  <w:rStyle w:val="Hyperlink"/>
                  <w:rFonts w:eastAsia="Calibri" w:cstheme="minorHAnsi"/>
                </w:rPr>
                <w:t>myocardial infarction</w:t>
              </w:r>
            </w:hyperlink>
            <w:r w:rsidRPr="006A77F2">
              <w:rPr>
                <w:rFonts w:asciiTheme="minorHAnsi" w:eastAsia="Calibri" w:hAnsiTheme="minorHAnsi" w:cstheme="minorHAnsi"/>
              </w:rPr>
              <w:t xml:space="preserve"> or </w:t>
            </w:r>
            <w:hyperlink r:id="rId25" w:history="1">
              <w:r w:rsidRPr="006A77F2">
                <w:rPr>
                  <w:rStyle w:val="Hyperlink"/>
                  <w:rFonts w:eastAsia="Calibri" w:cstheme="minorHAnsi"/>
                </w:rPr>
                <w:t>stroke</w:t>
              </w:r>
            </w:hyperlink>
            <w:r w:rsidRPr="006A77F2">
              <w:rPr>
                <w:rFonts w:asciiTheme="minorHAnsi" w:eastAsia="Calibri" w:hAnsiTheme="minorHAnsi" w:cstheme="minorHAnsi"/>
                <w:iCs/>
              </w:rPr>
              <w:t>.</w:t>
            </w:r>
          </w:p>
          <w:p w14:paraId="3C2262C2" w14:textId="0ED53952" w:rsidR="00A9099F" w:rsidRPr="006A77F2" w:rsidRDefault="00ED0357" w:rsidP="00F06DC8">
            <w:pPr>
              <w:widowControl w:val="0"/>
              <w:spacing w:line="240" w:lineRule="auto"/>
              <w:rPr>
                <w:rFonts w:asciiTheme="minorHAnsi" w:eastAsia="Calibri" w:hAnsiTheme="minorHAnsi" w:cstheme="minorHAnsi"/>
                <w:b/>
                <w:bCs/>
                <w:iCs/>
                <w:u w:val="single"/>
              </w:rPr>
            </w:pPr>
            <w:r w:rsidRPr="006A77F2">
              <w:rPr>
                <w:rFonts w:asciiTheme="minorHAnsi" w:eastAsia="Calibri" w:hAnsiTheme="minorHAnsi" w:cstheme="minorHAnsi"/>
                <w:b/>
                <w:bCs/>
                <w:iCs/>
                <w:u w:val="single"/>
              </w:rPr>
              <w:t>Individuals with current or past history of psychiatric disorders</w:t>
            </w:r>
          </w:p>
          <w:p w14:paraId="0A1ADD7D" w14:textId="72C30C52" w:rsidR="00ED0357" w:rsidRPr="006A77F2" w:rsidRDefault="00343581" w:rsidP="00F06DC8">
            <w:pPr>
              <w:widowControl w:val="0"/>
              <w:spacing w:line="240" w:lineRule="auto"/>
              <w:rPr>
                <w:rFonts w:asciiTheme="minorHAnsi" w:eastAsia="Calibri" w:hAnsiTheme="minorHAnsi" w:cstheme="minorHAnsi"/>
                <w:iCs/>
              </w:rPr>
            </w:pPr>
            <w:r w:rsidRPr="006A77F2">
              <w:rPr>
                <w:rFonts w:asciiTheme="minorHAnsi" w:hAnsiTheme="minorHAnsi" w:cstheme="minorHAnsi"/>
              </w:rPr>
              <w:t>T</w:t>
            </w:r>
            <w:r w:rsidR="00ED0357" w:rsidRPr="006A77F2">
              <w:rPr>
                <w:rFonts w:asciiTheme="minorHAnsi" w:hAnsiTheme="minorHAnsi" w:cstheme="minorHAnsi"/>
              </w:rPr>
              <w:t>reatment for tobacco dependence</w:t>
            </w:r>
            <w:r w:rsidR="00ED0357" w:rsidRPr="006A77F2">
              <w:rPr>
                <w:rFonts w:asciiTheme="minorHAnsi" w:eastAsia="Calibri" w:hAnsiTheme="minorHAnsi" w:cstheme="minorHAnsi"/>
                <w:iCs/>
              </w:rPr>
              <w:t>, with or without pharmacotherapy, has been associated with the short-term exacerbation of underlying psychiatric illness (e.g., depression). Changes in behaviour or thinking,</w:t>
            </w:r>
            <w:r w:rsidR="00E50C3A" w:rsidRPr="006A77F2">
              <w:rPr>
                <w:rFonts w:asciiTheme="minorHAnsi" w:eastAsia="Calibri" w:hAnsiTheme="minorHAnsi" w:cstheme="minorHAnsi"/>
                <w:iCs/>
              </w:rPr>
              <w:t xml:space="preserve"> including</w:t>
            </w:r>
            <w:r w:rsidR="00ED0357" w:rsidRPr="006A77F2">
              <w:rPr>
                <w:rFonts w:asciiTheme="minorHAnsi" w:eastAsia="Calibri" w:hAnsiTheme="minorHAnsi" w:cstheme="minorHAnsi"/>
                <w:iCs/>
              </w:rPr>
              <w:t xml:space="preserve"> anxiety, psychosis, mood swings, aggressive behaviour, depression, </w:t>
            </w:r>
            <w:r w:rsidR="004D6820" w:rsidRPr="006A77F2">
              <w:rPr>
                <w:rFonts w:asciiTheme="minorHAnsi" w:eastAsia="Calibri" w:hAnsiTheme="minorHAnsi" w:cstheme="minorHAnsi"/>
                <w:iCs/>
              </w:rPr>
              <w:t>suicide ideation</w:t>
            </w:r>
            <w:r w:rsidR="00ED0357" w:rsidRPr="006A77F2">
              <w:rPr>
                <w:rFonts w:asciiTheme="minorHAnsi" w:eastAsia="Calibri" w:hAnsiTheme="minorHAnsi" w:cstheme="minorHAnsi"/>
                <w:iCs/>
              </w:rPr>
              <w:t xml:space="preserve"> and suicide attempts</w:t>
            </w:r>
            <w:r w:rsidR="004D6820" w:rsidRPr="006A77F2">
              <w:rPr>
                <w:rFonts w:asciiTheme="minorHAnsi" w:eastAsia="Calibri" w:hAnsiTheme="minorHAnsi" w:cstheme="minorHAnsi"/>
                <w:iCs/>
              </w:rPr>
              <w:t>,</w:t>
            </w:r>
            <w:r w:rsidR="00ED0357" w:rsidRPr="006A77F2">
              <w:rPr>
                <w:rFonts w:asciiTheme="minorHAnsi" w:eastAsia="Calibri" w:hAnsiTheme="minorHAnsi" w:cstheme="minorHAnsi"/>
                <w:iCs/>
              </w:rPr>
              <w:t xml:space="preserve"> have been reported in individuals attempting to quit smoking. Individuals should be advised to discontinue varenicline immediately and notify their </w:t>
            </w:r>
            <w:r w:rsidR="00792CC8" w:rsidRPr="006A77F2">
              <w:rPr>
                <w:rFonts w:asciiTheme="minorHAnsi" w:eastAsia="Calibri" w:hAnsiTheme="minorHAnsi" w:cstheme="minorHAnsi"/>
                <w:iCs/>
              </w:rPr>
              <w:t xml:space="preserve">pharmacy provider </w:t>
            </w:r>
            <w:r w:rsidR="00ED0357" w:rsidRPr="006A77F2">
              <w:rPr>
                <w:rFonts w:asciiTheme="minorHAnsi" w:eastAsia="Calibri" w:hAnsiTheme="minorHAnsi" w:cstheme="minorHAnsi"/>
                <w:iCs/>
              </w:rPr>
              <w:t xml:space="preserve">if they experience serious </w:t>
            </w:r>
            <w:r w:rsidR="00ED0357" w:rsidRPr="006A77F2">
              <w:rPr>
                <w:rFonts w:asciiTheme="minorHAnsi" w:eastAsia="Calibri" w:hAnsiTheme="minorHAnsi" w:cstheme="minorHAnsi"/>
                <w:iCs/>
              </w:rPr>
              <w:lastRenderedPageBreak/>
              <w:t>neuropsychiatric symptoms such as agitation, depressed mood, changes in behaviour or thinking, or seek immediate medical advice if they develop suicidal ideation or suicidal behaviour.</w:t>
            </w:r>
          </w:p>
          <w:p w14:paraId="43AFC5E6" w14:textId="77777777" w:rsidR="00ED0357" w:rsidRPr="006A77F2" w:rsidRDefault="00ED0357" w:rsidP="00ED0357">
            <w:pPr>
              <w:rPr>
                <w:rFonts w:asciiTheme="minorHAnsi" w:hAnsiTheme="minorHAnsi" w:cstheme="minorHAnsi"/>
                <w:b/>
                <w:u w:val="single"/>
              </w:rPr>
            </w:pPr>
            <w:r w:rsidRPr="006A77F2">
              <w:rPr>
                <w:rFonts w:asciiTheme="minorHAnsi" w:hAnsiTheme="minorHAnsi" w:cstheme="minorHAnsi"/>
                <w:b/>
                <w:u w:val="single"/>
              </w:rPr>
              <w:t>Medication related cautions when an individual stops smoking</w:t>
            </w:r>
          </w:p>
          <w:p w14:paraId="645ADEA8" w14:textId="40DA4E3C" w:rsidR="00ED0357" w:rsidRPr="006A77F2" w:rsidRDefault="00ED0357" w:rsidP="00F06DC8">
            <w:pPr>
              <w:spacing w:line="240" w:lineRule="auto"/>
              <w:rPr>
                <w:rFonts w:asciiTheme="minorHAnsi" w:hAnsiTheme="minorHAnsi" w:cstheme="minorHAnsi"/>
                <w:iCs/>
              </w:rPr>
            </w:pPr>
            <w:r w:rsidRPr="006A77F2">
              <w:rPr>
                <w:rFonts w:asciiTheme="minorHAnsi" w:hAnsiTheme="minorHAnsi" w:cstheme="minorHAnsi"/>
                <w:iCs/>
              </w:rPr>
              <w:t>Physiological changes resulting from smoking cessation, with or without treatment with</w:t>
            </w:r>
            <w:r w:rsidRPr="006A77F2">
              <w:rPr>
                <w:rFonts w:asciiTheme="minorHAnsi" w:eastAsia="Calibri" w:hAnsiTheme="minorHAnsi" w:cstheme="minorHAnsi"/>
                <w:iCs/>
              </w:rPr>
              <w:t xml:space="preserve"> varenicline</w:t>
            </w:r>
            <w:r w:rsidRPr="006A77F2">
              <w:rPr>
                <w:rFonts w:asciiTheme="minorHAnsi" w:hAnsiTheme="minorHAnsi" w:cstheme="minorHAnsi"/>
                <w:iCs/>
              </w:rPr>
              <w:t xml:space="preserve">, may alter the pharmacokinetics or pharmacodynamics of some medicinal products, for which dosage adjustment may be necessary. As ingredients in tobacco smoke induce CYP1A2, smoking cessation may result in an increase of plasma levels of CYP1A2 substrates. </w:t>
            </w:r>
          </w:p>
          <w:p w14:paraId="23231607" w14:textId="0450A717" w:rsidR="00ED0357" w:rsidRPr="006A77F2" w:rsidRDefault="00ED0357" w:rsidP="00F06DC8">
            <w:pPr>
              <w:spacing w:line="240" w:lineRule="auto"/>
              <w:rPr>
                <w:rFonts w:asciiTheme="minorHAnsi" w:hAnsiTheme="minorHAnsi" w:cstheme="minorHAnsi"/>
                <w:iCs/>
              </w:rPr>
            </w:pPr>
            <w:r w:rsidRPr="006A77F2">
              <w:rPr>
                <w:rFonts w:asciiTheme="minorHAnsi" w:hAnsiTheme="minorHAnsi" w:cstheme="minorHAnsi"/>
                <w:iCs/>
              </w:rPr>
              <w:t xml:space="preserve">Before supplying </w:t>
            </w:r>
            <w:r w:rsidRPr="006A77F2">
              <w:rPr>
                <w:rFonts w:asciiTheme="minorHAnsi" w:eastAsia="Calibri" w:hAnsiTheme="minorHAnsi" w:cstheme="minorHAnsi"/>
                <w:iCs/>
              </w:rPr>
              <w:t>varenicline</w:t>
            </w:r>
            <w:r w:rsidRPr="006A77F2">
              <w:rPr>
                <w:rFonts w:asciiTheme="minorHAnsi" w:hAnsiTheme="minorHAnsi" w:cstheme="minorHAnsi"/>
                <w:iCs/>
              </w:rPr>
              <w:t xml:space="preserve">, </w:t>
            </w:r>
            <w:r w:rsidR="00061AC9" w:rsidRPr="006A77F2">
              <w:rPr>
                <w:rFonts w:cs="Arial"/>
                <w:highlight w:val="yellow"/>
                <w:lang w:eastAsia="en-GB"/>
              </w:rPr>
              <w:t xml:space="preserve">the pharmacist or pharmacy technician </w:t>
            </w:r>
            <w:r w:rsidRPr="006A77F2">
              <w:rPr>
                <w:rFonts w:asciiTheme="minorHAnsi" w:hAnsiTheme="minorHAnsi" w:cstheme="minorHAnsi"/>
                <w:iCs/>
              </w:rPr>
              <w:t xml:space="preserve">must first establish (using the information presented below) if there is a potential interaction due to a change in smoking status and inform the individual of this. </w:t>
            </w:r>
            <w:r w:rsidR="00247264" w:rsidRPr="00247264">
              <w:rPr>
                <w:rFonts w:asciiTheme="minorHAnsi" w:hAnsiTheme="minorHAnsi" w:cstheme="minorHAnsi"/>
                <w:iCs/>
              </w:rPr>
              <w:t xml:space="preserve">Where there is a potential interaction, advise </w:t>
            </w:r>
            <w:r w:rsidR="0077061D" w:rsidRPr="006A77F2">
              <w:rPr>
                <w:rFonts w:asciiTheme="minorHAnsi" w:hAnsiTheme="minorHAnsi" w:cstheme="minorHAnsi"/>
                <w:iCs/>
              </w:rPr>
              <w:t>the individual</w:t>
            </w:r>
            <w:r w:rsidRPr="006A77F2">
              <w:rPr>
                <w:rFonts w:asciiTheme="minorHAnsi" w:hAnsiTheme="minorHAnsi" w:cstheme="minorHAnsi"/>
                <w:iCs/>
              </w:rPr>
              <w:t xml:space="preserve"> to notify the prescriber(s) of the interacting medicine(s) </w:t>
            </w:r>
            <w:r w:rsidRPr="006A77F2">
              <w:rPr>
                <w:rFonts w:asciiTheme="minorHAnsi" w:hAnsiTheme="minorHAnsi" w:cstheme="minorHAnsi"/>
                <w:b/>
                <w:iCs/>
              </w:rPr>
              <w:t>in advance</w:t>
            </w:r>
            <w:r w:rsidRPr="006A77F2">
              <w:rPr>
                <w:rFonts w:asciiTheme="minorHAnsi" w:hAnsiTheme="minorHAnsi" w:cstheme="minorHAnsi"/>
                <w:iCs/>
              </w:rPr>
              <w:t xml:space="preserve"> of their intention to stop smoking.</w:t>
            </w:r>
          </w:p>
          <w:p w14:paraId="627BCA4C" w14:textId="67CEA06D" w:rsidR="00ED0357" w:rsidRPr="006A77F2" w:rsidRDefault="00ED0357" w:rsidP="00F06DC8">
            <w:pPr>
              <w:spacing w:line="240" w:lineRule="auto"/>
              <w:rPr>
                <w:rFonts w:asciiTheme="minorHAnsi" w:hAnsiTheme="minorHAnsi" w:cstheme="minorHAnsi"/>
                <w:iCs/>
              </w:rPr>
            </w:pPr>
            <w:r w:rsidRPr="006A77F2">
              <w:rPr>
                <w:rFonts w:asciiTheme="minorHAnsi" w:hAnsiTheme="minorHAnsi" w:cstheme="minorHAnsi"/>
                <w:iCs/>
              </w:rPr>
              <w:t xml:space="preserve">Additionally, the </w:t>
            </w:r>
            <w:r w:rsidR="00D52DDD" w:rsidRPr="006A77F2">
              <w:rPr>
                <w:rFonts w:asciiTheme="minorHAnsi" w:hAnsiTheme="minorHAnsi" w:cstheme="minorHAnsi"/>
                <w:iCs/>
              </w:rPr>
              <w:t xml:space="preserve">pharmacist or pharmacy technician </w:t>
            </w:r>
            <w:r w:rsidRPr="006A77F2">
              <w:rPr>
                <w:rFonts w:asciiTheme="minorHAnsi" w:hAnsiTheme="minorHAnsi" w:cstheme="minorHAnsi"/>
                <w:iCs/>
              </w:rPr>
              <w:t xml:space="preserve">providing </w:t>
            </w:r>
            <w:r w:rsidRPr="006A77F2">
              <w:rPr>
                <w:rFonts w:asciiTheme="minorHAnsi" w:eastAsia="Calibri" w:hAnsiTheme="minorHAnsi" w:cstheme="minorHAnsi"/>
                <w:iCs/>
              </w:rPr>
              <w:t>varenicline</w:t>
            </w:r>
            <w:r w:rsidRPr="006A77F2">
              <w:rPr>
                <w:rFonts w:asciiTheme="minorHAnsi" w:hAnsiTheme="minorHAnsi" w:cstheme="minorHAnsi"/>
                <w:iCs/>
              </w:rPr>
              <w:t xml:space="preserve"> </w:t>
            </w:r>
            <w:r w:rsidRPr="006A77F2">
              <w:rPr>
                <w:rFonts w:asciiTheme="minorHAnsi" w:hAnsiTheme="minorHAnsi" w:cstheme="minorHAnsi"/>
                <w:b/>
                <w:iCs/>
              </w:rPr>
              <w:t>must</w:t>
            </w:r>
            <w:r w:rsidRPr="006A77F2">
              <w:rPr>
                <w:rFonts w:asciiTheme="minorHAnsi" w:hAnsiTheme="minorHAnsi" w:cstheme="minorHAnsi"/>
                <w:iCs/>
              </w:rPr>
              <w:t xml:space="preserve"> also inform the prescriber(s) of the interacting medicine(s) of the individual’s attempt to stop smoking so that any relevant monitoring and/or dose adjustments can be carried out by the individual/their healthcare professional. </w:t>
            </w:r>
          </w:p>
          <w:p w14:paraId="771F948D" w14:textId="77777777" w:rsidR="004768A4" w:rsidRPr="006A77F2" w:rsidRDefault="004768A4" w:rsidP="004768A4">
            <w:pPr>
              <w:spacing w:line="240" w:lineRule="auto"/>
              <w:rPr>
                <w:rFonts w:asciiTheme="minorHAnsi" w:hAnsiTheme="minorHAnsi" w:cstheme="minorHAnsi"/>
                <w:iCs/>
              </w:rPr>
            </w:pPr>
            <w:r w:rsidRPr="006A77F2">
              <w:rPr>
                <w:rFonts w:asciiTheme="minorHAnsi" w:eastAsia="Calibri" w:hAnsiTheme="minorHAnsi" w:cstheme="minorHAnsi"/>
                <w:iCs/>
                <w:highlight w:val="yellow"/>
              </w:rPr>
              <w:t xml:space="preserve">Varenicline must not be supplied under this PGD if it is </w:t>
            </w:r>
            <w:r w:rsidRPr="006A77F2">
              <w:rPr>
                <w:rFonts w:asciiTheme="minorHAnsi" w:eastAsia="Calibri" w:hAnsiTheme="minorHAnsi" w:cstheme="minorHAnsi"/>
                <w:b/>
                <w:iCs/>
                <w:highlight w:val="yellow"/>
              </w:rPr>
              <w:t xml:space="preserve">not possible to </w:t>
            </w:r>
            <w:r w:rsidRPr="006A77F2">
              <w:rPr>
                <w:rFonts w:asciiTheme="minorHAnsi" w:hAnsiTheme="minorHAnsi" w:cstheme="minorHAnsi"/>
                <w:b/>
                <w:iCs/>
                <w:highlight w:val="yellow"/>
              </w:rPr>
              <w:t>inform</w:t>
            </w:r>
            <w:r w:rsidRPr="006A77F2">
              <w:rPr>
                <w:rFonts w:asciiTheme="minorHAnsi" w:hAnsiTheme="minorHAnsi" w:cstheme="minorHAnsi"/>
                <w:iCs/>
                <w:highlight w:val="yellow"/>
              </w:rPr>
              <w:t xml:space="preserve"> the prescriber(s) of the potential interaction during smoking cessation and the individual should be </w:t>
            </w:r>
            <w:r w:rsidRPr="006A77F2">
              <w:rPr>
                <w:rFonts w:asciiTheme="minorHAnsi" w:hAnsiTheme="minorHAnsi" w:cstheme="minorHAnsi"/>
                <w:b/>
                <w:iCs/>
                <w:highlight w:val="yellow"/>
              </w:rPr>
              <w:t>referred</w:t>
            </w:r>
            <w:r w:rsidRPr="006A77F2">
              <w:rPr>
                <w:rFonts w:asciiTheme="minorHAnsi" w:hAnsiTheme="minorHAnsi" w:cstheme="minorHAnsi"/>
                <w:iCs/>
                <w:highlight w:val="yellow"/>
              </w:rPr>
              <w:t xml:space="preserve"> to an appropriate alternative service provider.</w:t>
            </w:r>
            <w:r w:rsidRPr="006A77F2">
              <w:rPr>
                <w:rFonts w:asciiTheme="minorHAnsi" w:hAnsiTheme="minorHAnsi" w:cstheme="minorHAnsi"/>
                <w:iCs/>
              </w:rPr>
              <w:t xml:space="preserve"> </w:t>
            </w:r>
          </w:p>
          <w:p w14:paraId="797BCE60" w14:textId="69EA209D" w:rsidR="00ED0357" w:rsidRPr="006A77F2" w:rsidRDefault="00ED0357" w:rsidP="00F06DC8">
            <w:pPr>
              <w:spacing w:line="240" w:lineRule="auto"/>
              <w:rPr>
                <w:rFonts w:asciiTheme="minorHAnsi" w:hAnsiTheme="minorHAnsi" w:cstheme="minorHAnsi"/>
                <w:iCs/>
              </w:rPr>
            </w:pPr>
            <w:r w:rsidRPr="006A77F2">
              <w:rPr>
                <w:rFonts w:asciiTheme="minorHAnsi" w:hAnsiTheme="minorHAnsi" w:cstheme="minorHAnsi"/>
              </w:rPr>
              <w:t xml:space="preserve">Where an individual has already stopped smoking (or reduced their tobacco consumption or entered a period of temporary abstinence) prior to presenting for treatment with </w:t>
            </w:r>
            <w:r w:rsidRPr="006A77F2">
              <w:rPr>
                <w:rFonts w:asciiTheme="minorHAnsi" w:eastAsia="Calibri" w:hAnsiTheme="minorHAnsi" w:cstheme="minorHAnsi"/>
                <w:iCs/>
              </w:rPr>
              <w:t>varenicline,</w:t>
            </w:r>
            <w:r w:rsidRPr="006A77F2">
              <w:rPr>
                <w:rFonts w:asciiTheme="minorHAnsi" w:hAnsiTheme="minorHAnsi" w:cstheme="minorHAnsi"/>
              </w:rPr>
              <w:t xml:space="preserve"> </w:t>
            </w:r>
            <w:r w:rsidR="00146F04" w:rsidRPr="006A77F2">
              <w:rPr>
                <w:rFonts w:asciiTheme="minorHAnsi" w:hAnsiTheme="minorHAnsi" w:cstheme="minorHAnsi"/>
              </w:rPr>
              <w:t>t</w:t>
            </w:r>
            <w:r w:rsidR="00D65459" w:rsidRPr="006A77F2">
              <w:rPr>
                <w:rFonts w:asciiTheme="minorHAnsi" w:hAnsiTheme="minorHAnsi" w:cstheme="minorHAnsi"/>
              </w:rPr>
              <w:t xml:space="preserve">he pharmacist or pharmacy technician </w:t>
            </w:r>
            <w:r w:rsidRPr="006A77F2">
              <w:rPr>
                <w:rFonts w:asciiTheme="minorHAnsi" w:hAnsiTheme="minorHAnsi" w:cstheme="minorHAnsi"/>
              </w:rPr>
              <w:t>should ensure that the individual has already discussed the potential effect(s) of this action on their existing medication(s) with the relevant prescriber(s) and detail</w:t>
            </w:r>
            <w:r w:rsidR="00DB4A54" w:rsidRPr="006A77F2">
              <w:rPr>
                <w:rFonts w:asciiTheme="minorHAnsi" w:hAnsiTheme="minorHAnsi" w:cstheme="minorHAnsi"/>
              </w:rPr>
              <w:t>s</w:t>
            </w:r>
            <w:r w:rsidR="00E755ED" w:rsidRPr="006A77F2">
              <w:rPr>
                <w:rFonts w:asciiTheme="minorHAnsi" w:hAnsiTheme="minorHAnsi" w:cstheme="minorHAnsi"/>
              </w:rPr>
              <w:t xml:space="preserve"> of</w:t>
            </w:r>
            <w:r w:rsidRPr="006A77F2">
              <w:rPr>
                <w:rFonts w:asciiTheme="minorHAnsi" w:hAnsiTheme="minorHAnsi" w:cstheme="minorHAnsi"/>
              </w:rPr>
              <w:t xml:space="preserve"> any actions taken</w:t>
            </w:r>
            <w:r w:rsidR="00DB4A54" w:rsidRPr="006A77F2">
              <w:rPr>
                <w:rFonts w:asciiTheme="minorHAnsi" w:hAnsiTheme="minorHAnsi" w:cstheme="minorHAnsi"/>
              </w:rPr>
              <w:t xml:space="preserve"> should be recorded in the clinical records</w:t>
            </w:r>
            <w:r w:rsidRPr="006A77F2">
              <w:rPr>
                <w:rFonts w:asciiTheme="minorHAnsi" w:hAnsiTheme="minorHAnsi" w:cstheme="minorHAnsi"/>
                <w:i/>
                <w:iCs/>
              </w:rPr>
              <w:t xml:space="preserve">. </w:t>
            </w:r>
            <w:r w:rsidRPr="006A77F2">
              <w:rPr>
                <w:rFonts w:asciiTheme="minorHAnsi" w:hAnsiTheme="minorHAnsi" w:cstheme="minorHAnsi"/>
              </w:rPr>
              <w:t xml:space="preserve">Where this has not occurred, advise the individual to contact the relevant prescriber(s) (or </w:t>
            </w:r>
            <w:r w:rsidRPr="006A77F2">
              <w:rPr>
                <w:rFonts w:asciiTheme="minorHAnsi" w:hAnsiTheme="minorHAnsi" w:cstheme="minorHAnsi"/>
              </w:rPr>
              <w:lastRenderedPageBreak/>
              <w:t>service(s)) as soon as possible, as monitoring (and follow up with the service) may be required.</w:t>
            </w:r>
            <w:r w:rsidRPr="006A77F2">
              <w:rPr>
                <w:rFonts w:asciiTheme="minorHAnsi" w:hAnsiTheme="minorHAnsi" w:cstheme="minorHAnsi"/>
                <w:iCs/>
              </w:rPr>
              <w:t xml:space="preserve"> </w:t>
            </w:r>
          </w:p>
          <w:p w14:paraId="018C342B" w14:textId="46EED2E4" w:rsidR="00ED0357" w:rsidRPr="00781A16" w:rsidRDefault="00EC7071" w:rsidP="00F06DC8">
            <w:pPr>
              <w:widowControl w:val="0"/>
              <w:overflowPunct w:val="0"/>
              <w:autoSpaceDE w:val="0"/>
              <w:autoSpaceDN w:val="0"/>
              <w:adjustRightInd w:val="0"/>
              <w:spacing w:line="240" w:lineRule="auto"/>
              <w:textAlignment w:val="baseline"/>
              <w:rPr>
                <w:rFonts w:asciiTheme="minorHAnsi" w:eastAsia="Calibri" w:hAnsiTheme="minorHAnsi" w:cstheme="minorHAnsi"/>
                <w:bCs/>
                <w:iCs/>
                <w:highlight w:val="yellow"/>
              </w:rPr>
            </w:pPr>
            <w:r w:rsidRPr="00EC7071">
              <w:rPr>
                <w:rFonts w:asciiTheme="minorHAnsi" w:eastAsia="Calibri" w:hAnsiTheme="minorHAnsi" w:cstheme="minorHAnsi"/>
                <w:bCs/>
                <w:iCs/>
                <w:highlight w:val="yellow"/>
              </w:rPr>
              <w:t>Before supplying Varenicline under this PGD, the pharmacist or pharmacy technician must</w:t>
            </w:r>
            <w:r w:rsidRPr="00EC7071">
              <w:rPr>
                <w:rFonts w:asciiTheme="minorHAnsi" w:eastAsia="Calibri" w:hAnsiTheme="minorHAnsi" w:cstheme="minorHAnsi"/>
                <w:b/>
                <w:bCs/>
                <w:iCs/>
                <w:highlight w:val="yellow"/>
              </w:rPr>
              <w:t xml:space="preserve"> confirm</w:t>
            </w:r>
            <w:r w:rsidRPr="00EC7071">
              <w:rPr>
                <w:rFonts w:asciiTheme="minorHAnsi" w:eastAsia="Calibri" w:hAnsiTheme="minorHAnsi" w:cstheme="minorHAnsi"/>
                <w:bCs/>
                <w:iCs/>
                <w:highlight w:val="yellow"/>
              </w:rPr>
              <w:t xml:space="preserve"> with the service provider who prescribes any interacting medicine to the individual that a plan is in place to assist with </w:t>
            </w:r>
            <w:r w:rsidRPr="00EC7071">
              <w:rPr>
                <w:rFonts w:asciiTheme="minorHAnsi" w:eastAsia="Calibri" w:hAnsiTheme="minorHAnsi" w:cstheme="minorHAnsi"/>
                <w:b/>
                <w:bCs/>
                <w:iCs/>
                <w:highlight w:val="yellow"/>
              </w:rPr>
              <w:t>monitoring and dose adjustments of the interacting medicine</w:t>
            </w:r>
            <w:r w:rsidRPr="00EC7071">
              <w:rPr>
                <w:rFonts w:asciiTheme="minorHAnsi" w:eastAsia="Calibri" w:hAnsiTheme="minorHAnsi" w:cstheme="minorHAnsi"/>
                <w:bCs/>
                <w:iCs/>
                <w:highlight w:val="yellow"/>
              </w:rPr>
              <w:t xml:space="preserve">, if required. If the individual is unwilling to share information between services, varenicline </w:t>
            </w:r>
            <w:r w:rsidRPr="00EC7071">
              <w:rPr>
                <w:rFonts w:asciiTheme="minorHAnsi" w:eastAsia="Calibri" w:hAnsiTheme="minorHAnsi" w:cstheme="minorHAnsi"/>
                <w:b/>
                <w:bCs/>
                <w:iCs/>
                <w:highlight w:val="yellow"/>
              </w:rPr>
              <w:t>must not be</w:t>
            </w:r>
            <w:r w:rsidRPr="00EC7071">
              <w:rPr>
                <w:rFonts w:asciiTheme="minorHAnsi" w:eastAsia="Calibri" w:hAnsiTheme="minorHAnsi" w:cstheme="minorHAnsi"/>
                <w:bCs/>
                <w:iCs/>
                <w:highlight w:val="yellow"/>
              </w:rPr>
              <w:t xml:space="preserve"> supplied under this PGD and the individual must be referred to an appropriate alternative service provider, as per local arrangements. </w:t>
            </w:r>
          </w:p>
          <w:p w14:paraId="0806F0F0" w14:textId="226FFEE6" w:rsidR="00ED0357" w:rsidRPr="006A77F2" w:rsidRDefault="00662C1B" w:rsidP="00F06DC8">
            <w:pPr>
              <w:spacing w:line="240" w:lineRule="auto"/>
              <w:rPr>
                <w:rFonts w:asciiTheme="minorHAnsi" w:hAnsiTheme="minorHAnsi" w:cstheme="minorHAnsi"/>
                <w:iCs/>
              </w:rPr>
            </w:pPr>
            <w:r w:rsidRPr="006A77F2">
              <w:rPr>
                <w:rFonts w:asciiTheme="minorHAnsi" w:hAnsiTheme="minorHAnsi" w:cstheme="minorHAnsi"/>
                <w:iCs/>
              </w:rPr>
              <w:t xml:space="preserve">Advise </w:t>
            </w:r>
            <w:r w:rsidR="00ED0357" w:rsidRPr="006A77F2">
              <w:rPr>
                <w:rFonts w:asciiTheme="minorHAnsi" w:hAnsiTheme="minorHAnsi" w:cstheme="minorHAnsi"/>
                <w:iCs/>
              </w:rPr>
              <w:t>individuals</w:t>
            </w:r>
            <w:r w:rsidR="00BE7166" w:rsidRPr="006A77F2">
              <w:rPr>
                <w:rFonts w:asciiTheme="minorHAnsi" w:hAnsiTheme="minorHAnsi" w:cstheme="minorHAnsi"/>
                <w:iCs/>
              </w:rPr>
              <w:t xml:space="preserve"> that should they</w:t>
            </w:r>
            <w:r w:rsidR="00ED0357" w:rsidRPr="006A77F2">
              <w:rPr>
                <w:rFonts w:asciiTheme="minorHAnsi" w:hAnsiTheme="minorHAnsi" w:cstheme="minorHAnsi"/>
                <w:iCs/>
              </w:rPr>
              <w:t xml:space="preserve"> </w:t>
            </w:r>
            <w:r w:rsidR="00ED0357" w:rsidRPr="006A77F2">
              <w:rPr>
                <w:rFonts w:asciiTheme="minorHAnsi" w:hAnsiTheme="minorHAnsi" w:cstheme="minorHAnsi"/>
                <w:b/>
                <w:bCs/>
                <w:iCs/>
              </w:rPr>
              <w:t>relapse and start smoking again</w:t>
            </w:r>
            <w:r w:rsidR="00ED0357" w:rsidRPr="006A77F2">
              <w:rPr>
                <w:rFonts w:asciiTheme="minorHAnsi" w:hAnsiTheme="minorHAnsi" w:cstheme="minorHAnsi"/>
                <w:iCs/>
              </w:rPr>
              <w:t xml:space="preserve">, </w:t>
            </w:r>
            <w:r w:rsidR="00BE7166" w:rsidRPr="006A77F2">
              <w:rPr>
                <w:rFonts w:asciiTheme="minorHAnsi" w:hAnsiTheme="minorHAnsi" w:cstheme="minorHAnsi"/>
                <w:iCs/>
              </w:rPr>
              <w:t xml:space="preserve">it is </w:t>
            </w:r>
            <w:r w:rsidR="002554E1" w:rsidRPr="006A77F2">
              <w:rPr>
                <w:rFonts w:asciiTheme="minorHAnsi" w:hAnsiTheme="minorHAnsi" w:cstheme="minorHAnsi"/>
                <w:iCs/>
              </w:rPr>
              <w:t>their</w:t>
            </w:r>
            <w:r w:rsidR="00BE7166" w:rsidRPr="006A77F2">
              <w:rPr>
                <w:rFonts w:asciiTheme="minorHAnsi" w:hAnsiTheme="minorHAnsi" w:cstheme="minorHAnsi"/>
                <w:iCs/>
              </w:rPr>
              <w:t xml:space="preserve"> </w:t>
            </w:r>
            <w:r w:rsidR="00BE7166" w:rsidRPr="006A77F2">
              <w:rPr>
                <w:rFonts w:asciiTheme="minorHAnsi" w:hAnsiTheme="minorHAnsi" w:cstheme="minorHAnsi"/>
                <w:b/>
                <w:bCs/>
                <w:iCs/>
              </w:rPr>
              <w:t>responsibility</w:t>
            </w:r>
            <w:r w:rsidR="00ED0357" w:rsidRPr="006A77F2">
              <w:rPr>
                <w:rFonts w:asciiTheme="minorHAnsi" w:hAnsiTheme="minorHAnsi" w:cstheme="minorHAnsi"/>
                <w:b/>
                <w:bCs/>
                <w:iCs/>
              </w:rPr>
              <w:t xml:space="preserve"> to notify all healthcare practitioners</w:t>
            </w:r>
            <w:r w:rsidR="00ED0357" w:rsidRPr="006A77F2">
              <w:rPr>
                <w:rFonts w:asciiTheme="minorHAnsi" w:hAnsiTheme="minorHAnsi" w:cstheme="minorHAnsi"/>
                <w:iCs/>
              </w:rPr>
              <w:t xml:space="preserve"> involved in their care so that any appropriate monitoring and/or dose adjustments can be actioned. </w:t>
            </w:r>
          </w:p>
          <w:p w14:paraId="0D55D07A" w14:textId="77777777" w:rsidR="00ED0357" w:rsidRPr="006A77F2" w:rsidRDefault="00ED0357" w:rsidP="00F06DC8">
            <w:pPr>
              <w:spacing w:line="240" w:lineRule="auto"/>
              <w:rPr>
                <w:rFonts w:asciiTheme="minorHAnsi" w:hAnsiTheme="minorHAnsi" w:cstheme="minorHAnsi"/>
                <w:iCs/>
              </w:rPr>
            </w:pPr>
            <w:r w:rsidRPr="006A77F2">
              <w:rPr>
                <w:rFonts w:asciiTheme="minorHAnsi" w:hAnsiTheme="minorHAnsi" w:cstheme="minorHAnsi"/>
                <w:iCs/>
              </w:rPr>
              <w:t>The impact of smoking cessation on the following medicines have been classified as:</w:t>
            </w:r>
          </w:p>
          <w:p w14:paraId="121A7D39" w14:textId="77777777" w:rsidR="00ED0357" w:rsidRPr="006A77F2" w:rsidRDefault="00ED0357" w:rsidP="00F06DC8">
            <w:pPr>
              <w:pStyle w:val="ListParagraph"/>
              <w:numPr>
                <w:ilvl w:val="0"/>
                <w:numId w:val="21"/>
              </w:numPr>
              <w:spacing w:after="0" w:line="240" w:lineRule="auto"/>
              <w:ind w:left="714" w:hanging="357"/>
              <w:contextualSpacing/>
              <w:textboxTightWrap w:val="none"/>
              <w:rPr>
                <w:rFonts w:asciiTheme="minorHAnsi" w:hAnsiTheme="minorHAnsi" w:cstheme="minorHAnsi"/>
                <w:iCs/>
                <w:color w:val="FF0000"/>
              </w:rPr>
            </w:pPr>
            <w:r w:rsidRPr="006A77F2">
              <w:rPr>
                <w:rFonts w:asciiTheme="minorHAnsi" w:hAnsiTheme="minorHAnsi" w:cstheme="minorHAnsi"/>
                <w:b/>
                <w:bCs/>
                <w:iCs/>
              </w:rPr>
              <w:t>High risk</w:t>
            </w:r>
            <w:r w:rsidRPr="006A77F2">
              <w:rPr>
                <w:rFonts w:asciiTheme="minorHAnsi" w:hAnsiTheme="minorHAnsi" w:cstheme="minorHAnsi"/>
                <w:iCs/>
              </w:rPr>
              <w:t xml:space="preserve"> (narrow therapeutic index drug and potential toxicity OR rapid dosage adjustments required)</w:t>
            </w:r>
          </w:p>
          <w:p w14:paraId="1D42B559" w14:textId="77777777" w:rsidR="00ED0357" w:rsidRPr="006A77F2" w:rsidRDefault="00ED0357" w:rsidP="00F06DC8">
            <w:pPr>
              <w:pStyle w:val="ListParagraph"/>
              <w:numPr>
                <w:ilvl w:val="0"/>
                <w:numId w:val="21"/>
              </w:numPr>
              <w:spacing w:after="0" w:line="240" w:lineRule="auto"/>
              <w:ind w:left="714" w:hanging="357"/>
              <w:contextualSpacing/>
              <w:textboxTightWrap w:val="none"/>
              <w:rPr>
                <w:rFonts w:asciiTheme="minorHAnsi" w:hAnsiTheme="minorHAnsi" w:cstheme="minorHAnsi"/>
                <w:iCs/>
                <w:color w:val="FF0000"/>
              </w:rPr>
            </w:pPr>
            <w:r w:rsidRPr="006A77F2">
              <w:rPr>
                <w:rFonts w:asciiTheme="minorHAnsi" w:hAnsiTheme="minorHAnsi" w:cstheme="minorHAnsi"/>
                <w:b/>
                <w:bCs/>
                <w:iCs/>
              </w:rPr>
              <w:t>Moderate risk</w:t>
            </w:r>
            <w:r w:rsidRPr="006A77F2">
              <w:rPr>
                <w:rFonts w:asciiTheme="minorHAnsi" w:hAnsiTheme="minorHAnsi" w:cstheme="minorHAnsi"/>
                <w:iCs/>
              </w:rPr>
              <w:t xml:space="preserve"> (increased risk of adverse effects +/- dosage amendments required). </w:t>
            </w:r>
          </w:p>
          <w:p w14:paraId="2333CF4E" w14:textId="77777777" w:rsidR="00ED0357" w:rsidRPr="006A77F2" w:rsidRDefault="00ED0357" w:rsidP="00F06DC8">
            <w:pPr>
              <w:pStyle w:val="ListParagraph"/>
              <w:spacing w:line="240" w:lineRule="auto"/>
              <w:ind w:left="714"/>
              <w:rPr>
                <w:rFonts w:asciiTheme="minorHAnsi" w:hAnsiTheme="minorHAnsi" w:cstheme="minorHAnsi"/>
                <w:iCs/>
                <w:color w:val="FF0000"/>
              </w:rPr>
            </w:pPr>
          </w:p>
          <w:p w14:paraId="6A2B6DD7" w14:textId="4C657381" w:rsidR="00ED0357" w:rsidRPr="006A77F2" w:rsidRDefault="00ED0357" w:rsidP="00F06DC8">
            <w:pPr>
              <w:spacing w:line="240" w:lineRule="auto"/>
              <w:rPr>
                <w:rFonts w:asciiTheme="minorHAnsi" w:hAnsiTheme="minorHAnsi" w:cstheme="minorHAnsi"/>
                <w:b/>
                <w:bCs/>
                <w:iCs/>
              </w:rPr>
            </w:pPr>
            <w:r w:rsidRPr="006A77F2">
              <w:rPr>
                <w:rFonts w:asciiTheme="minorHAnsi" w:hAnsiTheme="minorHAnsi" w:cstheme="minorHAnsi"/>
                <w:b/>
                <w:bCs/>
                <w:iCs/>
              </w:rPr>
              <w:t xml:space="preserve">This list is not </w:t>
            </w:r>
            <w:r w:rsidR="001B0DEF" w:rsidRPr="006A77F2">
              <w:rPr>
                <w:rFonts w:asciiTheme="minorHAnsi" w:hAnsiTheme="minorHAnsi" w:cstheme="minorHAnsi"/>
                <w:b/>
                <w:bCs/>
                <w:iCs/>
              </w:rPr>
              <w:t>exhaustive,</w:t>
            </w:r>
            <w:r w:rsidRPr="006A77F2">
              <w:rPr>
                <w:rFonts w:asciiTheme="minorHAnsi" w:hAnsiTheme="minorHAnsi" w:cstheme="minorHAnsi"/>
                <w:b/>
                <w:bCs/>
                <w:iCs/>
              </w:rPr>
              <w:t xml:space="preserve"> and these risk categories are provided as a guide</w:t>
            </w:r>
            <w:r w:rsidR="00ED3B9D" w:rsidRPr="006A77F2">
              <w:rPr>
                <w:rFonts w:asciiTheme="minorHAnsi" w:hAnsiTheme="minorHAnsi" w:cstheme="minorHAnsi"/>
                <w:b/>
                <w:bCs/>
                <w:iCs/>
              </w:rPr>
              <w:t>.</w:t>
            </w:r>
            <w:r w:rsidRPr="006A77F2">
              <w:rPr>
                <w:rFonts w:asciiTheme="minorHAnsi" w:hAnsiTheme="minorHAnsi" w:cstheme="minorHAnsi"/>
                <w:b/>
                <w:bCs/>
                <w:iCs/>
              </w:rPr>
              <w:t xml:space="preserve"> </w:t>
            </w:r>
            <w:r w:rsidR="0005422B" w:rsidRPr="006A77F2">
              <w:rPr>
                <w:rFonts w:asciiTheme="minorHAnsi" w:hAnsiTheme="minorHAnsi" w:cstheme="minorHAnsi"/>
                <w:b/>
                <w:bCs/>
                <w:iCs/>
              </w:rPr>
              <w:t>This list</w:t>
            </w:r>
            <w:r w:rsidRPr="006A77F2">
              <w:rPr>
                <w:rFonts w:asciiTheme="minorHAnsi" w:hAnsiTheme="minorHAnsi" w:cstheme="minorHAnsi"/>
                <w:b/>
                <w:bCs/>
                <w:iCs/>
              </w:rPr>
              <w:t xml:space="preserve"> should not act as a substitute for </w:t>
            </w:r>
            <w:r w:rsidR="00F7587F" w:rsidRPr="006A77F2">
              <w:rPr>
                <w:rFonts w:asciiTheme="minorHAnsi" w:hAnsiTheme="minorHAnsi" w:cstheme="minorHAnsi"/>
                <w:b/>
                <w:bCs/>
                <w:iCs/>
              </w:rPr>
              <w:t xml:space="preserve">a </w:t>
            </w:r>
            <w:r w:rsidR="008D36D2" w:rsidRPr="006A77F2">
              <w:rPr>
                <w:rFonts w:asciiTheme="minorHAnsi" w:hAnsiTheme="minorHAnsi" w:cstheme="minorHAnsi"/>
                <w:b/>
                <w:bCs/>
                <w:iCs/>
              </w:rPr>
              <w:t>pharmacist</w:t>
            </w:r>
            <w:r w:rsidR="006F56F6" w:rsidRPr="006A77F2">
              <w:rPr>
                <w:rFonts w:asciiTheme="minorHAnsi" w:hAnsiTheme="minorHAnsi" w:cstheme="minorHAnsi"/>
                <w:b/>
                <w:bCs/>
                <w:iCs/>
              </w:rPr>
              <w:t>’s</w:t>
            </w:r>
            <w:r w:rsidR="008D36D2" w:rsidRPr="006A77F2">
              <w:rPr>
                <w:rFonts w:asciiTheme="minorHAnsi" w:hAnsiTheme="minorHAnsi" w:cstheme="minorHAnsi"/>
                <w:b/>
                <w:bCs/>
                <w:iCs/>
              </w:rPr>
              <w:t xml:space="preserve"> or pharmacy technician</w:t>
            </w:r>
            <w:r w:rsidR="006F56F6" w:rsidRPr="006A77F2">
              <w:rPr>
                <w:rFonts w:asciiTheme="minorHAnsi" w:hAnsiTheme="minorHAnsi" w:cstheme="minorHAnsi"/>
                <w:b/>
                <w:bCs/>
                <w:iCs/>
              </w:rPr>
              <w:t>’s</w:t>
            </w:r>
            <w:r w:rsidR="008D36D2" w:rsidRPr="006A77F2">
              <w:rPr>
                <w:rFonts w:asciiTheme="minorHAnsi" w:hAnsiTheme="minorHAnsi" w:cstheme="minorHAnsi"/>
                <w:b/>
                <w:bCs/>
                <w:iCs/>
              </w:rPr>
              <w:t xml:space="preserve"> </w:t>
            </w:r>
            <w:r w:rsidRPr="006A77F2">
              <w:rPr>
                <w:rFonts w:asciiTheme="minorHAnsi" w:hAnsiTheme="minorHAnsi" w:cstheme="minorHAnsi"/>
                <w:b/>
                <w:bCs/>
                <w:iCs/>
              </w:rPr>
              <w:t xml:space="preserve">own clinical judgement. </w:t>
            </w:r>
          </w:p>
          <w:p w14:paraId="5B120FE0" w14:textId="3665DBAD" w:rsidR="00ED0357" w:rsidRPr="006A77F2" w:rsidRDefault="00ED0357" w:rsidP="00F06DC8">
            <w:pPr>
              <w:widowControl w:val="0"/>
              <w:overflowPunct w:val="0"/>
              <w:autoSpaceDE w:val="0"/>
              <w:autoSpaceDN w:val="0"/>
              <w:adjustRightInd w:val="0"/>
              <w:spacing w:line="240" w:lineRule="auto"/>
              <w:textAlignment w:val="baseline"/>
              <w:rPr>
                <w:rFonts w:asciiTheme="minorHAnsi" w:eastAsia="Calibri" w:hAnsiTheme="minorHAnsi" w:cstheme="minorHAnsi"/>
                <w:iCs/>
              </w:rPr>
            </w:pPr>
            <w:r w:rsidRPr="006A77F2">
              <w:rPr>
                <w:rFonts w:asciiTheme="minorHAnsi" w:eastAsia="Calibri" w:hAnsiTheme="minorHAnsi" w:cstheme="minorHAnsi"/>
                <w:b/>
                <w:bCs/>
                <w:iCs/>
              </w:rPr>
              <w:t>HIGH RISK:</w:t>
            </w:r>
          </w:p>
          <w:p w14:paraId="5EF7F883" w14:textId="77777777" w:rsidR="00ED0357" w:rsidRPr="006A77F2" w:rsidRDefault="00ED0357" w:rsidP="00F06DC8">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 xml:space="preserve">Olanzapine </w:t>
            </w:r>
            <w:r w:rsidRPr="006A77F2">
              <w:rPr>
                <w:rFonts w:asciiTheme="minorHAnsi" w:eastAsia="Calibri" w:hAnsiTheme="minorHAnsi" w:cstheme="minorHAnsi"/>
                <w:iCs/>
              </w:rPr>
              <w:t>-</w:t>
            </w:r>
            <w:r w:rsidRPr="006A77F2">
              <w:rPr>
                <w:rFonts w:asciiTheme="minorHAnsi" w:eastAsia="Calibri" w:hAnsiTheme="minorHAnsi" w:cstheme="minorHAnsi"/>
                <w:b/>
                <w:bCs/>
                <w:iCs/>
              </w:rPr>
              <w:t xml:space="preserve"> </w:t>
            </w:r>
            <w:r w:rsidRPr="006A77F2">
              <w:rPr>
                <w:rFonts w:asciiTheme="minorHAnsi" w:eastAsia="Calibri" w:hAnsiTheme="minorHAnsi" w:cstheme="minorHAnsi"/>
                <w:iCs/>
              </w:rPr>
              <w:t xml:space="preserve">see </w:t>
            </w:r>
            <w:hyperlink w:anchor="appendixc" w:history="1">
              <w:r w:rsidRPr="006A77F2">
                <w:rPr>
                  <w:rStyle w:val="Hyperlink"/>
                  <w:rFonts w:eastAsia="Calibri" w:cstheme="minorHAnsi"/>
                  <w:iCs/>
                </w:rPr>
                <w:t>Appendix C</w:t>
              </w:r>
            </w:hyperlink>
          </w:p>
          <w:p w14:paraId="6A05A842"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Insulin</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7614D0AD"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Theophylline or aminophylline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179681D9"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Warfarin</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04002532"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 xml:space="preserve">Erlotinib </w:t>
            </w:r>
            <w:r w:rsidRPr="006A77F2">
              <w:rPr>
                <w:rFonts w:asciiTheme="minorHAnsi" w:eastAsia="Calibri" w:hAnsiTheme="minorHAnsi" w:cstheme="minorHAnsi"/>
                <w:iCs/>
              </w:rPr>
              <w:t xml:space="preserve">- see </w:t>
            </w:r>
            <w:hyperlink w:anchor="appendixc" w:history="1">
              <w:r w:rsidRPr="006A77F2">
                <w:rPr>
                  <w:rStyle w:val="Hyperlink"/>
                  <w:rFonts w:eastAsia="Calibri" w:cstheme="minorHAnsi"/>
                  <w:iCs/>
                </w:rPr>
                <w:t>Appendix C</w:t>
              </w:r>
            </w:hyperlink>
          </w:p>
          <w:p w14:paraId="4CE14BB9" w14:textId="00534AD9" w:rsidR="00ED0357" w:rsidRPr="00497DD2" w:rsidRDefault="00ED0357" w:rsidP="00410880">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proofErr w:type="spellStart"/>
            <w:r w:rsidRPr="006A77F2">
              <w:rPr>
                <w:rFonts w:asciiTheme="minorHAnsi" w:hAnsiTheme="minorHAnsi" w:cstheme="minorHAnsi"/>
                <w:b/>
                <w:bCs/>
                <w:iCs/>
              </w:rPr>
              <w:t>Riociguat</w:t>
            </w:r>
            <w:proofErr w:type="spellEnd"/>
            <w:r w:rsidRPr="006A77F2">
              <w:rPr>
                <w:rFonts w:asciiTheme="minorHAnsi" w:hAnsiTheme="minorHAnsi" w:cstheme="minorHAnsi"/>
                <w:iCs/>
              </w:rPr>
              <w:t xml:space="preserve"> - </w:t>
            </w:r>
            <w:r w:rsidRPr="006A77F2">
              <w:rPr>
                <w:rFonts w:asciiTheme="minorHAnsi" w:eastAsia="Calibri" w:hAnsiTheme="minorHAnsi" w:cstheme="minorHAnsi"/>
                <w:iCs/>
              </w:rPr>
              <w:t xml:space="preserve">see </w:t>
            </w:r>
            <w:hyperlink w:anchor="appendixc" w:history="1">
              <w:r w:rsidRPr="006A77F2">
                <w:rPr>
                  <w:rStyle w:val="Hyperlink"/>
                  <w:rFonts w:eastAsia="Calibri" w:cstheme="minorHAnsi"/>
                  <w:iCs/>
                </w:rPr>
                <w:t>Appendix C</w:t>
              </w:r>
            </w:hyperlink>
          </w:p>
          <w:p w14:paraId="330F5355" w14:textId="77777777" w:rsidR="00457581" w:rsidRPr="006A77F2" w:rsidRDefault="00457581" w:rsidP="004F0579">
            <w:pPr>
              <w:widowControl w:val="0"/>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p>
          <w:p w14:paraId="7A22C920" w14:textId="77777777" w:rsidR="00ED0357" w:rsidRPr="006A77F2" w:rsidRDefault="00ED0357" w:rsidP="00ED0357">
            <w:pPr>
              <w:widowControl w:val="0"/>
              <w:overflowPunct w:val="0"/>
              <w:autoSpaceDE w:val="0"/>
              <w:autoSpaceDN w:val="0"/>
              <w:adjustRightInd w:val="0"/>
              <w:textAlignment w:val="baseline"/>
              <w:rPr>
                <w:rFonts w:asciiTheme="minorHAnsi" w:eastAsia="Calibri" w:hAnsiTheme="minorHAnsi" w:cstheme="minorHAnsi"/>
                <w:b/>
                <w:bCs/>
                <w:iCs/>
              </w:rPr>
            </w:pPr>
            <w:r w:rsidRPr="006A77F2">
              <w:rPr>
                <w:rFonts w:asciiTheme="minorHAnsi" w:eastAsia="Calibri" w:hAnsiTheme="minorHAnsi" w:cstheme="minorHAnsi"/>
                <w:b/>
                <w:bCs/>
                <w:iCs/>
              </w:rPr>
              <w:t xml:space="preserve">MODERATE RISK: </w:t>
            </w:r>
          </w:p>
          <w:p w14:paraId="238AD76C"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Chlorpromazine</w:t>
            </w:r>
            <w:r w:rsidRPr="006A77F2">
              <w:rPr>
                <w:rFonts w:asciiTheme="minorHAnsi" w:eastAsia="Calibri" w:hAnsiTheme="minorHAnsi" w:cstheme="minorHAnsi"/>
                <w:iCs/>
              </w:rPr>
              <w:t xml:space="preserve"> -</w:t>
            </w:r>
            <w:r w:rsidRPr="006A77F2">
              <w:rPr>
                <w:rFonts w:asciiTheme="minorHAnsi" w:hAnsiTheme="minorHAnsi" w:cstheme="minorHAnsi"/>
                <w:iCs/>
              </w:rPr>
              <w:t xml:space="preserve"> </w:t>
            </w:r>
            <w:r w:rsidRPr="006A77F2">
              <w:rPr>
                <w:rFonts w:asciiTheme="minorHAnsi" w:eastAsia="Calibri" w:hAnsiTheme="minorHAnsi" w:cstheme="minorHAnsi"/>
                <w:iCs/>
              </w:rPr>
              <w:t xml:space="preserve">see </w:t>
            </w:r>
            <w:hyperlink w:anchor="appendixc" w:history="1">
              <w:r w:rsidRPr="006A77F2">
                <w:rPr>
                  <w:rStyle w:val="Hyperlink"/>
                  <w:rFonts w:eastAsia="Calibri" w:cstheme="minorHAnsi"/>
                  <w:iCs/>
                </w:rPr>
                <w:t>Appendix C</w:t>
              </w:r>
            </w:hyperlink>
            <w:r w:rsidRPr="006A77F2">
              <w:rPr>
                <w:rFonts w:asciiTheme="minorHAnsi" w:eastAsia="Calibri" w:hAnsiTheme="minorHAnsi" w:cstheme="minorHAnsi"/>
                <w:iCs/>
              </w:rPr>
              <w:t xml:space="preserve"> </w:t>
            </w:r>
          </w:p>
          <w:p w14:paraId="20771B62"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Flecainide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14624D94"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Fluvoxamine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r w:rsidRPr="006A77F2">
              <w:rPr>
                <w:rFonts w:asciiTheme="minorHAnsi" w:eastAsia="Calibri" w:hAnsiTheme="minorHAnsi" w:cstheme="minorHAnsi"/>
                <w:iCs/>
              </w:rPr>
              <w:t xml:space="preserve"> </w:t>
            </w:r>
          </w:p>
          <w:p w14:paraId="1A46EB7A"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lastRenderedPageBreak/>
              <w:t>Haloperidol</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2DC47074"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Melatonin</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641AD067"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Methadone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73B9FD72"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Mexiletine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413CEC2F" w14:textId="77777777" w:rsidR="00ED0357" w:rsidRPr="006A77F2" w:rsidRDefault="00ED0357" w:rsidP="00ED0357">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proofErr w:type="spellStart"/>
            <w:r w:rsidRPr="006A77F2">
              <w:rPr>
                <w:rFonts w:asciiTheme="minorHAnsi" w:eastAsia="Calibri" w:hAnsiTheme="minorHAnsi" w:cstheme="minorHAnsi"/>
                <w:b/>
                <w:bCs/>
                <w:iCs/>
              </w:rPr>
              <w:t>Riluzole</w:t>
            </w:r>
            <w:proofErr w:type="spellEnd"/>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68FCE2DF" w14:textId="623C4104" w:rsidR="00ED0357" w:rsidRPr="006A77F2" w:rsidRDefault="00ED0357" w:rsidP="00410880">
            <w:pPr>
              <w:widowControl w:val="0"/>
              <w:numPr>
                <w:ilvl w:val="0"/>
                <w:numId w:val="20"/>
              </w:numPr>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Ropinirole</w:t>
            </w:r>
            <w:r w:rsidRPr="006A77F2">
              <w:rPr>
                <w:rFonts w:asciiTheme="minorHAnsi" w:eastAsia="Calibri" w:hAnsiTheme="minorHAnsi" w:cstheme="minorHAnsi"/>
                <w:iCs/>
              </w:rPr>
              <w:t xml:space="preserve"> - see </w:t>
            </w:r>
            <w:hyperlink w:anchor="appendixc" w:history="1">
              <w:r w:rsidRPr="006A77F2">
                <w:rPr>
                  <w:rStyle w:val="Hyperlink"/>
                  <w:rFonts w:eastAsia="Calibri" w:cstheme="minorHAnsi"/>
                  <w:iCs/>
                </w:rPr>
                <w:t>Appendix C</w:t>
              </w:r>
            </w:hyperlink>
          </w:p>
          <w:p w14:paraId="01658EA1" w14:textId="77777777" w:rsidR="00410880" w:rsidRPr="006A77F2" w:rsidRDefault="00410880" w:rsidP="00410880">
            <w:pPr>
              <w:widowControl w:val="0"/>
              <w:overflowPunct w:val="0"/>
              <w:autoSpaceDE w:val="0"/>
              <w:autoSpaceDN w:val="0"/>
              <w:adjustRightInd w:val="0"/>
              <w:spacing w:after="0" w:line="240" w:lineRule="auto"/>
              <w:ind w:left="360"/>
              <w:textAlignment w:val="baseline"/>
              <w:textboxTightWrap w:val="none"/>
              <w:rPr>
                <w:rFonts w:asciiTheme="minorHAnsi" w:eastAsia="Calibri" w:hAnsiTheme="minorHAnsi" w:cstheme="minorHAnsi"/>
                <w:iCs/>
              </w:rPr>
            </w:pPr>
          </w:p>
          <w:p w14:paraId="48986478" w14:textId="77777777" w:rsidR="00ED0357" w:rsidRPr="006A77F2" w:rsidRDefault="00ED0357" w:rsidP="0029797A">
            <w:pPr>
              <w:widowControl w:val="0"/>
              <w:spacing w:line="240" w:lineRule="auto"/>
              <w:rPr>
                <w:rFonts w:asciiTheme="minorHAnsi" w:eastAsia="Calibri" w:hAnsiTheme="minorHAnsi" w:cstheme="minorHAnsi"/>
                <w:b/>
                <w:bCs/>
                <w:iCs/>
                <w:u w:val="single"/>
              </w:rPr>
            </w:pPr>
            <w:r w:rsidRPr="006A77F2">
              <w:rPr>
                <w:rFonts w:asciiTheme="minorHAnsi" w:eastAsia="Calibri" w:hAnsiTheme="minorHAnsi" w:cstheme="minorHAnsi"/>
                <w:b/>
                <w:bCs/>
                <w:iCs/>
                <w:u w:val="single"/>
              </w:rPr>
              <w:t>Other cautions</w:t>
            </w:r>
          </w:p>
          <w:p w14:paraId="1953392C" w14:textId="59B3A625" w:rsidR="00ED0357" w:rsidRPr="006A77F2" w:rsidRDefault="00ED0357" w:rsidP="0029797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Cutaneous reactions:</w:t>
            </w:r>
            <w:r w:rsidRPr="006A77F2">
              <w:rPr>
                <w:rFonts w:asciiTheme="minorHAnsi" w:eastAsia="Calibri" w:hAnsiTheme="minorHAnsi" w:cstheme="minorHAnsi"/>
                <w:iCs/>
              </w:rPr>
              <w:t xml:space="preserve"> Individuals reporting hypersensitivity reactions (including angioedema) and/or severe skin reactions (e.g. Stevens</w:t>
            </w:r>
            <w:r w:rsidR="00F84F08" w:rsidRPr="006A77F2">
              <w:rPr>
                <w:rFonts w:asciiTheme="minorHAnsi" w:eastAsia="Calibri" w:hAnsiTheme="minorHAnsi" w:cstheme="minorHAnsi"/>
                <w:iCs/>
              </w:rPr>
              <w:t>-</w:t>
            </w:r>
            <w:r w:rsidRPr="006A77F2">
              <w:rPr>
                <w:rFonts w:asciiTheme="minorHAnsi" w:eastAsia="Calibri" w:hAnsiTheme="minorHAnsi" w:cstheme="minorHAnsi"/>
                <w:iCs/>
              </w:rPr>
              <w:t xml:space="preserve">Johnson syndrome) should discontinue treatment </w:t>
            </w:r>
            <w:r w:rsidR="00FF720E" w:rsidRPr="006A77F2">
              <w:rPr>
                <w:rFonts w:asciiTheme="minorHAnsi" w:eastAsia="Calibri" w:hAnsiTheme="minorHAnsi" w:cstheme="minorHAnsi"/>
                <w:iCs/>
              </w:rPr>
              <w:t xml:space="preserve">as these skin reactions can be life threatening, individuals </w:t>
            </w:r>
            <w:r w:rsidR="009039D1" w:rsidRPr="006A77F2">
              <w:rPr>
                <w:rFonts w:asciiTheme="minorHAnsi" w:eastAsia="Calibri" w:hAnsiTheme="minorHAnsi" w:cstheme="minorHAnsi"/>
                <w:iCs/>
              </w:rPr>
              <w:t>should</w:t>
            </w:r>
            <w:r w:rsidR="00FF720E" w:rsidRPr="006A77F2">
              <w:rPr>
                <w:rFonts w:asciiTheme="minorHAnsi" w:eastAsia="Calibri" w:hAnsiTheme="minorHAnsi" w:cstheme="minorHAnsi"/>
                <w:iCs/>
              </w:rPr>
              <w:t xml:space="preserve"> </w:t>
            </w:r>
            <w:r w:rsidRPr="006A77F2">
              <w:rPr>
                <w:rFonts w:asciiTheme="minorHAnsi" w:eastAsia="Calibri" w:hAnsiTheme="minorHAnsi" w:cstheme="minorHAnsi"/>
                <w:iCs/>
              </w:rPr>
              <w:t xml:space="preserve">contact a healthcare provider immediately. </w:t>
            </w:r>
          </w:p>
          <w:p w14:paraId="28C4FDD7" w14:textId="37095706" w:rsidR="00ED0357" w:rsidRPr="006A77F2" w:rsidRDefault="00ED0357" w:rsidP="0029797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Effects on ability to drive:</w:t>
            </w:r>
            <w:r w:rsidRPr="006A77F2">
              <w:rPr>
                <w:rFonts w:asciiTheme="minorHAnsi" w:eastAsia="Calibri" w:hAnsiTheme="minorHAnsi" w:cstheme="minorHAnsi"/>
                <w:iCs/>
              </w:rPr>
              <w:t xml:space="preserve"> Varenicline may cause dizziness, somnolence and transient loss of consciousness and</w:t>
            </w:r>
            <w:r w:rsidR="00D912C0" w:rsidRPr="006A77F2">
              <w:rPr>
                <w:rFonts w:asciiTheme="minorHAnsi" w:eastAsia="Calibri" w:hAnsiTheme="minorHAnsi" w:cstheme="minorHAnsi"/>
                <w:iCs/>
              </w:rPr>
              <w:t xml:space="preserve"> may</w:t>
            </w:r>
            <w:r w:rsidRPr="006A77F2">
              <w:rPr>
                <w:rFonts w:asciiTheme="minorHAnsi" w:eastAsia="Calibri" w:hAnsiTheme="minorHAnsi" w:cstheme="minorHAnsi"/>
                <w:iCs/>
              </w:rPr>
              <w:t xml:space="preserve"> therefore influence the ability to </w:t>
            </w:r>
            <w:r w:rsidR="006A77F2" w:rsidRPr="006A77F2">
              <w:rPr>
                <w:rFonts w:asciiTheme="minorHAnsi" w:eastAsia="Calibri" w:hAnsiTheme="minorHAnsi" w:cstheme="minorHAnsi"/>
                <w:iCs/>
              </w:rPr>
              <w:t>drive or</w:t>
            </w:r>
            <w:r w:rsidR="00754962" w:rsidRPr="006A77F2">
              <w:rPr>
                <w:rFonts w:asciiTheme="minorHAnsi" w:eastAsia="Calibri" w:hAnsiTheme="minorHAnsi" w:cstheme="minorHAnsi"/>
                <w:iCs/>
              </w:rPr>
              <w:t xml:space="preserve"> operate </w:t>
            </w:r>
            <w:r w:rsidRPr="006A77F2">
              <w:rPr>
                <w:rFonts w:asciiTheme="minorHAnsi" w:eastAsia="Calibri" w:hAnsiTheme="minorHAnsi" w:cstheme="minorHAnsi"/>
                <w:iCs/>
              </w:rPr>
              <w:t>machine</w:t>
            </w:r>
            <w:r w:rsidR="00754962" w:rsidRPr="006A77F2">
              <w:rPr>
                <w:rFonts w:asciiTheme="minorHAnsi" w:eastAsia="Calibri" w:hAnsiTheme="minorHAnsi" w:cstheme="minorHAnsi"/>
                <w:iCs/>
              </w:rPr>
              <w:t>ry</w:t>
            </w:r>
            <w:r w:rsidRPr="006A77F2">
              <w:rPr>
                <w:rFonts w:asciiTheme="minorHAnsi" w:eastAsia="Calibri" w:hAnsiTheme="minorHAnsi" w:cstheme="minorHAnsi"/>
                <w:iCs/>
              </w:rPr>
              <w:t xml:space="preserve">. Individuals should be advised not to engage in potentially hazardous activities until it is known whether varenicline </w:t>
            </w:r>
            <w:r w:rsidR="00465213" w:rsidRPr="006A77F2">
              <w:rPr>
                <w:rFonts w:asciiTheme="minorHAnsi" w:eastAsia="Calibri" w:hAnsiTheme="minorHAnsi" w:cstheme="minorHAnsi"/>
                <w:iCs/>
              </w:rPr>
              <w:t>impair</w:t>
            </w:r>
            <w:r w:rsidRPr="006A77F2">
              <w:rPr>
                <w:rFonts w:asciiTheme="minorHAnsi" w:eastAsia="Calibri" w:hAnsiTheme="minorHAnsi" w:cstheme="minorHAnsi"/>
                <w:iCs/>
              </w:rPr>
              <w:t xml:space="preserve">s their ability to </w:t>
            </w:r>
            <w:r w:rsidR="002B2F6E" w:rsidRPr="006A77F2">
              <w:rPr>
                <w:rFonts w:asciiTheme="minorHAnsi" w:eastAsia="Calibri" w:hAnsiTheme="minorHAnsi" w:cstheme="minorHAnsi"/>
                <w:iCs/>
              </w:rPr>
              <w:t>do so.</w:t>
            </w:r>
          </w:p>
          <w:p w14:paraId="284AE511" w14:textId="0D44FC3C" w:rsidR="00ED0357" w:rsidRPr="006A77F2" w:rsidRDefault="00ED0357" w:rsidP="0029797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asciiTheme="minorHAnsi" w:eastAsia="Calibri" w:hAnsiTheme="minorHAnsi" w:cstheme="minorHAnsi"/>
                <w:iCs/>
              </w:rPr>
            </w:pPr>
            <w:r w:rsidRPr="006A77F2">
              <w:rPr>
                <w:rFonts w:asciiTheme="minorHAnsi" w:eastAsia="Calibri" w:hAnsiTheme="minorHAnsi" w:cstheme="minorHAnsi"/>
                <w:b/>
                <w:bCs/>
                <w:iCs/>
              </w:rPr>
              <w:t>Alcohol</w:t>
            </w:r>
            <w:r w:rsidRPr="006A77F2">
              <w:rPr>
                <w:rFonts w:asciiTheme="minorHAnsi" w:eastAsia="Calibri" w:hAnsiTheme="minorHAnsi" w:cstheme="minorHAnsi"/>
                <w:iCs/>
              </w:rPr>
              <w:t xml:space="preserve">: </w:t>
            </w:r>
            <w:r w:rsidR="0001164D" w:rsidRPr="006A77F2">
              <w:rPr>
                <w:rFonts w:asciiTheme="minorHAnsi" w:eastAsia="Calibri" w:hAnsiTheme="minorHAnsi" w:cstheme="minorHAnsi"/>
                <w:iCs/>
              </w:rPr>
              <w:t>Varenicline</w:t>
            </w:r>
            <w:r w:rsidR="009B76B9" w:rsidRPr="006A77F2">
              <w:rPr>
                <w:rFonts w:asciiTheme="minorHAnsi" w:eastAsia="Calibri" w:hAnsiTheme="minorHAnsi" w:cstheme="minorHAnsi"/>
                <w:iCs/>
              </w:rPr>
              <w:t xml:space="preserve"> </w:t>
            </w:r>
            <w:r w:rsidR="008C09E0" w:rsidRPr="006A77F2">
              <w:rPr>
                <w:rFonts w:asciiTheme="minorHAnsi" w:eastAsia="Calibri" w:hAnsiTheme="minorHAnsi" w:cstheme="minorHAnsi"/>
                <w:iCs/>
              </w:rPr>
              <w:t xml:space="preserve">has </w:t>
            </w:r>
            <w:r w:rsidR="009A2CF5" w:rsidRPr="006A77F2">
              <w:rPr>
                <w:rFonts w:asciiTheme="minorHAnsi" w:eastAsia="Calibri" w:hAnsiTheme="minorHAnsi" w:cstheme="minorHAnsi"/>
                <w:iCs/>
              </w:rPr>
              <w:t>been reported to</w:t>
            </w:r>
            <w:r w:rsidR="009B76B9" w:rsidRPr="006A77F2">
              <w:rPr>
                <w:rFonts w:asciiTheme="minorHAnsi" w:eastAsia="Calibri" w:hAnsiTheme="minorHAnsi" w:cstheme="minorHAnsi"/>
                <w:iCs/>
              </w:rPr>
              <w:t xml:space="preserve"> enhance</w:t>
            </w:r>
            <w:r w:rsidR="0001164D" w:rsidRPr="006A77F2">
              <w:rPr>
                <w:rFonts w:asciiTheme="minorHAnsi" w:eastAsia="Calibri" w:hAnsiTheme="minorHAnsi" w:cstheme="minorHAnsi"/>
                <w:iCs/>
              </w:rPr>
              <w:t xml:space="preserve"> </w:t>
            </w:r>
            <w:r w:rsidR="009B76B9" w:rsidRPr="006A77F2">
              <w:rPr>
                <w:rFonts w:asciiTheme="minorHAnsi" w:eastAsia="Calibri" w:hAnsiTheme="minorHAnsi" w:cstheme="minorHAnsi"/>
                <w:iCs/>
              </w:rPr>
              <w:t xml:space="preserve">the </w:t>
            </w:r>
            <w:r w:rsidRPr="006A77F2">
              <w:rPr>
                <w:rFonts w:asciiTheme="minorHAnsi" w:eastAsia="Calibri" w:hAnsiTheme="minorHAnsi" w:cstheme="minorHAnsi"/>
                <w:iCs/>
              </w:rPr>
              <w:t>intoxicating effects of alcohol</w:t>
            </w:r>
            <w:r w:rsidR="009B76B9" w:rsidRPr="006A77F2">
              <w:rPr>
                <w:rFonts w:asciiTheme="minorHAnsi" w:eastAsia="Calibri" w:hAnsiTheme="minorHAnsi" w:cstheme="minorHAnsi"/>
                <w:iCs/>
              </w:rPr>
              <w:t>.</w:t>
            </w:r>
            <w:r w:rsidRPr="006A77F2">
              <w:rPr>
                <w:rFonts w:asciiTheme="minorHAnsi" w:eastAsia="Calibri" w:hAnsiTheme="minorHAnsi" w:cstheme="minorHAnsi"/>
                <w:iCs/>
              </w:rPr>
              <w:t xml:space="preserve"> Individuals should be advised </w:t>
            </w:r>
            <w:r w:rsidR="009A2CF5" w:rsidRPr="006A77F2">
              <w:rPr>
                <w:rFonts w:asciiTheme="minorHAnsi" w:eastAsia="Calibri" w:hAnsiTheme="minorHAnsi" w:cstheme="minorHAnsi"/>
                <w:iCs/>
              </w:rPr>
              <w:t>accordingly and cautioned</w:t>
            </w:r>
            <w:r w:rsidR="00E044E3" w:rsidRPr="006A77F2">
              <w:rPr>
                <w:rFonts w:asciiTheme="minorHAnsi" w:eastAsia="Calibri" w:hAnsiTheme="minorHAnsi" w:cstheme="minorHAnsi"/>
                <w:iCs/>
              </w:rPr>
              <w:t xml:space="preserve"> against</w:t>
            </w:r>
            <w:r w:rsidR="00FF5313" w:rsidRPr="006A77F2">
              <w:rPr>
                <w:rFonts w:asciiTheme="minorHAnsi" w:eastAsia="Calibri" w:hAnsiTheme="minorHAnsi" w:cstheme="minorHAnsi"/>
                <w:iCs/>
              </w:rPr>
              <w:t xml:space="preserve"> th</w:t>
            </w:r>
            <w:r w:rsidR="0096276A" w:rsidRPr="006A77F2">
              <w:rPr>
                <w:rFonts w:asciiTheme="minorHAnsi" w:eastAsia="Calibri" w:hAnsiTheme="minorHAnsi" w:cstheme="minorHAnsi"/>
                <w:iCs/>
              </w:rPr>
              <w:t>e</w:t>
            </w:r>
            <w:r w:rsidRPr="006A77F2">
              <w:rPr>
                <w:rFonts w:asciiTheme="minorHAnsi" w:eastAsia="Calibri" w:hAnsiTheme="minorHAnsi" w:cstheme="minorHAnsi"/>
                <w:iCs/>
              </w:rPr>
              <w:t xml:space="preserve"> possible increased intoxicating effects of alcohol when taking varenicline.</w:t>
            </w:r>
          </w:p>
          <w:p w14:paraId="1F27F674" w14:textId="39535316" w:rsidR="00ED0357" w:rsidRPr="006A77F2" w:rsidRDefault="00ED0357" w:rsidP="0029797A">
            <w:pPr>
              <w:numPr>
                <w:ilvl w:val="0"/>
                <w:numId w:val="6"/>
              </w:numPr>
              <w:overflowPunct w:val="0"/>
              <w:autoSpaceDE w:val="0"/>
              <w:autoSpaceDN w:val="0"/>
              <w:adjustRightInd w:val="0"/>
              <w:spacing w:after="160" w:line="240" w:lineRule="auto"/>
              <w:contextualSpacing/>
              <w:textAlignment w:val="baseline"/>
              <w:textboxTightWrap w:val="none"/>
              <w:rPr>
                <w:rFonts w:asciiTheme="minorHAnsi" w:hAnsiTheme="minorHAnsi" w:cstheme="minorHAnsi"/>
              </w:rPr>
            </w:pPr>
            <w:r w:rsidRPr="006A77F2">
              <w:rPr>
                <w:rFonts w:asciiTheme="minorHAnsi" w:eastAsia="Calibri" w:hAnsiTheme="minorHAnsi" w:cstheme="minorHAnsi"/>
                <w:b/>
                <w:bCs/>
                <w:iCs/>
              </w:rPr>
              <w:t>Side effects on treatment cessation:</w:t>
            </w:r>
            <w:r w:rsidRPr="006A77F2">
              <w:rPr>
                <w:rFonts w:asciiTheme="minorHAnsi" w:eastAsia="Calibri" w:hAnsiTheme="minorHAnsi" w:cstheme="minorHAnsi"/>
                <w:iCs/>
              </w:rPr>
              <w:t xml:space="preserve"> Up to 3% of individuals report side effects </w:t>
            </w:r>
            <w:r w:rsidR="0088149A" w:rsidRPr="006A77F2">
              <w:rPr>
                <w:rFonts w:asciiTheme="minorHAnsi" w:eastAsia="Calibri" w:hAnsiTheme="minorHAnsi" w:cstheme="minorHAnsi"/>
                <w:iCs/>
              </w:rPr>
              <w:t>such as</w:t>
            </w:r>
            <w:r w:rsidRPr="006A77F2">
              <w:rPr>
                <w:rFonts w:asciiTheme="minorHAnsi" w:eastAsia="Calibri" w:hAnsiTheme="minorHAnsi" w:cstheme="minorHAnsi"/>
                <w:iCs/>
              </w:rPr>
              <w:t xml:space="preserve"> increase</w:t>
            </w:r>
            <w:r w:rsidR="0088149A" w:rsidRPr="006A77F2">
              <w:rPr>
                <w:rFonts w:asciiTheme="minorHAnsi" w:eastAsia="Calibri" w:hAnsiTheme="minorHAnsi" w:cstheme="minorHAnsi"/>
                <w:iCs/>
              </w:rPr>
              <w:t>d</w:t>
            </w:r>
            <w:r w:rsidRPr="006A77F2">
              <w:rPr>
                <w:rFonts w:asciiTheme="minorHAnsi" w:eastAsia="Calibri" w:hAnsiTheme="minorHAnsi" w:cstheme="minorHAnsi"/>
                <w:iCs/>
              </w:rPr>
              <w:t xml:space="preserve"> irritability, </w:t>
            </w:r>
            <w:r w:rsidR="00097BCD" w:rsidRPr="006A77F2">
              <w:rPr>
                <w:rFonts w:asciiTheme="minorHAnsi" w:eastAsia="Calibri" w:hAnsiTheme="minorHAnsi" w:cstheme="minorHAnsi"/>
                <w:iCs/>
              </w:rPr>
              <w:t xml:space="preserve">renewed </w:t>
            </w:r>
            <w:r w:rsidRPr="006A77F2">
              <w:rPr>
                <w:rFonts w:asciiTheme="minorHAnsi" w:eastAsia="Calibri" w:hAnsiTheme="minorHAnsi" w:cstheme="minorHAnsi"/>
                <w:iCs/>
              </w:rPr>
              <w:t>urge to smoke, depression or insomnia</w:t>
            </w:r>
            <w:r w:rsidR="003B50DC" w:rsidRPr="006A77F2">
              <w:rPr>
                <w:rFonts w:asciiTheme="minorHAnsi" w:eastAsia="Calibri" w:hAnsiTheme="minorHAnsi" w:cstheme="minorHAnsi"/>
                <w:iCs/>
              </w:rPr>
              <w:t xml:space="preserve"> following the</w:t>
            </w:r>
            <w:r w:rsidRPr="006A77F2">
              <w:rPr>
                <w:rFonts w:asciiTheme="minorHAnsi" w:eastAsia="Calibri" w:hAnsiTheme="minorHAnsi" w:cstheme="minorHAnsi"/>
                <w:iCs/>
              </w:rPr>
              <w:t xml:space="preserve"> cessation of varenicline treatment. </w:t>
            </w:r>
            <w:r w:rsidR="00CC3312" w:rsidRPr="006A77F2">
              <w:rPr>
                <w:rFonts w:asciiTheme="minorHAnsi" w:eastAsia="Calibri" w:hAnsiTheme="minorHAnsi" w:cstheme="minorHAnsi"/>
                <w:iCs/>
              </w:rPr>
              <w:t>If an individual with high risk of relaps</w:t>
            </w:r>
            <w:r w:rsidR="00037188" w:rsidRPr="006A77F2">
              <w:rPr>
                <w:rFonts w:asciiTheme="minorHAnsi" w:eastAsia="Calibri" w:hAnsiTheme="minorHAnsi" w:cstheme="minorHAnsi"/>
                <w:iCs/>
              </w:rPr>
              <w:t xml:space="preserve">e is experiencing </w:t>
            </w:r>
            <w:r w:rsidRPr="006A77F2">
              <w:rPr>
                <w:rFonts w:asciiTheme="minorHAnsi" w:eastAsia="Calibri" w:hAnsiTheme="minorHAnsi" w:cstheme="minorHAnsi"/>
                <w:iCs/>
              </w:rPr>
              <w:t xml:space="preserve">side effects (e.g. irritability because of treatment cessation) refer to their GP Practice or other appropriate specialist </w:t>
            </w:r>
            <w:r w:rsidR="00665B7D" w:rsidRPr="006A77F2">
              <w:rPr>
                <w:rFonts w:asciiTheme="minorHAnsi" w:eastAsia="Calibri" w:hAnsiTheme="minorHAnsi" w:cstheme="minorHAnsi"/>
                <w:iCs/>
              </w:rPr>
              <w:t xml:space="preserve">provider </w:t>
            </w:r>
            <w:r w:rsidRPr="006A77F2">
              <w:rPr>
                <w:rFonts w:asciiTheme="minorHAnsi" w:eastAsia="Calibri" w:hAnsiTheme="minorHAnsi" w:cstheme="minorHAnsi"/>
                <w:iCs/>
              </w:rPr>
              <w:t>for consideration of further/tapering doses.</w:t>
            </w:r>
          </w:p>
        </w:tc>
      </w:tr>
      <w:tr w:rsidR="00B22208" w:rsidRPr="006A77F2" w14:paraId="743F3845" w14:textId="77777777" w:rsidTr="00DE0B31">
        <w:trPr>
          <w:trHeight w:val="841"/>
        </w:trPr>
        <w:tc>
          <w:tcPr>
            <w:tcW w:w="3403" w:type="dxa"/>
            <w:shd w:val="clear" w:color="auto" w:fill="BFBFBF" w:themeFill="text1" w:themeFillShade="BF"/>
          </w:tcPr>
          <w:p w14:paraId="0F485272" w14:textId="2C90FA98" w:rsidR="00B22208" w:rsidRPr="006A77F2" w:rsidRDefault="00102B05" w:rsidP="006D19F4">
            <w:pPr>
              <w:overflowPunct w:val="0"/>
              <w:autoSpaceDE w:val="0"/>
              <w:autoSpaceDN w:val="0"/>
              <w:adjustRightInd w:val="0"/>
              <w:spacing w:before="60" w:after="60"/>
              <w:textAlignment w:val="baseline"/>
              <w:rPr>
                <w:rFonts w:cs="Arial"/>
                <w:b/>
              </w:rPr>
            </w:pPr>
            <w:r w:rsidRPr="006A77F2">
              <w:rPr>
                <w:rFonts w:cs="Arial"/>
                <w:b/>
              </w:rPr>
              <w:lastRenderedPageBreak/>
              <w:t>Action to be taken if the individual is excluded</w:t>
            </w:r>
          </w:p>
        </w:tc>
        <w:tc>
          <w:tcPr>
            <w:tcW w:w="6945" w:type="dxa"/>
          </w:tcPr>
          <w:p w14:paraId="7E6EBD22" w14:textId="60994CC5" w:rsidR="00D81A63" w:rsidRPr="006A77F2" w:rsidRDefault="00D81A63" w:rsidP="00363CBD">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Document</w:t>
            </w:r>
            <w:r w:rsidR="00F2235F" w:rsidRPr="006A77F2">
              <w:rPr>
                <w:rFonts w:cs="Arial"/>
              </w:rPr>
              <w:t xml:space="preserve"> reasons for exclusion in the appropriate clinical record and any advice given to the individual along with the action taken (e.g. referred to GP Practice)</w:t>
            </w:r>
            <w:r w:rsidR="00C243F9" w:rsidRPr="006A77F2" w:rsidDel="00363CBD">
              <w:rPr>
                <w:rFonts w:cs="Arial"/>
              </w:rPr>
              <w:t xml:space="preserve"> </w:t>
            </w:r>
          </w:p>
          <w:p w14:paraId="10B771A8" w14:textId="01DB5603" w:rsidR="00363CBD" w:rsidRPr="006A77F2" w:rsidRDefault="00475579" w:rsidP="00363CBD">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Style w:val="normaltextrun"/>
                <w:rFonts w:cs="Arial"/>
              </w:rPr>
              <w:t>Consider if alternative tobacco dependence interventions are appropriate</w:t>
            </w:r>
            <w:r w:rsidR="00D031EC" w:rsidRPr="006A77F2">
              <w:rPr>
                <w:rStyle w:val="normaltextrun"/>
                <w:rFonts w:cs="Arial"/>
              </w:rPr>
              <w:t>.</w:t>
            </w:r>
            <w:r w:rsidRPr="006A77F2">
              <w:rPr>
                <w:rStyle w:val="normaltextrun"/>
                <w:rFonts w:cs="Arial"/>
              </w:rPr>
              <w:t xml:space="preserve"> </w:t>
            </w:r>
            <w:r w:rsidR="00363CBD" w:rsidRPr="006A77F2">
              <w:rPr>
                <w:rFonts w:cs="Arial"/>
              </w:rPr>
              <w:t xml:space="preserve">Signpost </w:t>
            </w:r>
            <w:r w:rsidR="00BC7D6D" w:rsidRPr="006A77F2">
              <w:rPr>
                <w:rFonts w:cs="Arial"/>
              </w:rPr>
              <w:t xml:space="preserve">the </w:t>
            </w:r>
            <w:r w:rsidR="00363CBD" w:rsidRPr="006A77F2">
              <w:rPr>
                <w:rFonts w:cs="Arial"/>
              </w:rPr>
              <w:t>individual to a locally commissioned service</w:t>
            </w:r>
            <w:r w:rsidR="00D81A63" w:rsidRPr="006A77F2">
              <w:rPr>
                <w:rFonts w:cs="Arial"/>
              </w:rPr>
              <w:t xml:space="preserve"> if appropriate</w:t>
            </w:r>
            <w:r w:rsidR="00363CBD" w:rsidRPr="006A77F2">
              <w:rPr>
                <w:rFonts w:cs="Arial"/>
              </w:rPr>
              <w:t xml:space="preserve"> </w:t>
            </w:r>
          </w:p>
          <w:p w14:paraId="648F9B21" w14:textId="688FFF30" w:rsidR="00B22208" w:rsidRPr="006A77F2" w:rsidRDefault="00B22208" w:rsidP="00565383">
            <w:pPr>
              <w:overflowPunct w:val="0"/>
              <w:autoSpaceDE w:val="0"/>
              <w:autoSpaceDN w:val="0"/>
              <w:adjustRightInd w:val="0"/>
              <w:spacing w:after="160" w:line="240" w:lineRule="auto"/>
              <w:contextualSpacing/>
              <w:textAlignment w:val="baseline"/>
              <w:textboxTightWrap w:val="none"/>
              <w:rPr>
                <w:rFonts w:cs="Arial"/>
              </w:rPr>
            </w:pPr>
          </w:p>
        </w:tc>
      </w:tr>
      <w:tr w:rsidR="00DE0B31" w:rsidRPr="006A77F2" w14:paraId="5320A95D" w14:textId="77777777" w:rsidTr="00DE0B31">
        <w:trPr>
          <w:trHeight w:val="841"/>
        </w:trPr>
        <w:tc>
          <w:tcPr>
            <w:tcW w:w="3403" w:type="dxa"/>
            <w:shd w:val="clear" w:color="auto" w:fill="BFBFBF" w:themeFill="text1" w:themeFillShade="BF"/>
          </w:tcPr>
          <w:p w14:paraId="715B95F5" w14:textId="741A28F2" w:rsidR="00DE0B31" w:rsidRPr="006A77F2" w:rsidRDefault="00DE0B31" w:rsidP="006D19F4">
            <w:pPr>
              <w:overflowPunct w:val="0"/>
              <w:autoSpaceDE w:val="0"/>
              <w:autoSpaceDN w:val="0"/>
              <w:adjustRightInd w:val="0"/>
              <w:spacing w:before="60" w:after="60"/>
              <w:textAlignment w:val="baseline"/>
              <w:rPr>
                <w:rFonts w:cs="Arial"/>
              </w:rPr>
            </w:pPr>
            <w:r w:rsidRPr="006A77F2">
              <w:rPr>
                <w:rFonts w:cs="Arial"/>
                <w:b/>
              </w:rPr>
              <w:t xml:space="preserve">Action to be taken if the individual declines treatment </w:t>
            </w:r>
          </w:p>
        </w:tc>
        <w:tc>
          <w:tcPr>
            <w:tcW w:w="6945" w:type="dxa"/>
          </w:tcPr>
          <w:p w14:paraId="52E6BA72" w14:textId="726407C6" w:rsidR="006922E1" w:rsidRPr="006A77F2" w:rsidRDefault="00457A97" w:rsidP="0029797A">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 xml:space="preserve">Document the reason for why the individual declined treatment in the clinical record and </w:t>
            </w:r>
            <w:r w:rsidR="006922E1" w:rsidRPr="006A77F2">
              <w:rPr>
                <w:rFonts w:cs="Arial"/>
              </w:rPr>
              <w:t>any advice given</w:t>
            </w:r>
            <w:r w:rsidR="001B1CCD" w:rsidRPr="006A77F2">
              <w:rPr>
                <w:rFonts w:cs="Arial"/>
              </w:rPr>
              <w:t>,</w:t>
            </w:r>
            <w:r w:rsidR="006922E1" w:rsidRPr="006A77F2">
              <w:rPr>
                <w:rFonts w:cs="Arial"/>
              </w:rPr>
              <w:t xml:space="preserve"> along with the action taken (e.g. referred to </w:t>
            </w:r>
            <w:r w:rsidR="00B36537" w:rsidRPr="006A77F2">
              <w:rPr>
                <w:rFonts w:cs="Arial"/>
              </w:rPr>
              <w:t>locally commissioned tobacco dependence service</w:t>
            </w:r>
            <w:r w:rsidR="006922E1" w:rsidRPr="006A77F2">
              <w:rPr>
                <w:rFonts w:cs="Arial"/>
              </w:rPr>
              <w:t>)</w:t>
            </w:r>
          </w:p>
          <w:p w14:paraId="37B919D4" w14:textId="17E36B24" w:rsidR="00DE0B31" w:rsidRPr="006A77F2" w:rsidRDefault="002B4F4F" w:rsidP="00C243F9">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Recommend alternative tobacco dependence interventions if appropriate</w:t>
            </w:r>
            <w:r w:rsidR="007F32C5" w:rsidRPr="006A77F2">
              <w:rPr>
                <w:rFonts w:cs="Arial"/>
              </w:rPr>
              <w:t xml:space="preserve">. </w:t>
            </w:r>
            <w:r w:rsidR="00475579" w:rsidRPr="006A77F2">
              <w:rPr>
                <w:rFonts w:cs="Arial"/>
              </w:rPr>
              <w:t xml:space="preserve">If not appropriate, </w:t>
            </w:r>
            <w:r w:rsidR="00C865EE" w:rsidRPr="006A77F2">
              <w:rPr>
                <w:rFonts w:cs="Arial"/>
              </w:rPr>
              <w:t>si</w:t>
            </w:r>
            <w:r w:rsidR="006922E1" w:rsidRPr="006A77F2">
              <w:rPr>
                <w:rFonts w:cs="Arial"/>
              </w:rPr>
              <w:t xml:space="preserve">gnpost individual </w:t>
            </w:r>
            <w:r w:rsidR="00063FDA" w:rsidRPr="006A77F2">
              <w:rPr>
                <w:rFonts w:cs="Arial"/>
              </w:rPr>
              <w:t>to</w:t>
            </w:r>
            <w:r w:rsidR="00900EDB" w:rsidRPr="006A77F2">
              <w:rPr>
                <w:rFonts w:cs="Arial"/>
              </w:rPr>
              <w:t xml:space="preserve"> the </w:t>
            </w:r>
            <w:r w:rsidR="00063FDA" w:rsidRPr="006A77F2">
              <w:rPr>
                <w:rFonts w:cs="Arial"/>
              </w:rPr>
              <w:lastRenderedPageBreak/>
              <w:t>locally commissioned tobacco dependence service</w:t>
            </w:r>
            <w:r w:rsidR="006922E1" w:rsidRPr="006A77F2">
              <w:rPr>
                <w:rFonts w:cs="Arial"/>
              </w:rPr>
              <w:t xml:space="preserve"> </w:t>
            </w:r>
            <w:r w:rsidR="00115028" w:rsidRPr="006A77F2">
              <w:rPr>
                <w:rFonts w:cs="Arial"/>
              </w:rPr>
              <w:t>should they wish to seek support in the future  </w:t>
            </w:r>
          </w:p>
        </w:tc>
      </w:tr>
      <w:tr w:rsidR="00FF6C4B" w:rsidRPr="006A77F2" w14:paraId="56FA91B0" w14:textId="77777777" w:rsidTr="0029797A">
        <w:trPr>
          <w:trHeight w:val="70"/>
        </w:trPr>
        <w:tc>
          <w:tcPr>
            <w:tcW w:w="3403" w:type="dxa"/>
            <w:shd w:val="clear" w:color="auto" w:fill="BFBFBF" w:themeFill="text1" w:themeFillShade="BF"/>
          </w:tcPr>
          <w:p w14:paraId="21079FAA" w14:textId="2251189A" w:rsidR="00FF6C4B" w:rsidRPr="006A77F2" w:rsidRDefault="007F20B4" w:rsidP="006D19F4">
            <w:pPr>
              <w:overflowPunct w:val="0"/>
              <w:autoSpaceDE w:val="0"/>
              <w:autoSpaceDN w:val="0"/>
              <w:adjustRightInd w:val="0"/>
              <w:spacing w:before="60" w:after="60"/>
              <w:textAlignment w:val="baseline"/>
              <w:rPr>
                <w:rFonts w:cs="Arial"/>
                <w:b/>
              </w:rPr>
            </w:pPr>
            <w:r w:rsidRPr="006A77F2">
              <w:rPr>
                <w:rFonts w:cs="Arial"/>
                <w:b/>
              </w:rPr>
              <w:lastRenderedPageBreak/>
              <w:t>Arrangements for referral for medical advice</w:t>
            </w:r>
          </w:p>
        </w:tc>
        <w:tc>
          <w:tcPr>
            <w:tcW w:w="6945" w:type="dxa"/>
          </w:tcPr>
          <w:p w14:paraId="1BDBE5C1" w14:textId="2CC3A849" w:rsidR="00FF6C4B" w:rsidRPr="006A77F2" w:rsidRDefault="007C600A" w:rsidP="0029797A">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Fonts w:cs="Arial"/>
                <w:iCs/>
              </w:rPr>
              <w:t xml:space="preserve">Refer to the GP Practice, </w:t>
            </w:r>
            <w:r w:rsidR="002559A2" w:rsidRPr="006A77F2">
              <w:rPr>
                <w:rFonts w:cs="Arial"/>
                <w:iCs/>
              </w:rPr>
              <w:t xml:space="preserve">an </w:t>
            </w:r>
            <w:r w:rsidRPr="006A77F2">
              <w:rPr>
                <w:rFonts w:cs="Arial"/>
                <w:iCs/>
              </w:rPr>
              <w:t xml:space="preserve">appropriate specialist or mental health service </w:t>
            </w:r>
          </w:p>
          <w:p w14:paraId="3C850AC2" w14:textId="736DC07F" w:rsidR="00324896" w:rsidRPr="006A77F2" w:rsidRDefault="00324896" w:rsidP="004F0579">
            <w:pPr>
              <w:overflowPunct w:val="0"/>
              <w:autoSpaceDE w:val="0"/>
              <w:autoSpaceDN w:val="0"/>
              <w:adjustRightInd w:val="0"/>
              <w:spacing w:after="160" w:line="240" w:lineRule="auto"/>
              <w:ind w:left="360"/>
              <w:contextualSpacing/>
              <w:textAlignment w:val="baseline"/>
              <w:textboxTightWrap w:val="none"/>
              <w:rPr>
                <w:rFonts w:cs="Arial"/>
              </w:rPr>
            </w:pPr>
          </w:p>
        </w:tc>
      </w:tr>
    </w:tbl>
    <w:p w14:paraId="2BDA7AD7" w14:textId="77777777" w:rsidR="00C03D72" w:rsidRPr="006A77F2" w:rsidRDefault="00C03D72" w:rsidP="00C03D72"/>
    <w:p w14:paraId="12C781D4" w14:textId="77777777" w:rsidR="0029797A" w:rsidRPr="006A77F2" w:rsidRDefault="0029797A">
      <w:pPr>
        <w:spacing w:after="0" w:line="240" w:lineRule="auto"/>
        <w:textboxTightWrap w:val="none"/>
        <w:rPr>
          <w:rFonts w:ascii="Arial Bold" w:hAnsi="Arial Bold" w:cs="Arial"/>
          <w:b/>
          <w:color w:val="005EB8"/>
          <w:kern w:val="28"/>
          <w:sz w:val="36"/>
          <w14:ligatures w14:val="standardContextual"/>
        </w:rPr>
      </w:pPr>
      <w:r w:rsidRPr="006A77F2">
        <w:br w:type="page"/>
      </w:r>
    </w:p>
    <w:p w14:paraId="6B930B98" w14:textId="7051F240" w:rsidR="000B3541" w:rsidRPr="006A77F2" w:rsidRDefault="000B3541" w:rsidP="000B3541">
      <w:pPr>
        <w:pStyle w:val="h2numbered"/>
      </w:pPr>
      <w:r w:rsidRPr="006A77F2">
        <w:lastRenderedPageBreak/>
        <w:t>Description of treatment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945"/>
      </w:tblGrid>
      <w:tr w:rsidR="0080528C" w:rsidRPr="006A77F2" w14:paraId="0600D4E3" w14:textId="77777777" w:rsidTr="0080528C">
        <w:tc>
          <w:tcPr>
            <w:tcW w:w="3403" w:type="dxa"/>
            <w:shd w:val="clear" w:color="auto" w:fill="BFBFBF" w:themeFill="text1" w:themeFillShade="BF"/>
          </w:tcPr>
          <w:p w14:paraId="4C5F4296" w14:textId="77777777" w:rsidR="0080528C" w:rsidRPr="006A77F2" w:rsidRDefault="0080528C" w:rsidP="006D19F4">
            <w:pPr>
              <w:overflowPunct w:val="0"/>
              <w:autoSpaceDE w:val="0"/>
              <w:autoSpaceDN w:val="0"/>
              <w:adjustRightInd w:val="0"/>
              <w:spacing w:before="60" w:after="60"/>
              <w:textAlignment w:val="baseline"/>
              <w:rPr>
                <w:rFonts w:cs="Arial"/>
                <w:b/>
              </w:rPr>
            </w:pPr>
            <w:r w:rsidRPr="006A77F2">
              <w:rPr>
                <w:rFonts w:cs="Arial"/>
                <w:b/>
              </w:rPr>
              <w:t>Name, strength &amp; formulation of drug</w:t>
            </w:r>
          </w:p>
        </w:tc>
        <w:tc>
          <w:tcPr>
            <w:tcW w:w="6945" w:type="dxa"/>
            <w:tcBorders>
              <w:top w:val="single" w:sz="4" w:space="0" w:color="auto"/>
              <w:left w:val="single" w:sz="4" w:space="0" w:color="auto"/>
              <w:bottom w:val="single" w:sz="4" w:space="0" w:color="auto"/>
              <w:right w:val="single" w:sz="4" w:space="0" w:color="auto"/>
            </w:tcBorders>
          </w:tcPr>
          <w:p w14:paraId="529A56CD" w14:textId="6A2B5611" w:rsidR="0080528C" w:rsidRPr="006A77F2" w:rsidRDefault="004435C7" w:rsidP="0029797A">
            <w:pPr>
              <w:overflowPunct w:val="0"/>
              <w:autoSpaceDE w:val="0"/>
              <w:autoSpaceDN w:val="0"/>
              <w:adjustRightInd w:val="0"/>
              <w:spacing w:line="240" w:lineRule="auto"/>
              <w:textAlignment w:val="baseline"/>
              <w:rPr>
                <w:rFonts w:cs="Arial"/>
                <w:iCs/>
              </w:rPr>
            </w:pPr>
            <w:r w:rsidRPr="006A77F2">
              <w:rPr>
                <w:rFonts w:cs="Arial"/>
                <w:iCs/>
              </w:rPr>
              <w:t>Varenicline 0.5mg and 1mg tablets</w:t>
            </w:r>
          </w:p>
        </w:tc>
      </w:tr>
      <w:tr w:rsidR="0080528C" w:rsidRPr="006A77F2" w14:paraId="520EE988" w14:textId="77777777" w:rsidTr="0080528C">
        <w:tc>
          <w:tcPr>
            <w:tcW w:w="3403" w:type="dxa"/>
            <w:shd w:val="clear" w:color="auto" w:fill="BFBFBF" w:themeFill="text1" w:themeFillShade="BF"/>
          </w:tcPr>
          <w:p w14:paraId="68F3B6D8" w14:textId="77777777" w:rsidR="0080528C" w:rsidRPr="006A77F2" w:rsidRDefault="0080528C" w:rsidP="006D19F4">
            <w:pPr>
              <w:overflowPunct w:val="0"/>
              <w:autoSpaceDE w:val="0"/>
              <w:autoSpaceDN w:val="0"/>
              <w:adjustRightInd w:val="0"/>
              <w:spacing w:before="60" w:after="60"/>
              <w:textAlignment w:val="baseline"/>
              <w:rPr>
                <w:rFonts w:cs="Arial"/>
                <w:b/>
              </w:rPr>
            </w:pPr>
            <w:r w:rsidRPr="006A77F2">
              <w:rPr>
                <w:rFonts w:cs="Arial"/>
                <w:b/>
              </w:rPr>
              <w:t>Legal category</w:t>
            </w:r>
          </w:p>
        </w:tc>
        <w:tc>
          <w:tcPr>
            <w:tcW w:w="6945" w:type="dxa"/>
          </w:tcPr>
          <w:p w14:paraId="68BA6704" w14:textId="2840FBBC" w:rsidR="0080528C" w:rsidRPr="006A77F2" w:rsidRDefault="00E23CC4" w:rsidP="0029797A">
            <w:pPr>
              <w:overflowPunct w:val="0"/>
              <w:autoSpaceDE w:val="0"/>
              <w:autoSpaceDN w:val="0"/>
              <w:adjustRightInd w:val="0"/>
              <w:spacing w:line="240" w:lineRule="auto"/>
              <w:textAlignment w:val="baseline"/>
              <w:rPr>
                <w:rFonts w:cs="Arial"/>
              </w:rPr>
            </w:pPr>
            <w:r w:rsidRPr="006A77F2">
              <w:rPr>
                <w:rFonts w:cs="Arial"/>
                <w:iCs/>
              </w:rPr>
              <w:t>POM</w:t>
            </w:r>
          </w:p>
        </w:tc>
      </w:tr>
      <w:tr w:rsidR="0080528C" w:rsidRPr="006A77F2" w14:paraId="38AA297B" w14:textId="77777777" w:rsidTr="0080528C">
        <w:tc>
          <w:tcPr>
            <w:tcW w:w="3403" w:type="dxa"/>
            <w:shd w:val="clear" w:color="auto" w:fill="BFBFBF" w:themeFill="text1" w:themeFillShade="BF"/>
          </w:tcPr>
          <w:p w14:paraId="2121E185" w14:textId="77777777" w:rsidR="0080528C" w:rsidRPr="006A77F2" w:rsidRDefault="0080528C" w:rsidP="006D19F4">
            <w:pPr>
              <w:overflowPunct w:val="0"/>
              <w:autoSpaceDE w:val="0"/>
              <w:autoSpaceDN w:val="0"/>
              <w:adjustRightInd w:val="0"/>
              <w:spacing w:before="60" w:after="60"/>
              <w:textAlignment w:val="baseline"/>
              <w:rPr>
                <w:rFonts w:cs="Arial"/>
                <w:b/>
              </w:rPr>
            </w:pPr>
            <w:r w:rsidRPr="006A77F2">
              <w:rPr>
                <w:rFonts w:cs="Arial"/>
                <w:b/>
              </w:rPr>
              <w:t>Route of administration</w:t>
            </w:r>
          </w:p>
        </w:tc>
        <w:tc>
          <w:tcPr>
            <w:tcW w:w="6945" w:type="dxa"/>
          </w:tcPr>
          <w:p w14:paraId="2BD5805D" w14:textId="1FCD547A" w:rsidR="0080528C" w:rsidRPr="006A77F2" w:rsidRDefault="00DE123C" w:rsidP="0029797A">
            <w:pPr>
              <w:overflowPunct w:val="0"/>
              <w:autoSpaceDE w:val="0"/>
              <w:autoSpaceDN w:val="0"/>
              <w:adjustRightInd w:val="0"/>
              <w:spacing w:line="240" w:lineRule="auto"/>
              <w:textAlignment w:val="baseline"/>
              <w:rPr>
                <w:rFonts w:cs="Arial"/>
                <w:spacing w:val="-2"/>
              </w:rPr>
            </w:pPr>
            <w:r w:rsidRPr="006A77F2">
              <w:rPr>
                <w:rFonts w:cs="Arial"/>
                <w:iCs/>
                <w:spacing w:val="-2"/>
              </w:rPr>
              <w:t>Orally, swallowed whole with water</w:t>
            </w:r>
          </w:p>
        </w:tc>
      </w:tr>
      <w:tr w:rsidR="0080528C" w:rsidRPr="006A77F2" w14:paraId="335BCF85" w14:textId="77777777" w:rsidTr="0080528C">
        <w:tc>
          <w:tcPr>
            <w:tcW w:w="3403" w:type="dxa"/>
            <w:shd w:val="clear" w:color="auto" w:fill="BFBFBF" w:themeFill="text1" w:themeFillShade="BF"/>
          </w:tcPr>
          <w:p w14:paraId="3C4DE4E2" w14:textId="77777777" w:rsidR="00C84421" w:rsidRPr="006A77F2" w:rsidRDefault="00C84421" w:rsidP="00C84421">
            <w:pPr>
              <w:tabs>
                <w:tab w:val="center" w:pos="4153"/>
                <w:tab w:val="right" w:pos="8306"/>
              </w:tabs>
              <w:overflowPunct w:val="0"/>
              <w:autoSpaceDE w:val="0"/>
              <w:autoSpaceDN w:val="0"/>
              <w:adjustRightInd w:val="0"/>
              <w:spacing w:before="60" w:after="60"/>
              <w:contextualSpacing/>
              <w:textAlignment w:val="baseline"/>
              <w:rPr>
                <w:rFonts w:cs="Arial"/>
                <w:b/>
              </w:rPr>
            </w:pPr>
            <w:r w:rsidRPr="006A77F2">
              <w:rPr>
                <w:rFonts w:cs="Arial"/>
                <w:b/>
              </w:rPr>
              <w:t>Indicate any off-label use</w:t>
            </w:r>
          </w:p>
          <w:p w14:paraId="73062846" w14:textId="13527C0F" w:rsidR="0080528C" w:rsidRPr="006A77F2" w:rsidRDefault="00C84421" w:rsidP="00C84421">
            <w:pPr>
              <w:overflowPunct w:val="0"/>
              <w:autoSpaceDE w:val="0"/>
              <w:autoSpaceDN w:val="0"/>
              <w:adjustRightInd w:val="0"/>
              <w:spacing w:before="60" w:after="60"/>
              <w:contextualSpacing/>
              <w:textAlignment w:val="baseline"/>
              <w:rPr>
                <w:rFonts w:cs="Arial"/>
                <w:b/>
              </w:rPr>
            </w:pPr>
            <w:r w:rsidRPr="006A77F2">
              <w:rPr>
                <w:rFonts w:cs="Arial"/>
                <w:b/>
              </w:rPr>
              <w:t>(if relevant)</w:t>
            </w:r>
          </w:p>
        </w:tc>
        <w:tc>
          <w:tcPr>
            <w:tcW w:w="6945" w:type="dxa"/>
          </w:tcPr>
          <w:p w14:paraId="34F63245" w14:textId="77777777" w:rsidR="0078374B" w:rsidRPr="006A77F2" w:rsidRDefault="0078374B" w:rsidP="0029797A">
            <w:pPr>
              <w:pStyle w:val="TableParagraph"/>
              <w:rPr>
                <w:rFonts w:ascii="Arial" w:hAnsi="Arial" w:cs="Arial"/>
                <w:b/>
                <w:iCs/>
                <w:sz w:val="24"/>
                <w:szCs w:val="24"/>
                <w:lang w:val="en-GB"/>
              </w:rPr>
            </w:pPr>
            <w:r w:rsidRPr="006A77F2">
              <w:rPr>
                <w:rFonts w:ascii="Arial" w:hAnsi="Arial" w:cs="Arial"/>
                <w:b/>
                <w:iCs/>
                <w:sz w:val="24"/>
                <w:szCs w:val="24"/>
                <w:lang w:val="en-GB"/>
              </w:rPr>
              <w:t>Temperature variations</w:t>
            </w:r>
          </w:p>
          <w:p w14:paraId="63F35A87" w14:textId="77777777" w:rsidR="0078374B" w:rsidRPr="006A77F2" w:rsidRDefault="0078374B" w:rsidP="0029797A">
            <w:pPr>
              <w:pStyle w:val="TableParagraph"/>
              <w:rPr>
                <w:rFonts w:ascii="Arial" w:hAnsi="Arial" w:cs="Arial"/>
                <w:b/>
                <w:iCs/>
                <w:sz w:val="24"/>
                <w:szCs w:val="24"/>
                <w:lang w:val="en-GB"/>
              </w:rPr>
            </w:pPr>
          </w:p>
          <w:p w14:paraId="334751DE" w14:textId="40D37BB0" w:rsidR="00C15705" w:rsidRPr="006A77F2" w:rsidRDefault="0078374B" w:rsidP="00C15705">
            <w:pPr>
              <w:widowControl w:val="0"/>
              <w:spacing w:line="240" w:lineRule="auto"/>
              <w:rPr>
                <w:rFonts w:eastAsia="Calibri" w:cs="Arial"/>
                <w:iCs/>
              </w:rPr>
            </w:pPr>
            <w:r w:rsidRPr="006A77F2">
              <w:rPr>
                <w:rFonts w:eastAsia="Calibri" w:cs="Arial"/>
                <w:iCs/>
              </w:rPr>
              <w:t xml:space="preserve">Medicines should be stored according to the conditions detailed in the Storage section below. However, in the event of an inadvertent or unavoidable deviation </w:t>
            </w:r>
            <w:r w:rsidR="00CA758D" w:rsidRPr="006A77F2">
              <w:rPr>
                <w:rFonts w:eastAsia="Calibri" w:cs="Arial"/>
                <w:iCs/>
              </w:rPr>
              <w:t>from</w:t>
            </w:r>
            <w:r w:rsidRPr="006A77F2">
              <w:rPr>
                <w:rFonts w:eastAsia="Calibri" w:cs="Arial"/>
                <w:iCs/>
              </w:rPr>
              <w:t xml:space="preserve"> these conditions</w:t>
            </w:r>
            <w:r w:rsidR="00C15705" w:rsidRPr="006A77F2">
              <w:rPr>
                <w:rFonts w:eastAsia="Calibri" w:cs="Arial"/>
                <w:iCs/>
              </w:rPr>
              <w:t>,</w:t>
            </w:r>
            <w:r w:rsidRPr="006A77F2">
              <w:rPr>
                <w:rFonts w:eastAsia="Calibri" w:cs="Arial"/>
                <w:iCs/>
              </w:rPr>
              <w:t xml:space="preserve"> </w:t>
            </w:r>
            <w:r w:rsidR="00C15705" w:rsidRPr="006A77F2">
              <w:rPr>
                <w:rFonts w:eastAsia="Calibri" w:cs="Arial"/>
                <w:iCs/>
              </w:rPr>
              <w:t>the Responsible Pharmacist must be consulted. Where medicines have been assessed by a Responsible Pharmacist in accordance with national or specific product recommendations as appropriate for continued use, this would constitute off-label administration under this PGD. The responsibility for the decision to release the affected drugs for use lies with the Responsible Pharmacist.</w:t>
            </w:r>
          </w:p>
          <w:p w14:paraId="0EA0369D" w14:textId="4026A2DE" w:rsidR="0080528C" w:rsidRPr="006A77F2" w:rsidRDefault="00C15705" w:rsidP="0029797A">
            <w:pPr>
              <w:overflowPunct w:val="0"/>
              <w:autoSpaceDE w:val="0"/>
              <w:autoSpaceDN w:val="0"/>
              <w:adjustRightInd w:val="0"/>
              <w:spacing w:line="240" w:lineRule="auto"/>
              <w:textAlignment w:val="baseline"/>
              <w:rPr>
                <w:rFonts w:eastAsia="Calibri" w:cs="Arial"/>
              </w:rPr>
            </w:pPr>
            <w:r w:rsidRPr="006A77F2">
              <w:rPr>
                <w:rFonts w:eastAsia="Calibri" w:cs="Arial"/>
                <w:iCs/>
              </w:rPr>
              <w:t>Where a drug is recommended for off-label use, the pharmacist or pharmacy technician should consider, as part of the consent process, informing the individual that the drug is being offered in accordance with national guidance but that this is outside the product licence</w:t>
            </w:r>
            <w:r w:rsidR="00835EE0" w:rsidRPr="006A77F2">
              <w:rPr>
                <w:rFonts w:eastAsia="Calibri" w:cs="Arial"/>
                <w:iCs/>
              </w:rPr>
              <w:t>.</w:t>
            </w:r>
          </w:p>
        </w:tc>
      </w:tr>
      <w:tr w:rsidR="00AD2642" w:rsidRPr="006A77F2" w14:paraId="398EBD3E" w14:textId="77777777" w:rsidTr="0080528C">
        <w:tc>
          <w:tcPr>
            <w:tcW w:w="3403" w:type="dxa"/>
            <w:shd w:val="clear" w:color="auto" w:fill="BFBFBF" w:themeFill="text1" w:themeFillShade="BF"/>
          </w:tcPr>
          <w:p w14:paraId="6434FAC7" w14:textId="77777777" w:rsidR="00AD2642" w:rsidRPr="006A77F2" w:rsidRDefault="00AD2642" w:rsidP="00AD2642">
            <w:pPr>
              <w:overflowPunct w:val="0"/>
              <w:autoSpaceDE w:val="0"/>
              <w:autoSpaceDN w:val="0"/>
              <w:adjustRightInd w:val="0"/>
              <w:spacing w:before="60" w:after="60"/>
              <w:contextualSpacing/>
              <w:textAlignment w:val="baseline"/>
              <w:rPr>
                <w:rFonts w:cs="Arial"/>
                <w:b/>
              </w:rPr>
            </w:pPr>
            <w:r w:rsidRPr="006A77F2">
              <w:rPr>
                <w:rFonts w:cs="Arial"/>
                <w:b/>
              </w:rPr>
              <w:t>Dose and frequency of administration</w:t>
            </w:r>
          </w:p>
        </w:tc>
        <w:tc>
          <w:tcPr>
            <w:tcW w:w="6945" w:type="dxa"/>
          </w:tcPr>
          <w:p w14:paraId="2DA9EC03" w14:textId="63F480BC" w:rsidR="00AD2642" w:rsidRPr="006A77F2" w:rsidRDefault="00AD2642" w:rsidP="0029797A">
            <w:pPr>
              <w:keepNext/>
              <w:spacing w:line="240" w:lineRule="auto"/>
              <w:rPr>
                <w:rFonts w:cs="Arial"/>
              </w:rPr>
            </w:pPr>
            <w:r w:rsidRPr="006A77F2">
              <w:rPr>
                <w:rFonts w:eastAsia="Calibri" w:cs="Arial"/>
                <w:iCs/>
              </w:rPr>
              <w:t>Individuals should set a quit date for 7 to 14 days after initiation of varenicline treatment.</w:t>
            </w:r>
          </w:p>
          <w:p w14:paraId="471C24DA" w14:textId="1CC93790" w:rsidR="00AD2642" w:rsidRPr="006A77F2" w:rsidRDefault="00AD2642" w:rsidP="0029797A">
            <w:pPr>
              <w:keepNext/>
              <w:spacing w:line="240" w:lineRule="auto"/>
              <w:rPr>
                <w:rFonts w:cs="Arial"/>
                <w:b/>
                <w:u w:val="single"/>
              </w:rPr>
            </w:pPr>
            <w:r w:rsidRPr="006A77F2">
              <w:rPr>
                <w:rFonts w:cs="Arial"/>
                <w:b/>
                <w:u w:val="single"/>
              </w:rPr>
              <w:t>1) Standard regimen</w:t>
            </w:r>
          </w:p>
          <w:p w14:paraId="1DBE9F7B" w14:textId="4B596D6D" w:rsidR="00AD2642" w:rsidRPr="006A77F2" w:rsidRDefault="00AD2642" w:rsidP="004F0579">
            <w:pPr>
              <w:keepNext/>
              <w:tabs>
                <w:tab w:val="left" w:pos="5944"/>
              </w:tabs>
              <w:spacing w:line="240" w:lineRule="auto"/>
              <w:rPr>
                <w:rFonts w:cs="Arial"/>
                <w:b/>
              </w:rPr>
            </w:pPr>
            <w:r w:rsidRPr="006A77F2">
              <w:rPr>
                <w:rFonts w:cs="Arial"/>
                <w:b/>
              </w:rPr>
              <w:t>Days 1 to 3</w:t>
            </w:r>
            <w:r w:rsidRPr="006A77F2">
              <w:rPr>
                <w:rFonts w:cs="Arial"/>
              </w:rPr>
              <w:t>: 0.5mg once daily</w:t>
            </w:r>
            <w:r w:rsidR="00A043DA" w:rsidRPr="006A77F2">
              <w:rPr>
                <w:rFonts w:cs="Arial"/>
              </w:rPr>
              <w:tab/>
            </w:r>
          </w:p>
          <w:p w14:paraId="34F8F4D2" w14:textId="77777777" w:rsidR="00AD2642" w:rsidRPr="006A77F2" w:rsidRDefault="00AD2642" w:rsidP="0029797A">
            <w:pPr>
              <w:keepNext/>
              <w:spacing w:line="240" w:lineRule="auto"/>
              <w:rPr>
                <w:rFonts w:cs="Arial"/>
              </w:rPr>
            </w:pPr>
            <w:r w:rsidRPr="006A77F2">
              <w:rPr>
                <w:rFonts w:cs="Arial"/>
                <w:b/>
              </w:rPr>
              <w:t>Days 4 to 7</w:t>
            </w:r>
            <w:r w:rsidRPr="006A77F2">
              <w:rPr>
                <w:rFonts w:cs="Arial"/>
              </w:rPr>
              <w:t>: 0.5mg twice daily</w:t>
            </w:r>
          </w:p>
          <w:p w14:paraId="7C833236" w14:textId="786AC85A" w:rsidR="00AD2642" w:rsidRPr="006A77F2" w:rsidRDefault="00AD2642" w:rsidP="0029797A">
            <w:pPr>
              <w:keepNext/>
              <w:spacing w:line="240" w:lineRule="auto"/>
              <w:rPr>
                <w:rFonts w:cs="Arial"/>
              </w:rPr>
            </w:pPr>
            <w:r w:rsidRPr="006A77F2">
              <w:rPr>
                <w:rFonts w:cs="Arial"/>
                <w:b/>
              </w:rPr>
              <w:t>Days 8 onwards</w:t>
            </w:r>
            <w:r w:rsidRPr="006A77F2">
              <w:rPr>
                <w:rFonts w:cs="Arial"/>
              </w:rPr>
              <w:t xml:space="preserve"> </w:t>
            </w:r>
            <w:r w:rsidRPr="006A77F2">
              <w:rPr>
                <w:rFonts w:cs="Arial"/>
                <w:b/>
                <w:bCs/>
              </w:rPr>
              <w:t xml:space="preserve">(to complete </w:t>
            </w:r>
            <w:r w:rsidR="00030367" w:rsidRPr="006A77F2">
              <w:rPr>
                <w:rFonts w:cs="Arial"/>
                <w:b/>
                <w:bCs/>
              </w:rPr>
              <w:t>12-week</w:t>
            </w:r>
            <w:r w:rsidRPr="006A77F2">
              <w:rPr>
                <w:rFonts w:cs="Arial"/>
                <w:b/>
                <w:bCs/>
              </w:rPr>
              <w:t xml:space="preserve"> course)</w:t>
            </w:r>
            <w:r w:rsidRPr="006A77F2">
              <w:rPr>
                <w:rFonts w:cs="Arial"/>
              </w:rPr>
              <w:t>: 1mg twice daily</w:t>
            </w:r>
            <w:r w:rsidRPr="006A77F2">
              <w:rPr>
                <w:rFonts w:cs="Arial"/>
                <w:vertAlign w:val="superscript"/>
              </w:rPr>
              <w:t>†</w:t>
            </w:r>
            <w:r w:rsidRPr="006A77F2">
              <w:rPr>
                <w:rFonts w:cs="Arial"/>
              </w:rPr>
              <w:t xml:space="preserve"> until a total of 12 weeks’ treatment has been taken.</w:t>
            </w:r>
          </w:p>
          <w:p w14:paraId="502A37C7" w14:textId="77777777" w:rsidR="00AD2642" w:rsidRPr="006A77F2" w:rsidRDefault="00AD2642" w:rsidP="0029797A">
            <w:pPr>
              <w:overflowPunct w:val="0"/>
              <w:autoSpaceDE w:val="0"/>
              <w:autoSpaceDN w:val="0"/>
              <w:adjustRightInd w:val="0"/>
              <w:spacing w:line="240" w:lineRule="auto"/>
              <w:textAlignment w:val="baseline"/>
              <w:rPr>
                <w:rFonts w:cs="Arial"/>
                <w:i/>
                <w:iCs/>
              </w:rPr>
            </w:pPr>
            <w:r w:rsidRPr="006A77F2">
              <w:rPr>
                <w:rFonts w:cs="Arial"/>
                <w:vertAlign w:val="superscript"/>
              </w:rPr>
              <w:t xml:space="preserve">† </w:t>
            </w:r>
            <w:r w:rsidRPr="006A77F2">
              <w:rPr>
                <w:rFonts w:cs="Arial"/>
                <w:b/>
                <w:bCs/>
                <w:i/>
                <w:iCs/>
              </w:rPr>
              <w:t>Intolerance of higher dose (1mg twice daily) of varenicline:</w:t>
            </w:r>
            <w:r w:rsidRPr="006A77F2">
              <w:rPr>
                <w:rFonts w:cs="Arial"/>
                <w:i/>
                <w:iCs/>
              </w:rPr>
              <w:t xml:space="preserve"> for individuals who cannot tolerate the adverse effects (e.g. nausea) of the higher dose of varenicline, and where this is interfering with the attempt to quit, the dose may be reduced temporarily or permanently to </w:t>
            </w:r>
            <w:r w:rsidRPr="006A77F2">
              <w:rPr>
                <w:rFonts w:cs="Arial"/>
                <w:i/>
                <w:iCs/>
                <w:u w:val="single"/>
              </w:rPr>
              <w:t>0.5mg twice daily</w:t>
            </w:r>
            <w:r w:rsidRPr="006A77F2">
              <w:rPr>
                <w:rFonts w:cs="Arial"/>
                <w:i/>
                <w:iCs/>
              </w:rPr>
              <w:t xml:space="preserve">. </w:t>
            </w:r>
          </w:p>
          <w:p w14:paraId="766FB747" w14:textId="200BEA53" w:rsidR="00AD2642" w:rsidRPr="006A77F2" w:rsidRDefault="00AD2642" w:rsidP="0029797A">
            <w:pPr>
              <w:overflowPunct w:val="0"/>
              <w:autoSpaceDE w:val="0"/>
              <w:autoSpaceDN w:val="0"/>
              <w:adjustRightInd w:val="0"/>
              <w:spacing w:line="240" w:lineRule="auto"/>
              <w:textAlignment w:val="baseline"/>
              <w:rPr>
                <w:rFonts w:cs="Arial"/>
                <w:i/>
                <w:iCs/>
              </w:rPr>
            </w:pPr>
            <w:r w:rsidRPr="006A77F2">
              <w:rPr>
                <w:rFonts w:cs="Arial"/>
                <w:i/>
                <w:iCs/>
              </w:rPr>
              <w:lastRenderedPageBreak/>
              <w:t>This reduction should be agreed with the individual</w:t>
            </w:r>
            <w:r w:rsidR="00EC304D">
              <w:rPr>
                <w:rFonts w:cs="Arial"/>
                <w:i/>
                <w:iCs/>
              </w:rPr>
              <w:t xml:space="preserve"> and</w:t>
            </w:r>
            <w:r w:rsidRPr="006A77F2">
              <w:rPr>
                <w:rFonts w:cs="Arial"/>
                <w:i/>
                <w:iCs/>
              </w:rPr>
              <w:t xml:space="preserve"> </w:t>
            </w:r>
            <w:r w:rsidR="00EC304D">
              <w:rPr>
                <w:rFonts w:cs="Arial"/>
                <w:i/>
                <w:iCs/>
              </w:rPr>
              <w:t>d</w:t>
            </w:r>
            <w:r w:rsidRPr="006A77F2">
              <w:rPr>
                <w:rFonts w:cs="Arial"/>
                <w:i/>
                <w:iCs/>
              </w:rPr>
              <w:t>ose reductions should be initiated at review points for repeat supply. If there are any concerns the individual should be signposted to the</w:t>
            </w:r>
            <w:r w:rsidR="00461C51" w:rsidRPr="006A77F2">
              <w:rPr>
                <w:rFonts w:cs="Arial"/>
                <w:i/>
                <w:iCs/>
              </w:rPr>
              <w:t xml:space="preserve"> locally commissioned tobacco dependence service</w:t>
            </w:r>
            <w:r w:rsidRPr="006A77F2">
              <w:rPr>
                <w:rFonts w:cs="Arial"/>
                <w:i/>
                <w:iCs/>
              </w:rPr>
              <w:t>, their GP Practice,</w:t>
            </w:r>
            <w:r w:rsidR="00F17F79" w:rsidRPr="006A77F2">
              <w:rPr>
                <w:rFonts w:cs="Arial"/>
                <w:i/>
                <w:iCs/>
              </w:rPr>
              <w:t xml:space="preserve"> other</w:t>
            </w:r>
            <w:r w:rsidRPr="006A77F2">
              <w:rPr>
                <w:rFonts w:cs="Arial"/>
                <w:i/>
                <w:iCs/>
              </w:rPr>
              <w:t xml:space="preserve"> appropriate specialist or mental health service </w:t>
            </w:r>
            <w:r w:rsidR="00F17F79" w:rsidRPr="006A77F2">
              <w:rPr>
                <w:rFonts w:cs="Arial"/>
                <w:i/>
                <w:iCs/>
              </w:rPr>
              <w:t>where</w:t>
            </w:r>
            <w:r w:rsidRPr="006A77F2">
              <w:rPr>
                <w:rFonts w:cs="Arial"/>
                <w:i/>
                <w:iCs/>
              </w:rPr>
              <w:t xml:space="preserve"> appropriate.  </w:t>
            </w:r>
          </w:p>
          <w:p w14:paraId="0D583638" w14:textId="64B25C71" w:rsidR="00AD2642" w:rsidRPr="006A77F2" w:rsidRDefault="001A0142" w:rsidP="0029797A">
            <w:pPr>
              <w:keepNext/>
              <w:spacing w:line="240" w:lineRule="auto"/>
              <w:rPr>
                <w:rFonts w:cs="Arial"/>
                <w:b/>
                <w:u w:val="single"/>
              </w:rPr>
            </w:pPr>
            <w:r w:rsidRPr="006A77F2">
              <w:rPr>
                <w:rFonts w:cs="Arial"/>
                <w:b/>
                <w:u w:val="single"/>
              </w:rPr>
              <w:t>2</w:t>
            </w:r>
            <w:r w:rsidR="00AD2642" w:rsidRPr="006A77F2">
              <w:rPr>
                <w:rFonts w:cs="Arial"/>
                <w:b/>
                <w:u w:val="single"/>
              </w:rPr>
              <w:t>) Renal dosage regimens:</w:t>
            </w:r>
          </w:p>
          <w:p w14:paraId="0C24AC88" w14:textId="77777777" w:rsidR="00AD2642" w:rsidRPr="006A77F2" w:rsidRDefault="00AD2642" w:rsidP="0029797A">
            <w:pPr>
              <w:keepNext/>
              <w:spacing w:line="240" w:lineRule="auto"/>
              <w:rPr>
                <w:rFonts w:cs="Arial"/>
                <w:b/>
                <w:u w:val="single"/>
              </w:rPr>
            </w:pPr>
            <w:r w:rsidRPr="006A77F2">
              <w:rPr>
                <w:rFonts w:cs="Arial"/>
                <w:b/>
              </w:rPr>
              <w:t>For individuals with known moderate renal impairment (</w:t>
            </w:r>
            <w:proofErr w:type="spellStart"/>
            <w:r w:rsidRPr="006A77F2">
              <w:rPr>
                <w:rFonts w:cs="Arial"/>
                <w:b/>
              </w:rPr>
              <w:t>CrCl</w:t>
            </w:r>
            <w:proofErr w:type="spellEnd"/>
            <w:r w:rsidRPr="006A77F2">
              <w:rPr>
                <w:rFonts w:cs="Arial"/>
                <w:b/>
              </w:rPr>
              <w:t xml:space="preserve"> ≥30mL/min and ≤ 50mL/min):</w:t>
            </w:r>
            <w:r w:rsidRPr="006A77F2">
              <w:rPr>
                <w:rFonts w:cs="Arial"/>
                <w:b/>
                <w:u w:val="single"/>
              </w:rPr>
              <w:t xml:space="preserve"> </w:t>
            </w:r>
          </w:p>
          <w:p w14:paraId="75FB9AFF" w14:textId="77777777" w:rsidR="00AD2642" w:rsidRPr="006A77F2" w:rsidRDefault="00AD2642" w:rsidP="0029797A">
            <w:pPr>
              <w:keepNext/>
              <w:spacing w:line="240" w:lineRule="auto"/>
              <w:rPr>
                <w:rFonts w:cs="Arial"/>
              </w:rPr>
            </w:pPr>
            <w:r w:rsidRPr="006A77F2">
              <w:rPr>
                <w:rFonts w:cs="Arial"/>
                <w:b/>
              </w:rPr>
              <w:t>Days 1 to 3</w:t>
            </w:r>
            <w:r w:rsidRPr="006A77F2">
              <w:rPr>
                <w:rFonts w:cs="Arial"/>
              </w:rPr>
              <w:t>: 0.5mg once daily</w:t>
            </w:r>
          </w:p>
          <w:p w14:paraId="50760E50" w14:textId="77777777" w:rsidR="00AD2642" w:rsidRPr="006A77F2" w:rsidRDefault="00AD2642" w:rsidP="0029797A">
            <w:pPr>
              <w:keepNext/>
              <w:spacing w:line="240" w:lineRule="auto"/>
              <w:rPr>
                <w:rFonts w:cs="Arial"/>
              </w:rPr>
            </w:pPr>
            <w:r w:rsidRPr="006A77F2">
              <w:rPr>
                <w:rFonts w:cs="Arial"/>
                <w:b/>
              </w:rPr>
              <w:t>Days 4 to 7</w:t>
            </w:r>
            <w:r w:rsidRPr="006A77F2">
              <w:rPr>
                <w:rFonts w:cs="Arial"/>
              </w:rPr>
              <w:t>: 0.5mg twice daily</w:t>
            </w:r>
          </w:p>
          <w:p w14:paraId="6CCECB42" w14:textId="7BA43CF0" w:rsidR="00AD2642" w:rsidRPr="006A77F2" w:rsidRDefault="00AD2642" w:rsidP="0029797A">
            <w:pPr>
              <w:keepNext/>
              <w:spacing w:line="240" w:lineRule="auto"/>
              <w:rPr>
                <w:rFonts w:cs="Arial"/>
              </w:rPr>
            </w:pPr>
            <w:r w:rsidRPr="006A77F2">
              <w:rPr>
                <w:rFonts w:cs="Arial"/>
                <w:b/>
              </w:rPr>
              <w:t xml:space="preserve">Days 8 onwards </w:t>
            </w:r>
            <w:r w:rsidRPr="006A77F2">
              <w:rPr>
                <w:rFonts w:cs="Arial"/>
                <w:b/>
                <w:bCs/>
              </w:rPr>
              <w:t xml:space="preserve">(to complete </w:t>
            </w:r>
            <w:r w:rsidR="006A77F2" w:rsidRPr="006A77F2">
              <w:rPr>
                <w:rFonts w:cs="Arial"/>
                <w:b/>
                <w:bCs/>
              </w:rPr>
              <w:t>12-week</w:t>
            </w:r>
            <w:r w:rsidRPr="006A77F2">
              <w:rPr>
                <w:rFonts w:cs="Arial"/>
                <w:b/>
                <w:bCs/>
              </w:rPr>
              <w:t xml:space="preserve"> course)</w:t>
            </w:r>
            <w:r w:rsidRPr="006A77F2">
              <w:rPr>
                <w:rFonts w:cs="Arial"/>
              </w:rPr>
              <w:t xml:space="preserve">: 1mg twice daily* until a total of 12 </w:t>
            </w:r>
            <w:r w:rsidR="001A0142" w:rsidRPr="006A77F2">
              <w:rPr>
                <w:rFonts w:cs="Arial"/>
              </w:rPr>
              <w:t xml:space="preserve">weeks’ </w:t>
            </w:r>
            <w:r w:rsidRPr="006A77F2">
              <w:rPr>
                <w:rFonts w:cs="Arial"/>
              </w:rPr>
              <w:t>treatment has been taken.</w:t>
            </w:r>
          </w:p>
          <w:p w14:paraId="545881E9" w14:textId="77777777" w:rsidR="00AD2642" w:rsidRPr="006A77F2" w:rsidRDefault="00AD2642" w:rsidP="0029797A">
            <w:pPr>
              <w:keepNext/>
              <w:spacing w:line="240" w:lineRule="auto"/>
              <w:rPr>
                <w:rFonts w:cs="Arial"/>
                <w:i/>
                <w:iCs/>
              </w:rPr>
            </w:pPr>
            <w:r w:rsidRPr="006A77F2">
              <w:rPr>
                <w:rFonts w:cs="Arial"/>
              </w:rPr>
              <w:t xml:space="preserve">* </w:t>
            </w:r>
            <w:r w:rsidRPr="006A77F2">
              <w:rPr>
                <w:rFonts w:cs="Arial"/>
                <w:b/>
                <w:bCs/>
                <w:i/>
                <w:iCs/>
              </w:rPr>
              <w:t xml:space="preserve">Intolerance of higher dose (1mg twice daily) of varenicline in </w:t>
            </w:r>
            <w:r w:rsidRPr="006A77F2">
              <w:rPr>
                <w:rFonts w:cs="Arial"/>
                <w:b/>
                <w:i/>
                <w:iCs/>
              </w:rPr>
              <w:t>individuals with known moderate renal impairment (</w:t>
            </w:r>
            <w:proofErr w:type="spellStart"/>
            <w:r w:rsidRPr="006A77F2">
              <w:rPr>
                <w:rFonts w:cs="Arial"/>
                <w:b/>
                <w:i/>
                <w:iCs/>
              </w:rPr>
              <w:t>CrCl</w:t>
            </w:r>
            <w:proofErr w:type="spellEnd"/>
            <w:r w:rsidRPr="006A77F2">
              <w:rPr>
                <w:rFonts w:cs="Arial"/>
                <w:b/>
                <w:i/>
                <w:iCs/>
              </w:rPr>
              <w:t xml:space="preserve"> ≥30mL/min and ≤ 50mL/min)</w:t>
            </w:r>
            <w:r w:rsidRPr="006A77F2">
              <w:rPr>
                <w:rFonts w:cs="Arial"/>
                <w:b/>
                <w:bCs/>
                <w:i/>
                <w:iCs/>
              </w:rPr>
              <w:t>:</w:t>
            </w:r>
            <w:r w:rsidRPr="006A77F2">
              <w:rPr>
                <w:rFonts w:cs="Arial"/>
                <w:i/>
                <w:iCs/>
              </w:rPr>
              <w:t xml:space="preserve"> for individuals who do not tolerate the adverse effects (e.g. nausea) of the higher dose of varenicline, the dose may be reduced temporarily or permanently to </w:t>
            </w:r>
            <w:r w:rsidRPr="006A77F2">
              <w:rPr>
                <w:rFonts w:cs="Arial"/>
                <w:i/>
                <w:iCs/>
                <w:u w:val="single"/>
              </w:rPr>
              <w:t>1mg once daily</w:t>
            </w:r>
            <w:r w:rsidRPr="006A77F2">
              <w:rPr>
                <w:rFonts w:cs="Arial"/>
                <w:i/>
                <w:iCs/>
              </w:rPr>
              <w:t>.</w:t>
            </w:r>
          </w:p>
          <w:p w14:paraId="631ADA68" w14:textId="701F8E37" w:rsidR="00AD2642" w:rsidRPr="006A77F2" w:rsidRDefault="00AD2642" w:rsidP="0029797A">
            <w:pPr>
              <w:keepNext/>
              <w:spacing w:line="240" w:lineRule="auto"/>
              <w:rPr>
                <w:rFonts w:cs="Arial"/>
                <w:i/>
                <w:iCs/>
              </w:rPr>
            </w:pPr>
            <w:r w:rsidRPr="006A77F2">
              <w:rPr>
                <w:rFonts w:cs="Arial"/>
                <w:i/>
                <w:iCs/>
              </w:rPr>
              <w:t xml:space="preserve">This reduction should be agreed with the individual and dose reductions should be initiated at review points for repeat supply. If there are any concerns the individual should be signposted to </w:t>
            </w:r>
            <w:r w:rsidR="00333507" w:rsidRPr="006A77F2">
              <w:rPr>
                <w:rFonts w:cs="Arial"/>
                <w:i/>
                <w:iCs/>
              </w:rPr>
              <w:t xml:space="preserve">the locally commissioned tobacco dependence </w:t>
            </w:r>
            <w:r w:rsidR="00333507" w:rsidRPr="006A77F2">
              <w:rPr>
                <w:rFonts w:cs="Arial"/>
                <w:i/>
                <w:iCs/>
              </w:rPr>
              <w:lastRenderedPageBreak/>
              <w:t>service</w:t>
            </w:r>
            <w:r w:rsidRPr="006A77F2">
              <w:rPr>
                <w:rFonts w:cs="Arial"/>
                <w:i/>
                <w:iCs/>
              </w:rPr>
              <w:t xml:space="preserve">, their GP Practice, </w:t>
            </w:r>
            <w:r w:rsidR="004D460E" w:rsidRPr="006A77F2">
              <w:rPr>
                <w:rFonts w:cs="Arial"/>
                <w:i/>
                <w:iCs/>
              </w:rPr>
              <w:t>a</w:t>
            </w:r>
            <w:r w:rsidRPr="006A77F2">
              <w:rPr>
                <w:rFonts w:cs="Arial"/>
                <w:i/>
                <w:iCs/>
              </w:rPr>
              <w:t xml:space="preserve"> specialist or mental health service </w:t>
            </w:r>
            <w:r w:rsidR="00333507" w:rsidRPr="006A77F2">
              <w:rPr>
                <w:rFonts w:cs="Arial"/>
                <w:i/>
                <w:iCs/>
              </w:rPr>
              <w:t>where</w:t>
            </w:r>
            <w:r w:rsidRPr="006A77F2">
              <w:rPr>
                <w:rFonts w:cs="Arial"/>
                <w:i/>
                <w:iCs/>
              </w:rPr>
              <w:t xml:space="preserve"> appropriate.  </w:t>
            </w:r>
          </w:p>
          <w:p w14:paraId="1839AB5D" w14:textId="77777777" w:rsidR="00AD2642" w:rsidRPr="006A77F2" w:rsidRDefault="00AD2642" w:rsidP="0029797A">
            <w:pPr>
              <w:keepNext/>
              <w:spacing w:line="240" w:lineRule="auto"/>
              <w:rPr>
                <w:rFonts w:cs="Arial"/>
                <w:b/>
                <w:u w:val="single"/>
              </w:rPr>
            </w:pPr>
            <w:r w:rsidRPr="006A77F2">
              <w:rPr>
                <w:rFonts w:cs="Arial"/>
                <w:b/>
              </w:rPr>
              <w:t>For individuals with known severe renal impairment (</w:t>
            </w:r>
            <w:proofErr w:type="spellStart"/>
            <w:r w:rsidRPr="006A77F2">
              <w:rPr>
                <w:rFonts w:cs="Arial"/>
                <w:b/>
              </w:rPr>
              <w:t>CrCl</w:t>
            </w:r>
            <w:proofErr w:type="spellEnd"/>
            <w:r w:rsidRPr="006A77F2">
              <w:rPr>
                <w:rFonts w:cs="Arial"/>
                <w:b/>
              </w:rPr>
              <w:t xml:space="preserve"> &lt; 30mL/min):</w:t>
            </w:r>
            <w:r w:rsidRPr="006A77F2">
              <w:rPr>
                <w:rFonts w:cs="Arial"/>
                <w:b/>
                <w:u w:val="single"/>
              </w:rPr>
              <w:t xml:space="preserve"> </w:t>
            </w:r>
          </w:p>
          <w:p w14:paraId="776FD19E" w14:textId="77777777" w:rsidR="00AD2642" w:rsidRPr="006A77F2" w:rsidRDefault="00AD2642" w:rsidP="0029797A">
            <w:pPr>
              <w:keepNext/>
              <w:spacing w:line="240" w:lineRule="auto"/>
              <w:rPr>
                <w:rFonts w:cs="Arial"/>
                <w:b/>
              </w:rPr>
            </w:pPr>
            <w:r w:rsidRPr="006A77F2">
              <w:rPr>
                <w:rFonts w:cs="Arial"/>
                <w:b/>
              </w:rPr>
              <w:t>Days 1 to 3</w:t>
            </w:r>
            <w:r w:rsidRPr="006A77F2">
              <w:rPr>
                <w:rFonts w:cs="Arial"/>
              </w:rPr>
              <w:t>: 0.5mg once daily</w:t>
            </w:r>
          </w:p>
          <w:p w14:paraId="17290AAA" w14:textId="5AD36ED7" w:rsidR="0072637C" w:rsidRPr="006A77F2" w:rsidRDefault="00AD2642" w:rsidP="0029797A">
            <w:pPr>
              <w:keepNext/>
              <w:spacing w:line="240" w:lineRule="auto"/>
              <w:rPr>
                <w:rFonts w:cs="Arial"/>
              </w:rPr>
            </w:pPr>
            <w:r w:rsidRPr="006A77F2">
              <w:rPr>
                <w:rFonts w:cs="Arial"/>
                <w:b/>
              </w:rPr>
              <w:t xml:space="preserve">Days 4 onwards (to complete </w:t>
            </w:r>
            <w:r w:rsidR="002B4ACD" w:rsidRPr="006A77F2">
              <w:rPr>
                <w:rFonts w:cs="Arial"/>
                <w:b/>
              </w:rPr>
              <w:t>12-week</w:t>
            </w:r>
            <w:r w:rsidR="001A0142" w:rsidRPr="006A77F2">
              <w:rPr>
                <w:rFonts w:cs="Arial"/>
                <w:b/>
              </w:rPr>
              <w:t xml:space="preserve"> course</w:t>
            </w:r>
            <w:r w:rsidRPr="006A77F2">
              <w:rPr>
                <w:rFonts w:cs="Arial"/>
                <w:b/>
              </w:rPr>
              <w:t>)</w:t>
            </w:r>
            <w:r w:rsidRPr="006A77F2">
              <w:rPr>
                <w:rFonts w:cs="Arial"/>
              </w:rPr>
              <w:t>:</w:t>
            </w:r>
            <w:r w:rsidR="002B4ACD" w:rsidRPr="006A77F2">
              <w:rPr>
                <w:rFonts w:cs="Arial"/>
              </w:rPr>
              <w:t xml:space="preserve"> </w:t>
            </w:r>
            <w:r w:rsidRPr="006A77F2">
              <w:rPr>
                <w:rFonts w:cs="Arial"/>
              </w:rPr>
              <w:t xml:space="preserve">1mg once daily  </w:t>
            </w:r>
          </w:p>
          <w:p w14:paraId="60787858" w14:textId="77777777" w:rsidR="00AD2642" w:rsidRPr="006A77F2" w:rsidRDefault="00AD2642" w:rsidP="0029797A">
            <w:pPr>
              <w:keepNext/>
              <w:spacing w:line="240" w:lineRule="auto"/>
              <w:rPr>
                <w:rFonts w:eastAsia="Calibri" w:cs="Arial"/>
                <w:iCs/>
              </w:rPr>
            </w:pPr>
            <w:r w:rsidRPr="006A77F2">
              <w:rPr>
                <w:rFonts w:eastAsia="Calibri" w:cs="Arial"/>
                <w:b/>
                <w:bCs/>
                <w:iCs/>
                <w:u w:val="single"/>
              </w:rPr>
              <w:t>Tapering dose</w:t>
            </w:r>
            <w:r w:rsidRPr="006A77F2">
              <w:rPr>
                <w:rFonts w:eastAsia="Calibri" w:cs="Arial"/>
                <w:b/>
                <w:bCs/>
                <w:iCs/>
              </w:rPr>
              <w:t xml:space="preserve"> </w:t>
            </w:r>
          </w:p>
          <w:p w14:paraId="0C35E50F" w14:textId="763339FD" w:rsidR="00AD2642" w:rsidRPr="006A77F2" w:rsidRDefault="00AD2642" w:rsidP="0029797A">
            <w:pPr>
              <w:keepNext/>
              <w:spacing w:line="240" w:lineRule="auto"/>
              <w:rPr>
                <w:rFonts w:eastAsia="Calibri" w:cs="Arial"/>
                <w:b/>
                <w:bCs/>
                <w:iCs/>
              </w:rPr>
            </w:pPr>
            <w:r w:rsidRPr="006A77F2">
              <w:rPr>
                <w:rFonts w:eastAsia="Calibri" w:cs="Arial"/>
                <w:iCs/>
              </w:rPr>
              <w:t>Tapering doses are not permitted under this PGD – if potentially indicated refer to an appropriate prescriber.</w:t>
            </w:r>
            <w:r w:rsidRPr="006A77F2">
              <w:rPr>
                <w:rFonts w:eastAsia="Calibri" w:cs="Arial"/>
                <w:b/>
                <w:bCs/>
                <w:iCs/>
              </w:rPr>
              <w:t xml:space="preserve">  </w:t>
            </w:r>
          </w:p>
          <w:p w14:paraId="0AA127D3" w14:textId="77777777" w:rsidR="00AD2642" w:rsidRPr="006A77F2" w:rsidRDefault="00AD2642" w:rsidP="0029797A">
            <w:pPr>
              <w:keepNext/>
              <w:spacing w:line="240" w:lineRule="auto"/>
              <w:rPr>
                <w:rFonts w:eastAsia="Calibri" w:cs="Arial"/>
                <w:b/>
                <w:bCs/>
                <w:iCs/>
                <w:u w:val="single"/>
              </w:rPr>
            </w:pPr>
            <w:r w:rsidRPr="006A77F2">
              <w:rPr>
                <w:rFonts w:eastAsia="Calibri" w:cs="Arial"/>
                <w:b/>
                <w:bCs/>
                <w:iCs/>
                <w:u w:val="single"/>
              </w:rPr>
              <w:t>Renal function clarification:</w:t>
            </w:r>
          </w:p>
          <w:p w14:paraId="6381860B" w14:textId="2ACB4B32" w:rsidR="00AD2642" w:rsidRPr="006A77F2" w:rsidRDefault="00AD2642" w:rsidP="0029797A">
            <w:pPr>
              <w:keepNext/>
              <w:spacing w:line="240" w:lineRule="auto"/>
              <w:rPr>
                <w:rFonts w:cs="Arial"/>
              </w:rPr>
            </w:pPr>
            <w:r w:rsidRPr="006A77F2">
              <w:rPr>
                <w:rFonts w:cs="Arial"/>
              </w:rPr>
              <w:t xml:space="preserve">The doses given above are for individuals with stable chronic kidney disease and reflect the advice for </w:t>
            </w:r>
            <w:r w:rsidR="000D133B" w:rsidRPr="006A77F2">
              <w:rPr>
                <w:rFonts w:cs="Arial"/>
              </w:rPr>
              <w:t xml:space="preserve">estimated </w:t>
            </w:r>
            <w:r w:rsidRPr="006A77F2">
              <w:rPr>
                <w:rFonts w:cs="Arial"/>
              </w:rPr>
              <w:t>Creatinine Clearance (</w:t>
            </w:r>
            <w:proofErr w:type="spellStart"/>
            <w:r w:rsidRPr="006A77F2">
              <w:rPr>
                <w:rFonts w:cs="Arial"/>
              </w:rPr>
              <w:t>CrCl</w:t>
            </w:r>
            <w:proofErr w:type="spellEnd"/>
            <w:r w:rsidRPr="006A77F2">
              <w:rPr>
                <w:rFonts w:cs="Arial"/>
              </w:rPr>
              <w:t xml:space="preserve">) as detailed in the product SPC. If there is a history of renal failure, supply as per the latest documented </w:t>
            </w:r>
            <w:proofErr w:type="spellStart"/>
            <w:r w:rsidRPr="006A77F2">
              <w:rPr>
                <w:rFonts w:cs="Arial"/>
              </w:rPr>
              <w:t>CrCl</w:t>
            </w:r>
            <w:proofErr w:type="spellEnd"/>
            <w:r w:rsidRPr="006A77F2">
              <w:rPr>
                <w:rFonts w:cs="Arial"/>
              </w:rPr>
              <w:t xml:space="preserve"> results, if available. However, estimated glomerular filtration rate (eGFR) may be more readily available. If eGFR is the only value available, supply according to eGFR (substituting eGFR for the </w:t>
            </w:r>
            <w:proofErr w:type="spellStart"/>
            <w:r w:rsidRPr="006A77F2">
              <w:rPr>
                <w:rFonts w:cs="Arial"/>
              </w:rPr>
              <w:t>CrCl</w:t>
            </w:r>
            <w:proofErr w:type="spellEnd"/>
            <w:r w:rsidRPr="006A77F2">
              <w:rPr>
                <w:rFonts w:cs="Arial"/>
              </w:rPr>
              <w:t xml:space="preserve"> figures given above). As </w:t>
            </w:r>
            <w:proofErr w:type="spellStart"/>
            <w:r w:rsidRPr="006A77F2">
              <w:rPr>
                <w:rFonts w:cs="Arial"/>
              </w:rPr>
              <w:t>CrCl</w:t>
            </w:r>
            <w:proofErr w:type="spellEnd"/>
            <w:r w:rsidRPr="006A77F2">
              <w:rPr>
                <w:rFonts w:cs="Arial"/>
              </w:rPr>
              <w:t xml:space="preserve"> tends to overestimate GFR some individuals may receive a higher varenicline dose as a result so individuals should be advised to promptly report any adverse effects.</w:t>
            </w:r>
          </w:p>
          <w:p w14:paraId="45E3CAFE" w14:textId="77777777" w:rsidR="002834BB" w:rsidRPr="002834BB" w:rsidRDefault="00AD2642" w:rsidP="0029797A">
            <w:pPr>
              <w:numPr>
                <w:ilvl w:val="0"/>
                <w:numId w:val="8"/>
              </w:numPr>
              <w:overflowPunct w:val="0"/>
              <w:autoSpaceDE w:val="0"/>
              <w:autoSpaceDN w:val="0"/>
              <w:adjustRightInd w:val="0"/>
              <w:spacing w:after="160" w:line="240" w:lineRule="auto"/>
              <w:contextualSpacing/>
              <w:textAlignment w:val="baseline"/>
              <w:textboxTightWrap w:val="none"/>
              <w:rPr>
                <w:rFonts w:eastAsia="Calibri" w:cs="Arial"/>
              </w:rPr>
            </w:pPr>
            <w:r w:rsidRPr="006A77F2">
              <w:rPr>
                <w:rFonts w:cs="Arial"/>
              </w:rPr>
              <w:t xml:space="preserve">For further information see </w:t>
            </w:r>
            <w:hyperlink r:id="rId26" w:history="1">
              <w:r w:rsidRPr="006A77F2">
                <w:rPr>
                  <w:rStyle w:val="Hyperlink"/>
                  <w:rFonts w:cs="Arial"/>
                </w:rPr>
                <w:t>BNF prescribing in renal impairment</w:t>
              </w:r>
            </w:hyperlink>
            <w:r w:rsidRPr="006A77F2">
              <w:rPr>
                <w:rFonts w:cs="Arial"/>
              </w:rPr>
              <w:t xml:space="preserve"> guidance.</w:t>
            </w:r>
          </w:p>
          <w:p w14:paraId="1E481377" w14:textId="6D9345A5" w:rsidR="00AD2642" w:rsidRPr="00A87C40" w:rsidRDefault="00AD2642" w:rsidP="002834BB">
            <w:pPr>
              <w:overflowPunct w:val="0"/>
              <w:autoSpaceDE w:val="0"/>
              <w:autoSpaceDN w:val="0"/>
              <w:adjustRightInd w:val="0"/>
              <w:spacing w:after="160" w:line="240" w:lineRule="auto"/>
              <w:ind w:left="360"/>
              <w:contextualSpacing/>
              <w:textAlignment w:val="baseline"/>
              <w:textboxTightWrap w:val="none"/>
              <w:rPr>
                <w:rFonts w:eastAsia="Calibri" w:cs="Arial"/>
              </w:rPr>
            </w:pPr>
            <w:r w:rsidRPr="006A77F2">
              <w:rPr>
                <w:rFonts w:cs="Arial"/>
              </w:rPr>
              <w:t xml:space="preserve">  </w:t>
            </w:r>
          </w:p>
          <w:p w14:paraId="48AD4076" w14:textId="4B393C27" w:rsidR="00A87C40" w:rsidRPr="006A77F2" w:rsidRDefault="002834BB" w:rsidP="002834BB">
            <w:pPr>
              <w:overflowPunct w:val="0"/>
              <w:autoSpaceDE w:val="0"/>
              <w:autoSpaceDN w:val="0"/>
              <w:adjustRightInd w:val="0"/>
              <w:spacing w:after="160" w:line="240" w:lineRule="auto"/>
              <w:contextualSpacing/>
              <w:textAlignment w:val="baseline"/>
              <w:textboxTightWrap w:val="none"/>
              <w:rPr>
                <w:rFonts w:eastAsia="Calibri" w:cs="Arial"/>
              </w:rPr>
            </w:pPr>
            <w:r w:rsidRPr="005722AB">
              <w:rPr>
                <w:rFonts w:cs="Arial"/>
                <w:b/>
                <w:bCs/>
              </w:rPr>
              <w:t>Missed / forgotten dose</w:t>
            </w:r>
            <w:r>
              <w:rPr>
                <w:rFonts w:cs="Arial"/>
              </w:rPr>
              <w:t>:</w:t>
            </w:r>
            <w:r w:rsidR="005722AB">
              <w:rPr>
                <w:rFonts w:cs="Arial"/>
              </w:rPr>
              <w:t xml:space="preserve"> Refer to the patient information leaflet.</w:t>
            </w:r>
          </w:p>
        </w:tc>
      </w:tr>
      <w:tr w:rsidR="0080528C" w:rsidRPr="006A77F2" w14:paraId="7357A01C" w14:textId="77777777" w:rsidTr="0080528C">
        <w:tc>
          <w:tcPr>
            <w:tcW w:w="3403" w:type="dxa"/>
            <w:shd w:val="clear" w:color="auto" w:fill="BFBFBF" w:themeFill="text1" w:themeFillShade="BF"/>
          </w:tcPr>
          <w:p w14:paraId="33FECD37" w14:textId="77777777" w:rsidR="0080528C" w:rsidRPr="006A77F2" w:rsidRDefault="0080528C" w:rsidP="006D19F4">
            <w:pPr>
              <w:overflowPunct w:val="0"/>
              <w:autoSpaceDE w:val="0"/>
              <w:autoSpaceDN w:val="0"/>
              <w:adjustRightInd w:val="0"/>
              <w:spacing w:before="60" w:after="60"/>
              <w:textAlignment w:val="baseline"/>
              <w:rPr>
                <w:rFonts w:cs="Arial"/>
                <w:b/>
              </w:rPr>
            </w:pPr>
            <w:r w:rsidRPr="006A77F2">
              <w:rPr>
                <w:rFonts w:cs="Arial"/>
                <w:b/>
              </w:rPr>
              <w:lastRenderedPageBreak/>
              <w:t>Duration of treatment</w:t>
            </w:r>
          </w:p>
        </w:tc>
        <w:tc>
          <w:tcPr>
            <w:tcW w:w="6945" w:type="dxa"/>
          </w:tcPr>
          <w:p w14:paraId="0F0266DB" w14:textId="04900F6A" w:rsidR="003E21F2" w:rsidRPr="006A77F2" w:rsidRDefault="003E21F2" w:rsidP="00410880">
            <w:pPr>
              <w:overflowPunct w:val="0"/>
              <w:autoSpaceDE w:val="0"/>
              <w:autoSpaceDN w:val="0"/>
              <w:adjustRightInd w:val="0"/>
              <w:spacing w:after="0" w:line="240" w:lineRule="auto"/>
              <w:textAlignment w:val="baseline"/>
              <w:textboxTightWrap w:val="none"/>
              <w:rPr>
                <w:rFonts w:cs="Arial"/>
              </w:rPr>
            </w:pPr>
            <w:r w:rsidRPr="006A77F2">
              <w:rPr>
                <w:rFonts w:cs="Arial"/>
              </w:rPr>
              <w:t>Maximum of 12 weeks</w:t>
            </w:r>
            <w:r w:rsidR="001A0142" w:rsidRPr="006A77F2">
              <w:rPr>
                <w:rFonts w:cs="Arial"/>
              </w:rPr>
              <w:t>’ treatment</w:t>
            </w:r>
          </w:p>
          <w:p w14:paraId="51137AB7" w14:textId="25AC0EAE" w:rsidR="0080528C" w:rsidRPr="006A77F2" w:rsidRDefault="0080528C" w:rsidP="00410880">
            <w:pPr>
              <w:overflowPunct w:val="0"/>
              <w:autoSpaceDE w:val="0"/>
              <w:autoSpaceDN w:val="0"/>
              <w:adjustRightInd w:val="0"/>
              <w:spacing w:after="160" w:line="240" w:lineRule="auto"/>
              <w:ind w:left="360"/>
              <w:contextualSpacing/>
              <w:textAlignment w:val="baseline"/>
              <w:textboxTightWrap w:val="none"/>
              <w:rPr>
                <w:rFonts w:cs="Arial"/>
              </w:rPr>
            </w:pPr>
          </w:p>
        </w:tc>
      </w:tr>
      <w:tr w:rsidR="00F45AEE" w:rsidRPr="006A77F2" w14:paraId="432FFF98" w14:textId="77777777" w:rsidTr="0080528C">
        <w:tc>
          <w:tcPr>
            <w:tcW w:w="3403" w:type="dxa"/>
            <w:shd w:val="clear" w:color="auto" w:fill="BFBFBF" w:themeFill="text1" w:themeFillShade="BF"/>
          </w:tcPr>
          <w:p w14:paraId="03A64604" w14:textId="77777777" w:rsidR="00F45AEE" w:rsidRPr="006A77F2" w:rsidRDefault="00F45AEE" w:rsidP="00F45AEE">
            <w:pPr>
              <w:overflowPunct w:val="0"/>
              <w:autoSpaceDE w:val="0"/>
              <w:autoSpaceDN w:val="0"/>
              <w:adjustRightInd w:val="0"/>
              <w:spacing w:before="60" w:after="60"/>
              <w:textAlignment w:val="baseline"/>
              <w:rPr>
                <w:rFonts w:cs="Arial"/>
                <w:b/>
              </w:rPr>
            </w:pPr>
            <w:r w:rsidRPr="006A77F2">
              <w:rPr>
                <w:rFonts w:cs="Arial"/>
                <w:b/>
              </w:rPr>
              <w:t xml:space="preserve">Quantity to be supplied </w:t>
            </w:r>
          </w:p>
        </w:tc>
        <w:tc>
          <w:tcPr>
            <w:tcW w:w="6945" w:type="dxa"/>
          </w:tcPr>
          <w:p w14:paraId="08A5599A" w14:textId="7C501BA6" w:rsidR="00F45AEE" w:rsidRPr="006A77F2" w:rsidRDefault="00F45AEE" w:rsidP="0029797A">
            <w:pPr>
              <w:widowControl w:val="0"/>
              <w:numPr>
                <w:ilvl w:val="0"/>
                <w:numId w:val="24"/>
              </w:numPr>
              <w:spacing w:after="0" w:line="240" w:lineRule="auto"/>
              <w:textboxTightWrap w:val="none"/>
              <w:rPr>
                <w:rFonts w:eastAsia="Calibri" w:cs="Arial"/>
                <w:b/>
                <w:iCs/>
                <w:u w:val="single"/>
              </w:rPr>
            </w:pPr>
            <w:r w:rsidRPr="006A77F2">
              <w:rPr>
                <w:rFonts w:eastAsia="Calibri" w:cs="Arial"/>
                <w:b/>
                <w:iCs/>
                <w:u w:val="single"/>
              </w:rPr>
              <w:t xml:space="preserve">Standard regimen (to complete </w:t>
            </w:r>
            <w:r w:rsidR="00971492" w:rsidRPr="006A77F2">
              <w:rPr>
                <w:rFonts w:eastAsia="Calibri" w:cs="Arial"/>
                <w:b/>
                <w:iCs/>
                <w:u w:val="single"/>
              </w:rPr>
              <w:t>12-week</w:t>
            </w:r>
            <w:r w:rsidRPr="006A77F2">
              <w:rPr>
                <w:rFonts w:eastAsia="Calibri" w:cs="Arial"/>
                <w:b/>
                <w:iCs/>
                <w:u w:val="single"/>
              </w:rPr>
              <w:t xml:space="preserve"> course):</w:t>
            </w:r>
          </w:p>
          <w:p w14:paraId="4A6B2CAF"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Initiation (Days 1 to 14):</w:t>
            </w:r>
          </w:p>
          <w:p w14:paraId="0C9DFF39" w14:textId="77777777" w:rsidR="00F45AEE" w:rsidRPr="006A77F2" w:rsidRDefault="00F45AEE" w:rsidP="0029797A">
            <w:pPr>
              <w:widowControl w:val="0"/>
              <w:spacing w:line="240" w:lineRule="auto"/>
              <w:rPr>
                <w:rFonts w:eastAsia="Calibri" w:cs="Arial"/>
                <w:iCs/>
              </w:rPr>
            </w:pPr>
            <w:r w:rsidRPr="006A77F2">
              <w:rPr>
                <w:rFonts w:eastAsia="Calibri" w:cs="Arial"/>
                <w:iCs/>
              </w:rPr>
              <w:t>Appropriately labelled initiation pack</w:t>
            </w:r>
            <w:r w:rsidRPr="006A77F2">
              <w:rPr>
                <w:vertAlign w:val="superscript"/>
              </w:rPr>
              <w:t>‡</w:t>
            </w:r>
            <w:r w:rsidRPr="006A77F2">
              <w:rPr>
                <w:rFonts w:eastAsia="Calibri" w:cs="Arial"/>
                <w:iCs/>
              </w:rPr>
              <w:t xml:space="preserve"> containing 11 x 0.5mg tablets and 14 x 1mg tablets </w:t>
            </w:r>
          </w:p>
          <w:p w14:paraId="2454E71B"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Maintenance (Day 15 onwards):</w:t>
            </w:r>
          </w:p>
          <w:p w14:paraId="7B84BB23" w14:textId="3687AD58" w:rsidR="00F45AEE" w:rsidRPr="006A77F2" w:rsidRDefault="00F45AEE" w:rsidP="0029797A">
            <w:pPr>
              <w:widowControl w:val="0"/>
              <w:spacing w:line="240" w:lineRule="auto"/>
              <w:rPr>
                <w:rFonts w:eastAsia="Calibri" w:cs="Arial"/>
                <w:iCs/>
              </w:rPr>
            </w:pPr>
            <w:r w:rsidRPr="006A77F2">
              <w:rPr>
                <w:rFonts w:eastAsia="Calibri" w:cs="Arial"/>
                <w:iCs/>
              </w:rPr>
              <w:t xml:space="preserve">Appropriately labelled packs of 28 x 1mg tablets can be supplied in instalments to a total of 12 weeks’ therapy </w:t>
            </w:r>
            <w:r w:rsidRPr="006A77F2">
              <w:rPr>
                <w:rFonts w:eastAsia="Calibri" w:cs="Arial"/>
                <w:iCs/>
                <w:highlight w:val="cyan"/>
              </w:rPr>
              <w:t xml:space="preserve">(i.e. 5 </w:t>
            </w:r>
            <w:r w:rsidR="006A77F2" w:rsidRPr="006A77F2">
              <w:rPr>
                <w:rFonts w:eastAsia="Calibri" w:cs="Arial"/>
                <w:iCs/>
                <w:highlight w:val="cyan"/>
              </w:rPr>
              <w:lastRenderedPageBreak/>
              <w:t>instalments</w:t>
            </w:r>
            <w:r w:rsidRPr="006A77F2">
              <w:rPr>
                <w:rFonts w:eastAsia="Calibri" w:cs="Arial"/>
                <w:iCs/>
                <w:highlight w:val="cyan"/>
              </w:rPr>
              <w:t xml:space="preserve"> of 28 x 1mg tablets)</w:t>
            </w:r>
            <w:r w:rsidRPr="006A77F2">
              <w:rPr>
                <w:rFonts w:eastAsia="Calibri" w:cs="Arial"/>
                <w:iCs/>
              </w:rPr>
              <w:t xml:space="preserve"> </w:t>
            </w:r>
          </w:p>
          <w:p w14:paraId="36087BE8" w14:textId="64B44B29" w:rsidR="00F45AEE" w:rsidRPr="006A77F2" w:rsidRDefault="00F45AEE" w:rsidP="00185DD1">
            <w:pPr>
              <w:widowControl w:val="0"/>
              <w:spacing w:line="240" w:lineRule="auto"/>
              <w:rPr>
                <w:rFonts w:cs="Arial"/>
                <w:i/>
                <w:iCs/>
              </w:rPr>
            </w:pPr>
            <w:r w:rsidRPr="006A77F2">
              <w:rPr>
                <w:vertAlign w:val="superscript"/>
              </w:rPr>
              <w:t xml:space="preserve">‡ </w:t>
            </w:r>
            <w:r w:rsidRPr="006A77F2">
              <w:rPr>
                <w:rFonts w:cs="Arial"/>
                <w:i/>
                <w:iCs/>
              </w:rPr>
              <w:t xml:space="preserve">If there are issues procuring the initiation packs, appropriately labelled packs containing 11 x 0.5mg tablets and 14 x 1mg tablets may be supplied. </w:t>
            </w:r>
          </w:p>
          <w:p w14:paraId="13A60C83" w14:textId="4E9E0B99" w:rsidR="00F45AEE" w:rsidRPr="006A77F2" w:rsidRDefault="00F45AEE" w:rsidP="0029797A">
            <w:pPr>
              <w:widowControl w:val="0"/>
              <w:spacing w:line="240" w:lineRule="auto"/>
              <w:rPr>
                <w:rFonts w:cs="Arial"/>
                <w:b/>
                <w:bCs/>
                <w:i/>
                <w:iCs/>
                <w:color w:val="FF0000"/>
                <w:u w:val="single"/>
              </w:rPr>
            </w:pPr>
            <w:r w:rsidRPr="006A77F2">
              <w:rPr>
                <w:rFonts w:cs="Arial"/>
                <w:b/>
                <w:bCs/>
                <w:i/>
                <w:iCs/>
                <w:u w:val="single"/>
              </w:rPr>
              <w:t xml:space="preserve">For either of the above regimens where higher dose (1mg twice daily) of varenicline </w:t>
            </w:r>
            <w:r w:rsidR="007367CA" w:rsidRPr="006A77F2">
              <w:rPr>
                <w:rFonts w:cs="Arial"/>
                <w:b/>
                <w:bCs/>
                <w:i/>
                <w:iCs/>
                <w:u w:val="single"/>
              </w:rPr>
              <w:t>is</w:t>
            </w:r>
            <w:r w:rsidRPr="006A77F2">
              <w:rPr>
                <w:rFonts w:cs="Arial"/>
                <w:b/>
                <w:bCs/>
                <w:i/>
                <w:iCs/>
                <w:u w:val="single"/>
              </w:rPr>
              <w:t xml:space="preserve"> not tolerated and dose reduced to 0.5mg twice daily:</w:t>
            </w:r>
            <w:r w:rsidRPr="006A77F2">
              <w:rPr>
                <w:rFonts w:cs="Arial"/>
                <w:b/>
                <w:bCs/>
                <w:i/>
                <w:iCs/>
                <w:color w:val="FF0000"/>
                <w:u w:val="single"/>
              </w:rPr>
              <w:t xml:space="preserve"> </w:t>
            </w:r>
          </w:p>
          <w:p w14:paraId="3BCCDDA8" w14:textId="37091171" w:rsidR="00F45AEE" w:rsidRPr="006A77F2" w:rsidRDefault="00F45AEE" w:rsidP="0029797A">
            <w:pPr>
              <w:widowControl w:val="0"/>
              <w:spacing w:line="240" w:lineRule="auto"/>
              <w:rPr>
                <w:rFonts w:eastAsia="Calibri" w:cs="Arial"/>
                <w:i/>
                <w:iCs/>
              </w:rPr>
            </w:pPr>
            <w:r w:rsidRPr="006A77F2">
              <w:rPr>
                <w:rFonts w:eastAsia="Calibri" w:cs="Arial"/>
                <w:i/>
                <w:iCs/>
              </w:rPr>
              <w:t xml:space="preserve">Appropriately labelled packs of 28 x 0.5mg tablets can be supplied in </w:t>
            </w:r>
            <w:r w:rsidR="006A77F2" w:rsidRPr="006A77F2">
              <w:rPr>
                <w:rFonts w:eastAsia="Calibri" w:cs="Arial"/>
                <w:i/>
                <w:iCs/>
              </w:rPr>
              <w:t>instalments</w:t>
            </w:r>
            <w:r w:rsidRPr="006A77F2">
              <w:rPr>
                <w:rFonts w:eastAsia="Calibri" w:cs="Arial"/>
                <w:i/>
                <w:iCs/>
              </w:rPr>
              <w:t xml:space="preserve"> to a total of 12 weeks’ therapy (standard regimen) </w:t>
            </w:r>
            <w:r w:rsidRPr="006A77F2">
              <w:rPr>
                <w:rFonts w:eastAsia="Calibri" w:cs="Arial"/>
                <w:i/>
                <w:iCs/>
                <w:highlight w:val="cyan"/>
              </w:rPr>
              <w:t xml:space="preserve">(i.e. up to 5 </w:t>
            </w:r>
            <w:r w:rsidR="006A77F2" w:rsidRPr="006A77F2">
              <w:rPr>
                <w:rFonts w:eastAsia="Calibri" w:cs="Arial"/>
                <w:i/>
                <w:iCs/>
                <w:highlight w:val="cyan"/>
              </w:rPr>
              <w:t>instalments</w:t>
            </w:r>
            <w:r w:rsidRPr="006A77F2">
              <w:rPr>
                <w:rFonts w:eastAsia="Calibri" w:cs="Arial"/>
                <w:i/>
                <w:iCs/>
                <w:highlight w:val="cyan"/>
              </w:rPr>
              <w:t xml:space="preserve"> of 28 x 0.5mg tablets - amend to reflect local policy/pathway</w:t>
            </w:r>
          </w:p>
          <w:p w14:paraId="3D605112" w14:textId="77777777" w:rsidR="00F45AEE" w:rsidRPr="006A77F2" w:rsidRDefault="00F45AEE" w:rsidP="00F45AEE">
            <w:pPr>
              <w:widowControl w:val="0"/>
              <w:numPr>
                <w:ilvl w:val="0"/>
                <w:numId w:val="24"/>
              </w:numPr>
              <w:spacing w:after="0" w:line="240" w:lineRule="auto"/>
              <w:textboxTightWrap w:val="none"/>
              <w:rPr>
                <w:rFonts w:eastAsia="Calibri" w:cs="Arial"/>
                <w:iCs/>
              </w:rPr>
            </w:pPr>
            <w:r w:rsidRPr="006A77F2">
              <w:rPr>
                <w:rFonts w:eastAsia="Calibri" w:cs="Arial"/>
                <w:b/>
                <w:bCs/>
                <w:iCs/>
                <w:u w:val="single"/>
              </w:rPr>
              <w:t>Renal dosage regimens:</w:t>
            </w:r>
            <w:r w:rsidRPr="006A77F2">
              <w:rPr>
                <w:rFonts w:eastAsia="Calibri" w:cs="Arial"/>
                <w:iCs/>
              </w:rPr>
              <w:t xml:space="preserve"> </w:t>
            </w:r>
          </w:p>
          <w:p w14:paraId="3312ED9E" w14:textId="77777777" w:rsidR="00F45AEE" w:rsidRPr="006A77F2" w:rsidRDefault="00F45AEE" w:rsidP="00F45AEE">
            <w:pPr>
              <w:widowControl w:val="0"/>
              <w:ind w:left="360"/>
              <w:rPr>
                <w:rFonts w:eastAsia="Calibri" w:cs="Arial"/>
                <w:iCs/>
              </w:rPr>
            </w:pPr>
          </w:p>
          <w:p w14:paraId="78328436" w14:textId="77777777" w:rsidR="00F45AEE" w:rsidRPr="006A77F2" w:rsidRDefault="00F45AEE" w:rsidP="0029797A">
            <w:pPr>
              <w:keepNext/>
              <w:spacing w:line="240" w:lineRule="auto"/>
              <w:rPr>
                <w:rFonts w:cs="Arial"/>
                <w:b/>
                <w:u w:val="single"/>
              </w:rPr>
            </w:pPr>
            <w:r w:rsidRPr="006A77F2">
              <w:rPr>
                <w:rFonts w:cs="Arial"/>
                <w:b/>
              </w:rPr>
              <w:t>For individuals with known moderate renal impairment (</w:t>
            </w:r>
            <w:proofErr w:type="spellStart"/>
            <w:r w:rsidRPr="006A77F2">
              <w:rPr>
                <w:rFonts w:cs="Arial"/>
                <w:b/>
              </w:rPr>
              <w:t>CrCl</w:t>
            </w:r>
            <w:proofErr w:type="spellEnd"/>
            <w:r w:rsidRPr="006A77F2">
              <w:rPr>
                <w:rFonts w:cs="Arial"/>
                <w:b/>
              </w:rPr>
              <w:t xml:space="preserve"> ≥30mL/min and ≤ 50mL/min):</w:t>
            </w:r>
            <w:r w:rsidRPr="006A77F2">
              <w:rPr>
                <w:rFonts w:cs="Arial"/>
                <w:b/>
                <w:u w:val="single"/>
              </w:rPr>
              <w:t xml:space="preserve"> </w:t>
            </w:r>
          </w:p>
          <w:p w14:paraId="45070633"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Initiation (Days 1 to 14):</w:t>
            </w:r>
          </w:p>
          <w:p w14:paraId="3985B2A9" w14:textId="77777777" w:rsidR="00F45AEE" w:rsidRPr="006A77F2" w:rsidRDefault="00F45AEE" w:rsidP="0029797A">
            <w:pPr>
              <w:widowControl w:val="0"/>
              <w:spacing w:line="240" w:lineRule="auto"/>
              <w:rPr>
                <w:rFonts w:eastAsia="Calibri" w:cs="Arial"/>
                <w:iCs/>
              </w:rPr>
            </w:pPr>
            <w:r w:rsidRPr="006A77F2">
              <w:rPr>
                <w:rFonts w:eastAsia="Calibri" w:cs="Arial"/>
                <w:iCs/>
              </w:rPr>
              <w:t>Appropriately labelled initiation pack</w:t>
            </w:r>
            <w:r w:rsidRPr="006A77F2">
              <w:rPr>
                <w:vertAlign w:val="superscript"/>
              </w:rPr>
              <w:t>‡</w:t>
            </w:r>
            <w:r w:rsidRPr="006A77F2">
              <w:rPr>
                <w:rFonts w:eastAsia="Calibri" w:cs="Arial"/>
                <w:iCs/>
              </w:rPr>
              <w:t xml:space="preserve"> containing 11 x 0.5mg tablets and 14 x 1mg tablets </w:t>
            </w:r>
          </w:p>
          <w:p w14:paraId="5923D8F5"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Maintenance (Day 15 onwards):</w:t>
            </w:r>
          </w:p>
          <w:p w14:paraId="72F75A77" w14:textId="75C98F9A" w:rsidR="00F45AEE" w:rsidRPr="006A77F2" w:rsidRDefault="00F45AEE" w:rsidP="0029797A">
            <w:pPr>
              <w:widowControl w:val="0"/>
              <w:spacing w:line="240" w:lineRule="auto"/>
              <w:rPr>
                <w:rFonts w:eastAsia="Calibri" w:cs="Arial"/>
                <w:iCs/>
              </w:rPr>
            </w:pPr>
            <w:r w:rsidRPr="006A77F2">
              <w:rPr>
                <w:rFonts w:eastAsia="Calibri" w:cs="Arial"/>
                <w:iCs/>
              </w:rPr>
              <w:t xml:space="preserve">Appropriately labelled packs of 28 x 1mg tablets can be supplied in instalments to a total of </w:t>
            </w:r>
            <w:r w:rsidR="007367CA" w:rsidRPr="006A77F2">
              <w:rPr>
                <w:rFonts w:eastAsia="Calibri" w:cs="Arial"/>
                <w:iCs/>
              </w:rPr>
              <w:t>12</w:t>
            </w:r>
            <w:r w:rsidRPr="006A77F2">
              <w:rPr>
                <w:rFonts w:eastAsia="Calibri" w:cs="Arial"/>
                <w:iCs/>
              </w:rPr>
              <w:t xml:space="preserve"> weeks’ therapy (standard regimen) </w:t>
            </w:r>
            <w:r w:rsidRPr="006A77F2">
              <w:rPr>
                <w:rFonts w:eastAsia="Calibri" w:cs="Arial"/>
                <w:iCs/>
                <w:highlight w:val="cyan"/>
              </w:rPr>
              <w:t xml:space="preserve">(i.e. 5 </w:t>
            </w:r>
            <w:r w:rsidR="006A77F2" w:rsidRPr="006A77F2">
              <w:rPr>
                <w:rFonts w:eastAsia="Calibri" w:cs="Arial"/>
                <w:iCs/>
                <w:highlight w:val="cyan"/>
              </w:rPr>
              <w:t>instalments</w:t>
            </w:r>
            <w:r w:rsidRPr="006A77F2">
              <w:rPr>
                <w:rFonts w:eastAsia="Calibri" w:cs="Arial"/>
                <w:iCs/>
                <w:highlight w:val="cyan"/>
              </w:rPr>
              <w:t xml:space="preserve"> of 28 x 1mg)</w:t>
            </w:r>
            <w:r w:rsidR="00410880" w:rsidRPr="006A77F2">
              <w:rPr>
                <w:rFonts w:eastAsia="Calibri" w:cs="Arial"/>
                <w:iCs/>
              </w:rPr>
              <w:t>.</w:t>
            </w:r>
          </w:p>
          <w:p w14:paraId="1023843F" w14:textId="110E9A1A" w:rsidR="00F45AEE" w:rsidRPr="006A77F2" w:rsidRDefault="00F45AEE" w:rsidP="0029797A">
            <w:pPr>
              <w:widowControl w:val="0"/>
              <w:spacing w:line="240" w:lineRule="auto"/>
              <w:rPr>
                <w:rFonts w:eastAsia="Calibri" w:cs="Arial"/>
                <w:iCs/>
              </w:rPr>
            </w:pPr>
            <w:r w:rsidRPr="006A77F2">
              <w:rPr>
                <w:vertAlign w:val="superscript"/>
              </w:rPr>
              <w:t xml:space="preserve">‡ </w:t>
            </w:r>
            <w:r w:rsidRPr="006A77F2">
              <w:rPr>
                <w:rFonts w:cs="Arial"/>
                <w:i/>
                <w:iCs/>
              </w:rPr>
              <w:t xml:space="preserve">If there are issues procuring the initiation packs, appropriately labelled packs containing 11 x 0.5mg tablets and 14 x 1mg tablets may be supplied. </w:t>
            </w:r>
          </w:p>
          <w:p w14:paraId="3D952A45" w14:textId="77777777" w:rsidR="00F45AEE" w:rsidRPr="006A77F2" w:rsidRDefault="00F45AEE" w:rsidP="0029797A">
            <w:pPr>
              <w:widowControl w:val="0"/>
              <w:spacing w:line="240" w:lineRule="auto"/>
              <w:rPr>
                <w:rFonts w:cs="Arial"/>
                <w:b/>
                <w:bCs/>
                <w:i/>
                <w:iCs/>
                <w:color w:val="FF0000"/>
                <w:u w:val="single"/>
              </w:rPr>
            </w:pPr>
            <w:r w:rsidRPr="006A77F2">
              <w:rPr>
                <w:rFonts w:cs="Arial"/>
                <w:b/>
                <w:bCs/>
                <w:i/>
                <w:iCs/>
                <w:u w:val="single"/>
              </w:rPr>
              <w:t>For the above regimen where higher dose (1mg twice daily) of varenicline is not tolerated and dose reduced to 1mg once daily:</w:t>
            </w:r>
            <w:r w:rsidRPr="006A77F2">
              <w:rPr>
                <w:rFonts w:cs="Arial"/>
                <w:b/>
                <w:bCs/>
                <w:i/>
                <w:iCs/>
                <w:color w:val="FF0000"/>
                <w:u w:val="single"/>
              </w:rPr>
              <w:t xml:space="preserve"> </w:t>
            </w:r>
          </w:p>
          <w:p w14:paraId="350132C3" w14:textId="36137C7A" w:rsidR="00F45AEE" w:rsidRPr="006A77F2" w:rsidRDefault="00F45AEE" w:rsidP="0029797A">
            <w:pPr>
              <w:widowControl w:val="0"/>
              <w:spacing w:line="240" w:lineRule="auto"/>
              <w:rPr>
                <w:rFonts w:eastAsia="Calibri" w:cs="Arial"/>
                <w:i/>
                <w:iCs/>
              </w:rPr>
            </w:pPr>
            <w:r w:rsidRPr="006A77F2">
              <w:rPr>
                <w:rFonts w:eastAsia="Calibri" w:cs="Arial"/>
                <w:i/>
                <w:iCs/>
              </w:rPr>
              <w:t xml:space="preserve">Appropriately labelled packs of 28 x 1mg tablets can be supplied in </w:t>
            </w:r>
            <w:r w:rsidR="006A77F2" w:rsidRPr="006A77F2">
              <w:rPr>
                <w:rFonts w:eastAsia="Calibri" w:cs="Arial"/>
                <w:i/>
                <w:iCs/>
              </w:rPr>
              <w:t>instalments</w:t>
            </w:r>
            <w:r w:rsidRPr="006A77F2">
              <w:rPr>
                <w:rFonts w:eastAsia="Calibri" w:cs="Arial"/>
                <w:i/>
                <w:iCs/>
              </w:rPr>
              <w:t xml:space="preserve"> to a total of either 12 weeks’ therapy (standard regimen) </w:t>
            </w:r>
            <w:r w:rsidRPr="006A77F2">
              <w:rPr>
                <w:rFonts w:eastAsia="Calibri" w:cs="Arial"/>
                <w:i/>
                <w:iCs/>
                <w:highlight w:val="cyan"/>
              </w:rPr>
              <w:t xml:space="preserve">(i.e. up to 3 </w:t>
            </w:r>
            <w:r w:rsidR="006A77F2" w:rsidRPr="006A77F2">
              <w:rPr>
                <w:rFonts w:eastAsia="Calibri" w:cs="Arial"/>
                <w:i/>
                <w:iCs/>
                <w:highlight w:val="cyan"/>
              </w:rPr>
              <w:t>instalments</w:t>
            </w:r>
            <w:r w:rsidRPr="006A77F2">
              <w:rPr>
                <w:rFonts w:eastAsia="Calibri" w:cs="Arial"/>
                <w:i/>
                <w:iCs/>
                <w:highlight w:val="cyan"/>
              </w:rPr>
              <w:t xml:space="preserve"> of 28 x 1mg tablets)</w:t>
            </w:r>
            <w:r w:rsidRPr="006A77F2">
              <w:rPr>
                <w:rFonts w:eastAsia="Calibri" w:cs="Arial"/>
                <w:i/>
                <w:iCs/>
              </w:rPr>
              <w:t xml:space="preserve"> </w:t>
            </w:r>
          </w:p>
          <w:p w14:paraId="0A053DE2" w14:textId="77777777" w:rsidR="00F45AEE" w:rsidRPr="006A77F2" w:rsidRDefault="00F45AEE" w:rsidP="0029797A">
            <w:pPr>
              <w:keepNext/>
              <w:spacing w:line="240" w:lineRule="auto"/>
              <w:rPr>
                <w:rFonts w:cs="Arial"/>
                <w:b/>
                <w:u w:val="single"/>
              </w:rPr>
            </w:pPr>
            <w:r w:rsidRPr="006A77F2">
              <w:rPr>
                <w:rFonts w:cs="Arial"/>
                <w:b/>
              </w:rPr>
              <w:lastRenderedPageBreak/>
              <w:t>For individuals with severe renal impairment (</w:t>
            </w:r>
            <w:proofErr w:type="spellStart"/>
            <w:r w:rsidRPr="006A77F2">
              <w:rPr>
                <w:rFonts w:cs="Arial"/>
                <w:b/>
              </w:rPr>
              <w:t>CrCl</w:t>
            </w:r>
            <w:proofErr w:type="spellEnd"/>
            <w:r w:rsidRPr="006A77F2">
              <w:rPr>
                <w:rFonts w:cs="Arial"/>
                <w:b/>
              </w:rPr>
              <w:t xml:space="preserve"> &lt; 30mL/min):</w:t>
            </w:r>
            <w:r w:rsidRPr="006A77F2">
              <w:rPr>
                <w:rFonts w:cs="Arial"/>
                <w:b/>
                <w:u w:val="single"/>
              </w:rPr>
              <w:t xml:space="preserve"> </w:t>
            </w:r>
          </w:p>
          <w:p w14:paraId="0623AED1"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Initiation (Days 1 to 3):</w:t>
            </w:r>
          </w:p>
          <w:p w14:paraId="21F645BE" w14:textId="77777777" w:rsidR="00F45AEE" w:rsidRPr="006A77F2" w:rsidRDefault="00F45AEE" w:rsidP="0029797A">
            <w:pPr>
              <w:widowControl w:val="0"/>
              <w:spacing w:line="240" w:lineRule="auto"/>
              <w:rPr>
                <w:rFonts w:eastAsia="Calibri" w:cs="Arial"/>
                <w:iCs/>
              </w:rPr>
            </w:pPr>
            <w:r w:rsidRPr="006A77F2">
              <w:rPr>
                <w:rFonts w:eastAsia="Calibri" w:cs="Arial"/>
                <w:iCs/>
              </w:rPr>
              <w:t xml:space="preserve">Appropriately labelled pack containing 3 x 0.5mg tablets </w:t>
            </w:r>
          </w:p>
          <w:p w14:paraId="7FDE5E3D" w14:textId="77777777" w:rsidR="00F45AEE" w:rsidRPr="006A77F2" w:rsidRDefault="00F45AEE" w:rsidP="0029797A">
            <w:pPr>
              <w:widowControl w:val="0"/>
              <w:numPr>
                <w:ilvl w:val="0"/>
                <w:numId w:val="23"/>
              </w:numPr>
              <w:spacing w:after="0" w:line="240" w:lineRule="auto"/>
              <w:textboxTightWrap w:val="none"/>
              <w:rPr>
                <w:rFonts w:eastAsia="Calibri" w:cs="Arial"/>
                <w:b/>
                <w:iCs/>
                <w:u w:val="single"/>
              </w:rPr>
            </w:pPr>
            <w:r w:rsidRPr="006A77F2">
              <w:rPr>
                <w:rFonts w:eastAsia="Calibri" w:cs="Arial"/>
                <w:b/>
                <w:iCs/>
                <w:u w:val="single"/>
              </w:rPr>
              <w:t>Maintenance (Day 4 onwards):</w:t>
            </w:r>
          </w:p>
          <w:p w14:paraId="6F6D18AA" w14:textId="66980C98" w:rsidR="00F45AEE" w:rsidRPr="006A77F2" w:rsidRDefault="00F45AEE" w:rsidP="0029797A">
            <w:pPr>
              <w:widowControl w:val="0"/>
              <w:spacing w:line="240" w:lineRule="auto"/>
              <w:rPr>
                <w:rFonts w:eastAsia="Calibri" w:cs="Arial"/>
                <w:iCs/>
              </w:rPr>
            </w:pPr>
            <w:r w:rsidRPr="006A77F2">
              <w:rPr>
                <w:rFonts w:eastAsia="Calibri" w:cs="Arial"/>
                <w:iCs/>
              </w:rPr>
              <w:t xml:space="preserve">Appropriately labelled packs of 28 x 1mg tablets can be supplied in </w:t>
            </w:r>
            <w:r w:rsidR="006A77F2" w:rsidRPr="006A77F2">
              <w:rPr>
                <w:rFonts w:eastAsia="Calibri" w:cs="Arial"/>
                <w:iCs/>
              </w:rPr>
              <w:t>instalments</w:t>
            </w:r>
            <w:r w:rsidRPr="006A77F2">
              <w:rPr>
                <w:rFonts w:eastAsia="Calibri" w:cs="Arial"/>
                <w:iCs/>
              </w:rPr>
              <w:t xml:space="preserve"> to a total of either 12 weeks’ therapy (standard regimen) </w:t>
            </w:r>
            <w:r w:rsidRPr="006A77F2">
              <w:rPr>
                <w:rFonts w:eastAsia="Calibri" w:cs="Arial"/>
                <w:iCs/>
                <w:highlight w:val="cyan"/>
              </w:rPr>
              <w:t xml:space="preserve">(i.e. 3 </w:t>
            </w:r>
            <w:r w:rsidR="006A77F2" w:rsidRPr="006A77F2">
              <w:rPr>
                <w:rFonts w:eastAsia="Calibri" w:cs="Arial"/>
                <w:iCs/>
                <w:highlight w:val="cyan"/>
              </w:rPr>
              <w:t>instalments</w:t>
            </w:r>
            <w:r w:rsidRPr="006A77F2">
              <w:rPr>
                <w:rFonts w:eastAsia="Calibri" w:cs="Arial"/>
                <w:iCs/>
                <w:highlight w:val="cyan"/>
              </w:rPr>
              <w:t xml:space="preserve"> of 28 x 1mg tablets)</w:t>
            </w:r>
            <w:r w:rsidRPr="006A77F2">
              <w:rPr>
                <w:rFonts w:eastAsia="Calibri" w:cs="Arial"/>
                <w:iCs/>
              </w:rPr>
              <w:t xml:space="preserve"> </w:t>
            </w:r>
          </w:p>
          <w:p w14:paraId="48329F5D" w14:textId="26CC4137" w:rsidR="00F45AEE" w:rsidRPr="006A77F2" w:rsidRDefault="00F45AEE" w:rsidP="0029797A">
            <w:pPr>
              <w:numPr>
                <w:ilvl w:val="0"/>
                <w:numId w:val="6"/>
              </w:numPr>
              <w:overflowPunct w:val="0"/>
              <w:autoSpaceDE w:val="0"/>
              <w:autoSpaceDN w:val="0"/>
              <w:adjustRightInd w:val="0"/>
              <w:spacing w:after="160" w:line="240" w:lineRule="auto"/>
              <w:contextualSpacing/>
              <w:textAlignment w:val="baseline"/>
              <w:textboxTightWrap w:val="none"/>
              <w:rPr>
                <w:rFonts w:cs="Arial"/>
              </w:rPr>
            </w:pPr>
            <w:r w:rsidRPr="006A77F2">
              <w:rPr>
                <w:rFonts w:eastAsia="Calibri" w:cs="Arial"/>
                <w:b/>
                <w:bCs/>
                <w:iCs/>
              </w:rPr>
              <w:t>Tapering dose (for individuals at high risk of relapse and experiencing side effects)</w:t>
            </w:r>
            <w:r w:rsidRPr="006A77F2">
              <w:rPr>
                <w:rFonts w:eastAsia="Calibri" w:cs="Arial"/>
                <w:iCs/>
              </w:rPr>
              <w:t xml:space="preserve">: </w:t>
            </w:r>
            <w:r w:rsidRPr="006A77F2">
              <w:rPr>
                <w:rFonts w:eastAsia="Calibri" w:cs="Arial"/>
              </w:rPr>
              <w:t xml:space="preserve"> Supply </w:t>
            </w:r>
            <w:r w:rsidR="00E40EBB" w:rsidRPr="006A77F2">
              <w:rPr>
                <w:rFonts w:eastAsia="Calibri" w:cs="Arial"/>
              </w:rPr>
              <w:t xml:space="preserve">is </w:t>
            </w:r>
            <w:r w:rsidRPr="006A77F2">
              <w:rPr>
                <w:rFonts w:eastAsia="Calibri" w:cs="Arial"/>
              </w:rPr>
              <w:t xml:space="preserve">not permitted under this PGD: refer </w:t>
            </w:r>
            <w:r w:rsidR="007C040A" w:rsidRPr="006A77F2">
              <w:rPr>
                <w:rFonts w:eastAsia="Calibri" w:cs="Arial"/>
              </w:rPr>
              <w:t xml:space="preserve">the individual </w:t>
            </w:r>
            <w:r w:rsidRPr="006A77F2">
              <w:rPr>
                <w:rFonts w:eastAsia="Calibri" w:cs="Arial"/>
                <w:iCs/>
              </w:rPr>
              <w:t xml:space="preserve">to </w:t>
            </w:r>
            <w:r w:rsidR="00D002FE" w:rsidRPr="006A77F2">
              <w:rPr>
                <w:rFonts w:eastAsia="Calibri" w:cs="Arial"/>
              </w:rPr>
              <w:t>the locally commissioned tobacco dependence service, their</w:t>
            </w:r>
            <w:r w:rsidR="00D002FE" w:rsidRPr="006A77F2">
              <w:rPr>
                <w:rFonts w:eastAsia="Calibri" w:cs="Arial"/>
                <w:i/>
                <w:iCs/>
              </w:rPr>
              <w:t xml:space="preserve"> </w:t>
            </w:r>
            <w:r w:rsidRPr="006A77F2">
              <w:rPr>
                <w:rFonts w:eastAsia="Calibri" w:cs="Arial"/>
                <w:iCs/>
              </w:rPr>
              <w:t>GP Practice or other appropriate specialist for consideration of further/tapering doses</w:t>
            </w:r>
          </w:p>
          <w:p w14:paraId="1ED77C4A" w14:textId="77777777" w:rsidR="00C21B84" w:rsidRPr="006A77F2" w:rsidRDefault="00C21B84" w:rsidP="00C21B84">
            <w:pPr>
              <w:overflowPunct w:val="0"/>
              <w:autoSpaceDE w:val="0"/>
              <w:autoSpaceDN w:val="0"/>
              <w:adjustRightInd w:val="0"/>
              <w:spacing w:after="160" w:line="240" w:lineRule="auto"/>
              <w:contextualSpacing/>
              <w:textAlignment w:val="baseline"/>
              <w:textboxTightWrap w:val="none"/>
              <w:rPr>
                <w:rFonts w:cs="Arial"/>
              </w:rPr>
            </w:pPr>
          </w:p>
          <w:p w14:paraId="1A84A1F4" w14:textId="77777777" w:rsidR="00C21B84" w:rsidRPr="006A77F2" w:rsidRDefault="00C21B84" w:rsidP="00C21B84">
            <w:p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Each supply of Varen</w:t>
            </w:r>
            <w:r w:rsidR="008E05C6" w:rsidRPr="006A77F2">
              <w:rPr>
                <w:rFonts w:cs="Arial"/>
              </w:rPr>
              <w:t xml:space="preserve">icline requires the pharmacist or pharmacy technician to </w:t>
            </w:r>
            <w:r w:rsidR="000106A5" w:rsidRPr="006A77F2">
              <w:rPr>
                <w:rFonts w:cs="Arial"/>
              </w:rPr>
              <w:t>ensure the patient meet the inclusion criteria and none of the exclusion criteria for a</w:t>
            </w:r>
            <w:r w:rsidR="00F64119" w:rsidRPr="006A77F2">
              <w:rPr>
                <w:rFonts w:cs="Arial"/>
              </w:rPr>
              <w:t xml:space="preserve"> further</w:t>
            </w:r>
            <w:r w:rsidR="000106A5" w:rsidRPr="006A77F2">
              <w:rPr>
                <w:rFonts w:cs="Arial"/>
              </w:rPr>
              <w:t xml:space="preserve"> supply to be made, See</w:t>
            </w:r>
            <w:r w:rsidR="003F3717" w:rsidRPr="006A77F2">
              <w:rPr>
                <w:rFonts w:cs="Arial"/>
              </w:rPr>
              <w:t xml:space="preserve"> </w:t>
            </w:r>
            <w:hyperlink r:id="rId27" w:history="1">
              <w:r w:rsidR="003F3717" w:rsidRPr="006A77F2">
                <w:rPr>
                  <w:rStyle w:val="Hyperlink"/>
                  <w:rFonts w:ascii="Arial" w:hAnsi="Arial" w:cs="Arial"/>
                </w:rPr>
                <w:t>https://www.sps.nhs.uk/articles/repeat-supply-or-administration-of-medicines-under-pgd/</w:t>
              </w:r>
            </w:hyperlink>
            <w:r w:rsidR="003F3717" w:rsidRPr="006A77F2">
              <w:rPr>
                <w:rFonts w:cs="Arial"/>
              </w:rPr>
              <w:t xml:space="preserve"> </w:t>
            </w:r>
          </w:p>
          <w:p w14:paraId="32BB0CAA" w14:textId="77777777" w:rsidR="0095044D" w:rsidRPr="006A77F2" w:rsidRDefault="0095044D" w:rsidP="00C21B84">
            <w:pPr>
              <w:overflowPunct w:val="0"/>
              <w:autoSpaceDE w:val="0"/>
              <w:autoSpaceDN w:val="0"/>
              <w:adjustRightInd w:val="0"/>
              <w:spacing w:after="160" w:line="240" w:lineRule="auto"/>
              <w:contextualSpacing/>
              <w:textAlignment w:val="baseline"/>
              <w:textboxTightWrap w:val="none"/>
              <w:rPr>
                <w:rFonts w:cs="Arial"/>
              </w:rPr>
            </w:pPr>
          </w:p>
          <w:p w14:paraId="2B7186C1" w14:textId="4347A52C" w:rsidR="002A6BD6" w:rsidRPr="006A77F2" w:rsidRDefault="0095044D" w:rsidP="008B5090">
            <w:p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For individuals who have successfully stopped smoking at the end of 12 weeks, but require additional support</w:t>
            </w:r>
            <w:r w:rsidR="00791676" w:rsidRPr="006A77F2">
              <w:rPr>
                <w:rFonts w:cs="Arial"/>
              </w:rPr>
              <w:t>,</w:t>
            </w:r>
            <w:r w:rsidR="002A6BD6" w:rsidRPr="006A77F2">
              <w:rPr>
                <w:rFonts w:eastAsia="Calibri" w:cs="Arial"/>
              </w:rPr>
              <w:t xml:space="preserve"> </w:t>
            </w:r>
            <w:r w:rsidR="00791676" w:rsidRPr="006A77F2">
              <w:rPr>
                <w:rFonts w:eastAsia="Calibri" w:cs="Arial"/>
              </w:rPr>
              <w:t>f</w:t>
            </w:r>
            <w:r w:rsidR="008B5090" w:rsidRPr="006A77F2">
              <w:rPr>
                <w:rFonts w:eastAsia="Calibri" w:cs="Arial"/>
              </w:rPr>
              <w:t>urther s</w:t>
            </w:r>
            <w:r w:rsidR="002A6BD6" w:rsidRPr="006A77F2">
              <w:rPr>
                <w:rFonts w:cs="Arial"/>
              </w:rPr>
              <w:t>upply</w:t>
            </w:r>
            <w:r w:rsidR="008B5090" w:rsidRPr="006A77F2">
              <w:rPr>
                <w:rFonts w:cs="Arial"/>
              </w:rPr>
              <w:t xml:space="preserve"> is</w:t>
            </w:r>
            <w:r w:rsidR="002A6BD6" w:rsidRPr="006A77F2">
              <w:rPr>
                <w:rFonts w:cs="Arial"/>
              </w:rPr>
              <w:t xml:space="preserve"> not permitted under this PGD</w:t>
            </w:r>
            <w:r w:rsidR="00791676" w:rsidRPr="006A77F2">
              <w:rPr>
                <w:rFonts w:cs="Arial"/>
              </w:rPr>
              <w:t>. R</w:t>
            </w:r>
            <w:r w:rsidR="002A6BD6" w:rsidRPr="006A77F2">
              <w:rPr>
                <w:rFonts w:cs="Arial"/>
              </w:rPr>
              <w:t xml:space="preserve">efer the individual </w:t>
            </w:r>
            <w:r w:rsidR="002A6BD6" w:rsidRPr="006A77F2">
              <w:rPr>
                <w:rFonts w:cs="Arial"/>
                <w:iCs/>
              </w:rPr>
              <w:t xml:space="preserve">to </w:t>
            </w:r>
            <w:r w:rsidR="002A6BD6" w:rsidRPr="006A77F2">
              <w:rPr>
                <w:rFonts w:cs="Arial"/>
              </w:rPr>
              <w:t>the locally commissioned tobacco dependence service, their</w:t>
            </w:r>
            <w:r w:rsidR="002A6BD6" w:rsidRPr="006A77F2">
              <w:rPr>
                <w:rFonts w:cs="Arial"/>
                <w:i/>
                <w:iCs/>
              </w:rPr>
              <w:t xml:space="preserve"> </w:t>
            </w:r>
            <w:r w:rsidR="002A6BD6" w:rsidRPr="006A77F2">
              <w:rPr>
                <w:rFonts w:cs="Arial"/>
                <w:iCs/>
              </w:rPr>
              <w:t>GP Practice or other appropriate specialist for consideration of further doses.</w:t>
            </w:r>
          </w:p>
          <w:p w14:paraId="7A44F9CC" w14:textId="5884AA10" w:rsidR="0095044D" w:rsidRPr="006A77F2" w:rsidRDefault="002A6BD6" w:rsidP="00C21B84">
            <w:pPr>
              <w:overflowPunct w:val="0"/>
              <w:autoSpaceDE w:val="0"/>
              <w:autoSpaceDN w:val="0"/>
              <w:adjustRightInd w:val="0"/>
              <w:spacing w:after="160" w:line="240" w:lineRule="auto"/>
              <w:contextualSpacing/>
              <w:textAlignment w:val="baseline"/>
              <w:textboxTightWrap w:val="none"/>
              <w:rPr>
                <w:rFonts w:cs="Arial"/>
              </w:rPr>
            </w:pPr>
            <w:r w:rsidRPr="006A77F2">
              <w:rPr>
                <w:rFonts w:cs="Arial"/>
              </w:rPr>
              <w:t xml:space="preserve"> </w:t>
            </w:r>
          </w:p>
        </w:tc>
      </w:tr>
      <w:tr w:rsidR="00F45AEE" w:rsidRPr="006A77F2" w14:paraId="73777829" w14:textId="77777777" w:rsidTr="0080528C">
        <w:tc>
          <w:tcPr>
            <w:tcW w:w="3403" w:type="dxa"/>
            <w:shd w:val="clear" w:color="auto" w:fill="BFBFBF" w:themeFill="text1" w:themeFillShade="BF"/>
          </w:tcPr>
          <w:p w14:paraId="11515467" w14:textId="5C173A24" w:rsidR="00F45AEE" w:rsidRPr="006A77F2" w:rsidRDefault="00ED7341" w:rsidP="00F45AEE">
            <w:pPr>
              <w:overflowPunct w:val="0"/>
              <w:autoSpaceDE w:val="0"/>
              <w:autoSpaceDN w:val="0"/>
              <w:adjustRightInd w:val="0"/>
              <w:spacing w:before="60" w:after="60"/>
              <w:textAlignment w:val="baseline"/>
              <w:rPr>
                <w:rFonts w:cs="Arial"/>
                <w:b/>
              </w:rPr>
            </w:pPr>
            <w:r w:rsidRPr="006A77F2">
              <w:rPr>
                <w:rFonts w:cs="Arial"/>
                <w:b/>
                <w:sz w:val="22"/>
                <w:szCs w:val="22"/>
              </w:rPr>
              <w:lastRenderedPageBreak/>
              <w:t>Storage</w:t>
            </w:r>
          </w:p>
        </w:tc>
        <w:tc>
          <w:tcPr>
            <w:tcW w:w="6945" w:type="dxa"/>
          </w:tcPr>
          <w:p w14:paraId="781FB534" w14:textId="786D3D33" w:rsidR="00F45AEE" w:rsidRPr="006A77F2" w:rsidRDefault="00BE6421" w:rsidP="0029797A">
            <w:pPr>
              <w:widowControl w:val="0"/>
              <w:spacing w:line="240" w:lineRule="auto"/>
              <w:rPr>
                <w:rFonts w:eastAsia="Calibri" w:cs="Arial"/>
              </w:rPr>
            </w:pPr>
            <w:r w:rsidRPr="006A77F2">
              <w:rPr>
                <w:rFonts w:cs="Arial"/>
                <w:bCs/>
                <w:iCs/>
              </w:rPr>
              <w:t xml:space="preserve">Stock must be securely stored according to </w:t>
            </w:r>
            <w:r w:rsidR="00282708" w:rsidRPr="006A77F2">
              <w:rPr>
                <w:rFonts w:cs="Arial"/>
                <w:bCs/>
                <w:iCs/>
              </w:rPr>
              <w:t xml:space="preserve">the </w:t>
            </w:r>
            <w:r w:rsidRPr="006A77F2">
              <w:rPr>
                <w:rFonts w:cs="Arial"/>
                <w:bCs/>
                <w:iCs/>
              </w:rPr>
              <w:t>organisation</w:t>
            </w:r>
            <w:r w:rsidR="00282708" w:rsidRPr="006A77F2">
              <w:rPr>
                <w:rFonts w:cs="Arial"/>
                <w:bCs/>
                <w:iCs/>
              </w:rPr>
              <w:t>’s</w:t>
            </w:r>
            <w:r w:rsidRPr="006A77F2">
              <w:rPr>
                <w:rFonts w:cs="Arial"/>
                <w:bCs/>
                <w:iCs/>
              </w:rPr>
              <w:t xml:space="preserve"> medicines policy and conditions in line with </w:t>
            </w:r>
            <w:r w:rsidR="006566CF" w:rsidRPr="006A77F2">
              <w:rPr>
                <w:rFonts w:cs="Arial"/>
                <w:bCs/>
                <w:iCs/>
              </w:rPr>
              <w:t xml:space="preserve">the </w:t>
            </w:r>
            <w:r w:rsidRPr="006A77F2">
              <w:rPr>
                <w:rFonts w:cs="Arial"/>
                <w:bCs/>
                <w:iCs/>
              </w:rPr>
              <w:t xml:space="preserve">SPC, which is available from the </w:t>
            </w:r>
            <w:hyperlink r:id="rId28" w:history="1">
              <w:r w:rsidR="0029797A" w:rsidRPr="006A77F2">
                <w:rPr>
                  <w:rFonts w:cs="Arial"/>
                  <w:bCs/>
                  <w:iCs/>
                  <w:color w:val="0000FF"/>
                  <w:u w:val="single"/>
                </w:rPr>
                <w:t>E</w:t>
              </w:r>
              <w:r w:rsidRPr="006A77F2">
                <w:rPr>
                  <w:rFonts w:cs="Arial"/>
                  <w:bCs/>
                  <w:iCs/>
                  <w:color w:val="0000FF"/>
                  <w:u w:val="single"/>
                </w:rPr>
                <w:t>lectronic Medicines Compendium website</w:t>
              </w:r>
            </w:hyperlink>
          </w:p>
        </w:tc>
      </w:tr>
      <w:tr w:rsidR="002B6D5E" w:rsidRPr="006A77F2" w14:paraId="34C4D001" w14:textId="77777777" w:rsidTr="0080528C">
        <w:tc>
          <w:tcPr>
            <w:tcW w:w="3403" w:type="dxa"/>
            <w:shd w:val="clear" w:color="auto" w:fill="BFBFBF" w:themeFill="text1" w:themeFillShade="BF"/>
          </w:tcPr>
          <w:p w14:paraId="236D470F" w14:textId="77777777" w:rsidR="002B6D5E" w:rsidRPr="006A77F2" w:rsidRDefault="002B6D5E" w:rsidP="002B6D5E">
            <w:pPr>
              <w:overflowPunct w:val="0"/>
              <w:autoSpaceDE w:val="0"/>
              <w:autoSpaceDN w:val="0"/>
              <w:adjustRightInd w:val="0"/>
              <w:spacing w:before="60" w:after="60"/>
              <w:textAlignment w:val="baseline"/>
              <w:rPr>
                <w:rFonts w:cs="Arial"/>
                <w:b/>
                <w:vertAlign w:val="superscript"/>
              </w:rPr>
            </w:pPr>
            <w:r w:rsidRPr="006A77F2">
              <w:rPr>
                <w:rFonts w:cs="Arial"/>
                <w:b/>
              </w:rPr>
              <w:t>Drug interactions</w:t>
            </w:r>
          </w:p>
        </w:tc>
        <w:tc>
          <w:tcPr>
            <w:tcW w:w="6945" w:type="dxa"/>
          </w:tcPr>
          <w:p w14:paraId="072E5DDD" w14:textId="77777777" w:rsidR="002B6D5E" w:rsidRPr="006A77F2" w:rsidRDefault="002B6D5E" w:rsidP="0029797A">
            <w:pPr>
              <w:widowControl w:val="0"/>
              <w:spacing w:line="240" w:lineRule="auto"/>
              <w:rPr>
                <w:rFonts w:cs="Arial"/>
                <w:b/>
                <w:bCs/>
              </w:rPr>
            </w:pPr>
            <w:r w:rsidRPr="006A77F2">
              <w:rPr>
                <w:rFonts w:cs="Arial"/>
                <w:b/>
                <w:bCs/>
              </w:rPr>
              <w:t>Drug-drug interactions:</w:t>
            </w:r>
          </w:p>
          <w:p w14:paraId="7AA36C5E" w14:textId="566A8A42" w:rsidR="00AC1F84" w:rsidRPr="006A77F2" w:rsidRDefault="00AC1F84" w:rsidP="0029797A">
            <w:pPr>
              <w:widowControl w:val="0"/>
              <w:spacing w:line="240" w:lineRule="auto"/>
              <w:rPr>
                <w:rFonts w:cs="Arial"/>
              </w:rPr>
            </w:pPr>
            <w:r w:rsidRPr="006A77F2">
              <w:rPr>
                <w:rFonts w:cs="Arial"/>
              </w:rPr>
              <w:t>Whilst the product SPC states that no clinically significant drug–drug interactions exist with varenicline, all concurrent medications must be reviewed for potential interactions in case of updated SPC guidance. If a clinically significant interaction is identified, the individual should be referred to an appropriate clinician to assess treatment suitability.</w:t>
            </w:r>
          </w:p>
          <w:p w14:paraId="3A4DA7F9" w14:textId="2FC087C8" w:rsidR="002B6D5E" w:rsidRPr="006A77F2" w:rsidRDefault="002B6D5E" w:rsidP="0029797A">
            <w:pPr>
              <w:widowControl w:val="0"/>
              <w:spacing w:line="240" w:lineRule="auto"/>
              <w:rPr>
                <w:rFonts w:eastAsia="Arial" w:cs="Arial"/>
                <w:b/>
                <w:i/>
                <w:color w:val="0000FF"/>
                <w:u w:val="single"/>
              </w:rPr>
            </w:pPr>
            <w:r w:rsidRPr="006A77F2">
              <w:rPr>
                <w:rFonts w:eastAsia="Calibri" w:cs="Arial"/>
              </w:rPr>
              <w:t xml:space="preserve">A detailed list of drug interactions is available in the SPC, which is available from the </w:t>
            </w:r>
            <w:hyperlink r:id="rId29" w:history="1">
              <w:r w:rsidR="004A60E6" w:rsidRPr="006A77F2">
                <w:rPr>
                  <w:rFonts w:eastAsia="Calibri" w:cs="Arial"/>
                  <w:color w:val="0000FF"/>
                  <w:u w:val="single"/>
                </w:rPr>
                <w:t>E</w:t>
              </w:r>
              <w:r w:rsidRPr="006A77F2">
                <w:rPr>
                  <w:rFonts w:eastAsia="Calibri" w:cs="Arial"/>
                  <w:color w:val="0000FF"/>
                  <w:u w:val="single"/>
                </w:rPr>
                <w:t xml:space="preserve">lectronic Medicines Compendium </w:t>
              </w:r>
              <w:r w:rsidRPr="006A77F2">
                <w:rPr>
                  <w:rFonts w:eastAsia="Calibri" w:cs="Arial"/>
                  <w:color w:val="0000FF"/>
                  <w:u w:val="single"/>
                </w:rPr>
                <w:lastRenderedPageBreak/>
                <w:t>website</w:t>
              </w:r>
            </w:hyperlink>
            <w:r w:rsidRPr="006A77F2">
              <w:rPr>
                <w:rFonts w:eastAsia="Calibri" w:cs="Arial"/>
              </w:rPr>
              <w:t xml:space="preserve"> </w:t>
            </w:r>
          </w:p>
          <w:p w14:paraId="5031C32A" w14:textId="77777777" w:rsidR="002B6D5E" w:rsidRPr="006A77F2" w:rsidRDefault="002B6D5E" w:rsidP="0029797A">
            <w:pPr>
              <w:widowControl w:val="0"/>
              <w:spacing w:line="240" w:lineRule="auto"/>
              <w:rPr>
                <w:rFonts w:eastAsia="Calibri" w:cs="Arial"/>
                <w:b/>
                <w:bCs/>
                <w:iCs/>
              </w:rPr>
            </w:pPr>
            <w:r w:rsidRPr="006A77F2">
              <w:rPr>
                <w:rFonts w:eastAsia="Calibri" w:cs="Arial"/>
                <w:b/>
                <w:bCs/>
                <w:iCs/>
              </w:rPr>
              <w:t>Drug-smoking interactions:</w:t>
            </w:r>
          </w:p>
          <w:p w14:paraId="78920801" w14:textId="762014A3" w:rsidR="002B6D5E" w:rsidRPr="006A77F2" w:rsidRDefault="002B6D5E" w:rsidP="0029797A">
            <w:pPr>
              <w:widowControl w:val="0"/>
              <w:spacing w:line="240" w:lineRule="auto"/>
              <w:rPr>
                <w:rFonts w:eastAsia="Calibri" w:cs="Arial"/>
                <w:iCs/>
              </w:rPr>
            </w:pPr>
            <w:r w:rsidRPr="006A77F2">
              <w:rPr>
                <w:rFonts w:eastAsia="Calibri" w:cs="Arial"/>
                <w:iCs/>
              </w:rPr>
              <w:t>Physiological changes resulting from smoking cessation, with or without treatment with varenicline</w:t>
            </w:r>
            <w:r w:rsidR="007E6D61" w:rsidRPr="006A77F2">
              <w:rPr>
                <w:rFonts w:eastAsia="Calibri" w:cs="Arial"/>
                <w:iCs/>
              </w:rPr>
              <w:t>,</w:t>
            </w:r>
            <w:r w:rsidRPr="006A77F2">
              <w:rPr>
                <w:rFonts w:eastAsia="Calibri" w:cs="Arial"/>
                <w:iCs/>
              </w:rPr>
              <w:t xml:space="preserve"> may alter the pharmacokinetics or pharmacodynamics of some medicinal products for which dosage adjustment may be necessary. As smoking induces CYP1A2, smoking cessation may result in an increase of plasma levels of CYP1A2 substrates. </w:t>
            </w:r>
          </w:p>
          <w:p w14:paraId="51496E99" w14:textId="64E9F9D7" w:rsidR="002B6D5E" w:rsidRPr="006A77F2" w:rsidRDefault="002B6D5E" w:rsidP="0029797A">
            <w:pPr>
              <w:widowControl w:val="0"/>
              <w:spacing w:line="240" w:lineRule="auto"/>
              <w:rPr>
                <w:rFonts w:eastAsia="Calibri" w:cs="Arial"/>
                <w:iCs/>
              </w:rPr>
            </w:pPr>
            <w:r w:rsidRPr="006A77F2">
              <w:rPr>
                <w:rFonts w:eastAsia="Calibri" w:cs="Arial"/>
                <w:iCs/>
              </w:rPr>
              <w:t xml:space="preserve">Refer to </w:t>
            </w:r>
            <w:hyperlink w:anchor="Cautions" w:history="1">
              <w:r w:rsidRPr="006A77F2">
                <w:rPr>
                  <w:rStyle w:val="Hyperlink"/>
                  <w:rFonts w:eastAsia="Calibri" w:cs="Arial"/>
                  <w:iCs/>
                </w:rPr>
                <w:t>Cautions</w:t>
              </w:r>
            </w:hyperlink>
            <w:r w:rsidRPr="006A77F2">
              <w:rPr>
                <w:rFonts w:eastAsia="Calibri" w:cs="Arial"/>
                <w:iCs/>
              </w:rPr>
              <w:t xml:space="preserve"> section for specific advice.</w:t>
            </w:r>
          </w:p>
          <w:p w14:paraId="0924BCC0" w14:textId="77777777" w:rsidR="002B6D5E" w:rsidRPr="006A77F2" w:rsidRDefault="002B6D5E" w:rsidP="0029797A">
            <w:pPr>
              <w:widowControl w:val="0"/>
              <w:spacing w:line="240" w:lineRule="auto"/>
              <w:rPr>
                <w:rFonts w:eastAsia="Calibri" w:cs="Arial"/>
                <w:iCs/>
              </w:rPr>
            </w:pPr>
            <w:r w:rsidRPr="006A77F2">
              <w:rPr>
                <w:rFonts w:eastAsia="Calibri" w:cs="Arial"/>
                <w:iCs/>
              </w:rPr>
              <w:t>For further advice see:</w:t>
            </w:r>
          </w:p>
          <w:p w14:paraId="6169CB12" w14:textId="77777777" w:rsidR="002B6D5E" w:rsidRPr="006A77F2" w:rsidRDefault="002B6D5E" w:rsidP="0029797A">
            <w:pPr>
              <w:widowControl w:val="0"/>
              <w:spacing w:line="240" w:lineRule="auto"/>
              <w:rPr>
                <w:rFonts w:eastAsia="Calibri" w:cs="Arial"/>
                <w:iCs/>
              </w:rPr>
            </w:pPr>
            <w:hyperlink r:id="rId30" w:history="1">
              <w:r w:rsidRPr="006A77F2">
                <w:rPr>
                  <w:rStyle w:val="Hyperlink"/>
                  <w:rFonts w:eastAsia="Calibri" w:cs="Arial"/>
                  <w:iCs/>
                </w:rPr>
                <w:t>Considering drug interactions with smoking</w:t>
              </w:r>
            </w:hyperlink>
          </w:p>
          <w:p w14:paraId="4A367CE2" w14:textId="021A410B" w:rsidR="002B6D5E" w:rsidRPr="006A77F2" w:rsidRDefault="002B6D5E" w:rsidP="0029797A">
            <w:pPr>
              <w:widowControl w:val="0"/>
              <w:spacing w:line="240" w:lineRule="auto"/>
              <w:rPr>
                <w:rFonts w:eastAsia="Calibri" w:cs="Arial"/>
                <w:iCs/>
              </w:rPr>
            </w:pPr>
            <w:hyperlink r:id="rId31" w:history="1">
              <w:r w:rsidRPr="006A77F2">
                <w:rPr>
                  <w:rStyle w:val="Hyperlink"/>
                  <w:rFonts w:eastAsia="Calibri" w:cs="Arial"/>
                  <w:iCs/>
                </w:rPr>
                <w:t>Managing specific interactions with smoking</w:t>
              </w:r>
            </w:hyperlink>
          </w:p>
          <w:p w14:paraId="1F0F9B48" w14:textId="7D7EC32F" w:rsidR="002B6D5E" w:rsidRPr="006A77F2" w:rsidRDefault="002B6D5E" w:rsidP="0029797A">
            <w:pPr>
              <w:widowControl w:val="0"/>
              <w:spacing w:line="240" w:lineRule="auto"/>
              <w:rPr>
                <w:rFonts w:eastAsia="Calibri" w:cs="Arial"/>
              </w:rPr>
            </w:pPr>
            <w:r w:rsidRPr="006A77F2">
              <w:rPr>
                <w:rFonts w:eastAsia="Calibri" w:cs="Arial"/>
                <w:iCs/>
              </w:rPr>
              <w:t xml:space="preserve">Individuals should be reviewed at each </w:t>
            </w:r>
            <w:r w:rsidR="008E5FBF" w:rsidRPr="006A77F2">
              <w:rPr>
                <w:rFonts w:eastAsia="Calibri" w:cs="Arial"/>
                <w:iCs/>
              </w:rPr>
              <w:t xml:space="preserve">consultation </w:t>
            </w:r>
            <w:r w:rsidRPr="006A77F2">
              <w:rPr>
                <w:rFonts w:eastAsia="Calibri" w:cs="Arial"/>
                <w:iCs/>
              </w:rPr>
              <w:t>to ensure that any relevant monitoring has been carried out by the individual/their healthcare professional noting specifically the detail given in</w:t>
            </w:r>
            <w:r w:rsidR="00553B35" w:rsidRPr="006A77F2">
              <w:rPr>
                <w:rFonts w:eastAsia="Calibri" w:cs="Arial"/>
                <w:iCs/>
              </w:rPr>
              <w:t xml:space="preserve"> the</w:t>
            </w:r>
            <w:r w:rsidRPr="006A77F2">
              <w:rPr>
                <w:rFonts w:eastAsia="Calibri" w:cs="Arial"/>
                <w:iCs/>
              </w:rPr>
              <w:t xml:space="preserve"> </w:t>
            </w:r>
            <w:hyperlink w:anchor="Cautions" w:history="1">
              <w:r w:rsidRPr="006A77F2">
                <w:rPr>
                  <w:rStyle w:val="Hyperlink"/>
                  <w:rFonts w:eastAsia="Calibri" w:cs="Arial"/>
                  <w:iCs/>
                </w:rPr>
                <w:t>Cautions</w:t>
              </w:r>
            </w:hyperlink>
            <w:r w:rsidRPr="006A77F2">
              <w:rPr>
                <w:rFonts w:eastAsia="Calibri" w:cs="Arial"/>
                <w:iCs/>
              </w:rPr>
              <w:t xml:space="preserve"> section, </w:t>
            </w:r>
            <w:hyperlink w:anchor="appendixB" w:history="1">
              <w:r w:rsidRPr="006A77F2">
                <w:rPr>
                  <w:rStyle w:val="Hyperlink"/>
                  <w:rFonts w:eastAsia="Calibri" w:cs="Arial"/>
                  <w:iCs/>
                </w:rPr>
                <w:t>Appendix B</w:t>
              </w:r>
            </w:hyperlink>
            <w:r w:rsidRPr="006A77F2">
              <w:rPr>
                <w:rFonts w:eastAsia="Calibri" w:cs="Arial"/>
                <w:iCs/>
              </w:rPr>
              <w:t xml:space="preserve"> and </w:t>
            </w:r>
            <w:hyperlink w:anchor="appendixc" w:history="1">
              <w:r w:rsidRPr="006A77F2">
                <w:rPr>
                  <w:rStyle w:val="Hyperlink"/>
                  <w:rFonts w:eastAsia="Calibri" w:cs="Arial"/>
                  <w:iCs/>
                </w:rPr>
                <w:t>Appendix C</w:t>
              </w:r>
            </w:hyperlink>
            <w:r w:rsidRPr="006A77F2">
              <w:rPr>
                <w:rFonts w:eastAsia="Calibri" w:cs="Arial"/>
                <w:iCs/>
              </w:rPr>
              <w:t>.</w:t>
            </w:r>
          </w:p>
        </w:tc>
      </w:tr>
      <w:tr w:rsidR="00042B97" w:rsidRPr="006A77F2" w14:paraId="2B045200" w14:textId="77777777" w:rsidTr="0080528C">
        <w:tc>
          <w:tcPr>
            <w:tcW w:w="3403" w:type="dxa"/>
            <w:shd w:val="clear" w:color="auto" w:fill="BFBFBF" w:themeFill="text1" w:themeFillShade="BF"/>
          </w:tcPr>
          <w:p w14:paraId="7D6C8EB3" w14:textId="77777777" w:rsidR="00042B97" w:rsidRPr="006A77F2" w:rsidRDefault="00042B97" w:rsidP="00042B97">
            <w:pPr>
              <w:overflowPunct w:val="0"/>
              <w:autoSpaceDE w:val="0"/>
              <w:autoSpaceDN w:val="0"/>
              <w:adjustRightInd w:val="0"/>
              <w:spacing w:before="60" w:after="60"/>
              <w:textAlignment w:val="baseline"/>
              <w:rPr>
                <w:rFonts w:cs="Arial"/>
                <w:b/>
              </w:rPr>
            </w:pPr>
            <w:r w:rsidRPr="006A77F2">
              <w:rPr>
                <w:rFonts w:cs="Arial"/>
                <w:b/>
              </w:rPr>
              <w:lastRenderedPageBreak/>
              <w:t>Identification &amp; management of adverse reactions</w:t>
            </w:r>
          </w:p>
        </w:tc>
        <w:tc>
          <w:tcPr>
            <w:tcW w:w="6945" w:type="dxa"/>
          </w:tcPr>
          <w:p w14:paraId="6A699457" w14:textId="1037C796" w:rsidR="00042B97" w:rsidRPr="006A77F2" w:rsidRDefault="00042B97" w:rsidP="0029797A">
            <w:pPr>
              <w:widowControl w:val="0"/>
              <w:overflowPunct w:val="0"/>
              <w:autoSpaceDE w:val="0"/>
              <w:autoSpaceDN w:val="0"/>
              <w:adjustRightInd w:val="0"/>
              <w:spacing w:line="240" w:lineRule="auto"/>
              <w:textAlignment w:val="baseline"/>
              <w:rPr>
                <w:rFonts w:eastAsia="Calibri" w:cs="Arial"/>
              </w:rPr>
            </w:pPr>
            <w:r w:rsidRPr="006A77F2">
              <w:rPr>
                <w:rFonts w:eastAsia="Calibri" w:cs="Arial"/>
              </w:rPr>
              <w:t xml:space="preserve">A detailed list of adverse reactions is available in the SPC, which is available from the </w:t>
            </w:r>
            <w:hyperlink r:id="rId32" w:history="1">
              <w:r w:rsidRPr="006A77F2">
                <w:rPr>
                  <w:rFonts w:eastAsia="Calibri" w:cs="Arial"/>
                  <w:color w:val="0000FF"/>
                  <w:u w:val="single"/>
                </w:rPr>
                <w:t>electronic Medicines Compendium website</w:t>
              </w:r>
            </w:hyperlink>
            <w:r w:rsidRPr="006A77F2">
              <w:rPr>
                <w:rFonts w:eastAsia="Calibri" w:cs="Arial"/>
              </w:rPr>
              <w:t xml:space="preserve"> and the </w:t>
            </w:r>
            <w:hyperlink r:id="rId33" w:history="1">
              <w:r w:rsidRPr="006A77F2">
                <w:rPr>
                  <w:rFonts w:eastAsia="Calibri" w:cs="Arial"/>
                  <w:color w:val="0000FF"/>
                  <w:u w:val="single"/>
                </w:rPr>
                <w:t>BNF</w:t>
              </w:r>
            </w:hyperlink>
            <w:r w:rsidR="00603012">
              <w:t>.</w:t>
            </w:r>
            <w:r w:rsidRPr="006A77F2">
              <w:rPr>
                <w:rFonts w:eastAsia="Calibri" w:cs="Arial"/>
              </w:rPr>
              <w:t xml:space="preserve"> </w:t>
            </w:r>
          </w:p>
          <w:p w14:paraId="6F6CBFCB" w14:textId="77777777" w:rsidR="00042B97" w:rsidRPr="006A77F2" w:rsidRDefault="00042B97" w:rsidP="0029797A">
            <w:pPr>
              <w:widowControl w:val="0"/>
              <w:overflowPunct w:val="0"/>
              <w:autoSpaceDE w:val="0"/>
              <w:autoSpaceDN w:val="0"/>
              <w:adjustRightInd w:val="0"/>
              <w:spacing w:line="240" w:lineRule="auto"/>
              <w:textAlignment w:val="baseline"/>
              <w:rPr>
                <w:rFonts w:cs="Arial"/>
                <w:bCs/>
                <w:iCs/>
              </w:rPr>
            </w:pPr>
            <w:r w:rsidRPr="006A77F2">
              <w:rPr>
                <w:rFonts w:eastAsia="Calibri" w:cs="Arial"/>
              </w:rPr>
              <w:t xml:space="preserve">The following side effects are listed in the product SPC/BNF as </w:t>
            </w:r>
            <w:r w:rsidRPr="006A77F2">
              <w:rPr>
                <w:rFonts w:eastAsia="Calibri" w:cs="Arial"/>
                <w:b/>
                <w:bCs/>
              </w:rPr>
              <w:t>very common/common</w:t>
            </w:r>
            <w:r w:rsidRPr="006A77F2">
              <w:rPr>
                <w:rFonts w:eastAsia="Calibri" w:cs="Arial"/>
              </w:rPr>
              <w:t xml:space="preserve"> with varenicline (but may not reflect all reported side effects):</w:t>
            </w:r>
          </w:p>
          <w:p w14:paraId="3A06C80E"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Abnormal appetite (increased or decreased)</w:t>
            </w:r>
          </w:p>
          <w:p w14:paraId="31359DEC"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Abnormal dreams</w:t>
            </w:r>
          </w:p>
          <w:p w14:paraId="70F84298"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Asthenia</w:t>
            </w:r>
          </w:p>
          <w:p w14:paraId="05AB199C" w14:textId="73110702" w:rsidR="0061013B" w:rsidRPr="006A77F2" w:rsidRDefault="008F3E5F"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B</w:t>
            </w:r>
            <w:r w:rsidR="0061013B" w:rsidRPr="006A77F2">
              <w:rPr>
                <w:rFonts w:eastAsia="Calibri" w:cs="Arial"/>
              </w:rPr>
              <w:t>ronchitis</w:t>
            </w:r>
          </w:p>
          <w:p w14:paraId="7F1FB594" w14:textId="48E1489A"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Chest discomfort (chest pain)</w:t>
            </w:r>
          </w:p>
          <w:p w14:paraId="7E85F269"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Constipation</w:t>
            </w:r>
          </w:p>
          <w:p w14:paraId="73B1ABE4"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Cough, nasopharyngitis </w:t>
            </w:r>
          </w:p>
          <w:p w14:paraId="021C2C83"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Diarrhoea</w:t>
            </w:r>
          </w:p>
          <w:p w14:paraId="0DE4599C"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Dizziness</w:t>
            </w:r>
          </w:p>
          <w:p w14:paraId="0C4E7C1C"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Drowsiness</w:t>
            </w:r>
          </w:p>
          <w:p w14:paraId="39FBFEC3"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Dry mouth</w:t>
            </w:r>
          </w:p>
          <w:p w14:paraId="13694859" w14:textId="4530D42F"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Dysgeusia </w:t>
            </w:r>
            <w:r w:rsidR="0086174B" w:rsidRPr="006A77F2">
              <w:rPr>
                <w:rFonts w:eastAsia="Calibri" w:cs="Arial"/>
              </w:rPr>
              <w:t>(</w:t>
            </w:r>
            <w:r w:rsidR="008C7524" w:rsidRPr="006A77F2">
              <w:rPr>
                <w:rFonts w:eastAsia="Calibri" w:cs="Arial"/>
              </w:rPr>
              <w:t>distortion of taste)</w:t>
            </w:r>
          </w:p>
          <w:p w14:paraId="49093913" w14:textId="555AFBA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Dyspn</w:t>
            </w:r>
            <w:r w:rsidR="00506653" w:rsidRPr="006A77F2">
              <w:rPr>
                <w:rFonts w:eastAsia="Calibri" w:cs="Arial"/>
              </w:rPr>
              <w:t>o</w:t>
            </w:r>
            <w:r w:rsidRPr="006A77F2">
              <w:rPr>
                <w:rFonts w:eastAsia="Calibri" w:cs="Arial"/>
              </w:rPr>
              <w:t xml:space="preserve">ea </w:t>
            </w:r>
          </w:p>
          <w:p w14:paraId="01DF7755"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lastRenderedPageBreak/>
              <w:t xml:space="preserve">Fatigue </w:t>
            </w:r>
          </w:p>
          <w:p w14:paraId="74F19ACB"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Gastrointestinal discomfort (abdominal distension, abdominal pain, dyspepsia, flatulence) </w:t>
            </w:r>
          </w:p>
          <w:p w14:paraId="73CC5050"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Gastrointestinal disorders (including gastroesophageal reflux disease) </w:t>
            </w:r>
          </w:p>
          <w:p w14:paraId="0031F37E"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Headache</w:t>
            </w:r>
          </w:p>
          <w:p w14:paraId="1756E7F1"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Insomnia </w:t>
            </w:r>
          </w:p>
          <w:p w14:paraId="7C0CC0BF"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Joint disorders</w:t>
            </w:r>
          </w:p>
          <w:p w14:paraId="144C9239" w14:textId="39099E0B" w:rsidR="00943FDD" w:rsidRPr="006A77F2" w:rsidRDefault="00943FDD"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Liver function test </w:t>
            </w:r>
            <w:r w:rsidR="00C53901" w:rsidRPr="006A77F2">
              <w:rPr>
                <w:rFonts w:eastAsia="Calibri" w:cs="Arial"/>
              </w:rPr>
              <w:t>abnormally</w:t>
            </w:r>
          </w:p>
          <w:p w14:paraId="104B5070"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Muscle complaints (arthralgia, myalgia, back pain)</w:t>
            </w:r>
          </w:p>
          <w:p w14:paraId="345997B4"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Nausea</w:t>
            </w:r>
          </w:p>
          <w:p w14:paraId="6C1DA503"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Oral disorders</w:t>
            </w:r>
          </w:p>
          <w:p w14:paraId="48504F03"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Pain</w:t>
            </w:r>
          </w:p>
          <w:p w14:paraId="2D067E74" w14:textId="77777777" w:rsidR="0061013B" w:rsidRPr="006A77F2" w:rsidRDefault="0061013B"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Sinusitis</w:t>
            </w:r>
          </w:p>
          <w:p w14:paraId="4BF407B9" w14:textId="560C32D2"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Skin reactions (rash, pruritus) </w:t>
            </w:r>
          </w:p>
          <w:p w14:paraId="6BD911AE"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Sleep disorders</w:t>
            </w:r>
          </w:p>
          <w:p w14:paraId="01883960"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Toothache </w:t>
            </w:r>
          </w:p>
          <w:p w14:paraId="620DC069"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Vomiting</w:t>
            </w:r>
          </w:p>
          <w:p w14:paraId="449B6040" w14:textId="77777777" w:rsidR="00042B97" w:rsidRPr="006A77F2" w:rsidRDefault="00042B97" w:rsidP="0029797A">
            <w:pPr>
              <w:widowControl w:val="0"/>
              <w:numPr>
                <w:ilvl w:val="0"/>
                <w:numId w:val="2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Increased body weight</w:t>
            </w:r>
          </w:p>
          <w:p w14:paraId="17C84FF8" w14:textId="77777777" w:rsidR="00042B97" w:rsidRPr="006A77F2" w:rsidRDefault="00042B97" w:rsidP="0029797A">
            <w:pPr>
              <w:widowControl w:val="0"/>
              <w:overflowPunct w:val="0"/>
              <w:autoSpaceDE w:val="0"/>
              <w:autoSpaceDN w:val="0"/>
              <w:adjustRightInd w:val="0"/>
              <w:spacing w:line="240" w:lineRule="auto"/>
              <w:textAlignment w:val="baseline"/>
              <w:rPr>
                <w:rFonts w:ascii="Calibri" w:eastAsia="Calibri" w:hAnsi="Calibri"/>
              </w:rPr>
            </w:pPr>
          </w:p>
          <w:p w14:paraId="6302FE92" w14:textId="678874EA" w:rsidR="00042B97" w:rsidRPr="006A77F2" w:rsidRDefault="00042B97" w:rsidP="0029797A">
            <w:pPr>
              <w:autoSpaceDE w:val="0"/>
              <w:autoSpaceDN w:val="0"/>
              <w:adjustRightInd w:val="0"/>
              <w:spacing w:line="240" w:lineRule="auto"/>
              <w:rPr>
                <w:rFonts w:eastAsia="Calibri" w:cs="Arial"/>
              </w:rPr>
            </w:pPr>
            <w:r w:rsidRPr="006A77F2">
              <w:rPr>
                <w:rFonts w:eastAsia="Calibri" w:cs="Arial"/>
              </w:rPr>
              <w:t xml:space="preserve">Reassure the individual that these side effects occur mainly at the beginning of treatment and often resolve, without intervention. These symptoms may also be the result of </w:t>
            </w:r>
            <w:r w:rsidRPr="006A77F2">
              <w:rPr>
                <w:rFonts w:cs="Arial"/>
              </w:rPr>
              <w:t xml:space="preserve">tobacco </w:t>
            </w:r>
            <w:r w:rsidRPr="006A77F2">
              <w:rPr>
                <w:rFonts w:eastAsia="Calibri" w:cs="Arial"/>
              </w:rPr>
              <w:t xml:space="preserve">withdrawal symptoms and not treatment with varenicline. </w:t>
            </w:r>
          </w:p>
          <w:p w14:paraId="696035FE" w14:textId="6A40B500" w:rsidR="00042B97" w:rsidRPr="006A77F2" w:rsidRDefault="00042B97" w:rsidP="0029797A">
            <w:pPr>
              <w:numPr>
                <w:ilvl w:val="0"/>
                <w:numId w:val="6"/>
              </w:numPr>
              <w:overflowPunct w:val="0"/>
              <w:autoSpaceDE w:val="0"/>
              <w:autoSpaceDN w:val="0"/>
              <w:adjustRightInd w:val="0"/>
              <w:spacing w:after="160" w:line="240" w:lineRule="auto"/>
              <w:contextualSpacing/>
              <w:textAlignment w:val="baseline"/>
              <w:textboxTightWrap w:val="none"/>
              <w:rPr>
                <w:rFonts w:eastAsia="Calibri" w:cs="Arial"/>
              </w:rPr>
            </w:pPr>
            <w:r w:rsidRPr="006A77F2">
              <w:rPr>
                <w:rFonts w:cs="Arial"/>
              </w:rPr>
              <w:t xml:space="preserve">In the event of a severe adverse reaction </w:t>
            </w:r>
            <w:hyperlink w:anchor="SJS" w:history="1">
              <w:r w:rsidRPr="00BA091B">
                <w:rPr>
                  <w:rStyle w:val="Hyperlink"/>
                  <w:rFonts w:ascii="Arial" w:hAnsi="Arial" w:cs="Arial"/>
                </w:rPr>
                <w:t>(including cutaneous reactions</w:t>
              </w:r>
            </w:hyperlink>
            <w:r w:rsidRPr="006A77F2">
              <w:rPr>
                <w:rFonts w:cs="Arial"/>
              </w:rPr>
              <w:t xml:space="preserve"> or exacerbation of known psychiatric illness: See </w:t>
            </w:r>
            <w:hyperlink w:anchor="psych" w:history="1">
              <w:r w:rsidRPr="006A77F2">
                <w:rPr>
                  <w:rStyle w:val="Hyperlink"/>
                  <w:rFonts w:cs="Arial"/>
                </w:rPr>
                <w:t>Individuals with current or past history of psychiatric disorders</w:t>
              </w:r>
            </w:hyperlink>
            <w:r w:rsidRPr="006A77F2">
              <w:rPr>
                <w:rFonts w:cs="Arial"/>
              </w:rPr>
              <w:t xml:space="preserve"> for further information), the individual must be advised to stop treatment immediately and seek urgent medical advice</w:t>
            </w:r>
          </w:p>
        </w:tc>
      </w:tr>
      <w:tr w:rsidR="002B6D5E" w:rsidRPr="006A77F2" w14:paraId="0648CCF6" w14:textId="77777777" w:rsidTr="0080528C">
        <w:tc>
          <w:tcPr>
            <w:tcW w:w="3403" w:type="dxa"/>
            <w:shd w:val="clear" w:color="auto" w:fill="BFBFBF" w:themeFill="text1" w:themeFillShade="BF"/>
          </w:tcPr>
          <w:p w14:paraId="5FCAA616" w14:textId="77777777" w:rsidR="002B6D5E" w:rsidRPr="006A77F2" w:rsidRDefault="002B6D5E" w:rsidP="002B6D5E">
            <w:pPr>
              <w:overflowPunct w:val="0"/>
              <w:autoSpaceDE w:val="0"/>
              <w:autoSpaceDN w:val="0"/>
              <w:adjustRightInd w:val="0"/>
              <w:spacing w:before="60" w:after="60"/>
              <w:textAlignment w:val="baseline"/>
              <w:rPr>
                <w:rFonts w:cs="Arial"/>
                <w:b/>
              </w:rPr>
            </w:pPr>
            <w:r w:rsidRPr="006A77F2">
              <w:rPr>
                <w:rFonts w:cs="Arial"/>
                <w:b/>
              </w:rPr>
              <w:lastRenderedPageBreak/>
              <w:t>Management of and reporting procedure for adverse reactions</w:t>
            </w:r>
          </w:p>
        </w:tc>
        <w:tc>
          <w:tcPr>
            <w:tcW w:w="6945" w:type="dxa"/>
          </w:tcPr>
          <w:p w14:paraId="7C527CE5" w14:textId="28D89192" w:rsidR="002B6D5E" w:rsidRPr="006A77F2" w:rsidRDefault="002B6D5E" w:rsidP="006628AA">
            <w:pPr>
              <w:numPr>
                <w:ilvl w:val="0"/>
                <w:numId w:val="8"/>
              </w:numPr>
              <w:overflowPunct w:val="0"/>
              <w:autoSpaceDE w:val="0"/>
              <w:autoSpaceDN w:val="0"/>
              <w:adjustRightInd w:val="0"/>
              <w:spacing w:after="0" w:line="240" w:lineRule="auto"/>
              <w:contextualSpacing/>
              <w:textAlignment w:val="baseline"/>
              <w:textboxTightWrap w:val="none"/>
              <w:rPr>
                <w:rFonts w:eastAsia="Calibri" w:cs="Arial"/>
              </w:rPr>
            </w:pPr>
            <w:r w:rsidRPr="006A77F2">
              <w:rPr>
                <w:rFonts w:eastAsia="Calibri" w:cs="Arial"/>
              </w:rPr>
              <w:t xml:space="preserve">Record all adverse drug reactions (ADRs) in the individual’s </w:t>
            </w:r>
            <w:r w:rsidR="005836D4" w:rsidRPr="006A77F2">
              <w:rPr>
                <w:rFonts w:eastAsia="Calibri" w:cs="Arial"/>
              </w:rPr>
              <w:t>clinical</w:t>
            </w:r>
            <w:r w:rsidRPr="006A77F2">
              <w:rPr>
                <w:rFonts w:eastAsia="Calibri" w:cs="Arial"/>
              </w:rPr>
              <w:t xml:space="preserve"> record</w:t>
            </w:r>
          </w:p>
          <w:p w14:paraId="151B8889" w14:textId="77777777" w:rsidR="006628AA" w:rsidRPr="006A77F2" w:rsidRDefault="002B6D5E" w:rsidP="006628AA">
            <w:pPr>
              <w:numPr>
                <w:ilvl w:val="0"/>
                <w:numId w:val="8"/>
              </w:numPr>
              <w:overflowPunct w:val="0"/>
              <w:autoSpaceDE w:val="0"/>
              <w:autoSpaceDN w:val="0"/>
              <w:adjustRightInd w:val="0"/>
              <w:spacing w:after="0" w:line="240" w:lineRule="auto"/>
              <w:contextualSpacing/>
              <w:textAlignment w:val="baseline"/>
              <w:textboxTightWrap w:val="none"/>
              <w:rPr>
                <w:rFonts w:cs="Arial"/>
              </w:rPr>
            </w:pPr>
            <w:r w:rsidRPr="006A77F2">
              <w:rPr>
                <w:rFonts w:eastAsia="Calibri" w:cs="Arial"/>
              </w:rPr>
              <w:t>Pharmacists, pharmacy technicians and individuals/carers are encouraged to report suspected adverse</w:t>
            </w:r>
            <w:r w:rsidRPr="006A77F2">
              <w:rPr>
                <w:rFonts w:eastAsia="Arial" w:cs="Arial"/>
                <w:spacing w:val="29"/>
              </w:rPr>
              <w:t xml:space="preserve"> </w:t>
            </w:r>
            <w:r w:rsidRPr="006A77F2">
              <w:rPr>
                <w:rFonts w:eastAsia="Arial" w:cs="Arial"/>
              </w:rPr>
              <w:t>reactions</w:t>
            </w:r>
            <w:r w:rsidRPr="006A77F2">
              <w:rPr>
                <w:rFonts w:eastAsia="Arial" w:cs="Arial"/>
                <w:spacing w:val="10"/>
              </w:rPr>
              <w:t xml:space="preserve"> </w:t>
            </w:r>
            <w:r w:rsidRPr="006A77F2">
              <w:rPr>
                <w:rFonts w:eastAsia="Arial" w:cs="Arial"/>
              </w:rPr>
              <w:t>to</w:t>
            </w:r>
            <w:r w:rsidRPr="006A77F2">
              <w:rPr>
                <w:rFonts w:eastAsia="Arial" w:cs="Arial"/>
                <w:spacing w:val="14"/>
              </w:rPr>
              <w:t xml:space="preserve"> </w:t>
            </w:r>
            <w:r w:rsidRPr="006A77F2">
              <w:rPr>
                <w:rFonts w:eastAsia="Arial" w:cs="Arial"/>
              </w:rPr>
              <w:t>the</w:t>
            </w:r>
            <w:r w:rsidRPr="006A77F2">
              <w:rPr>
                <w:rFonts w:eastAsia="Arial" w:cs="Arial"/>
                <w:w w:val="98"/>
              </w:rPr>
              <w:t xml:space="preserve"> </w:t>
            </w:r>
            <w:r w:rsidRPr="006A77F2">
              <w:rPr>
                <w:rFonts w:eastAsia="Arial" w:cs="Arial"/>
              </w:rPr>
              <w:t>Medicines</w:t>
            </w:r>
            <w:r w:rsidRPr="006A77F2">
              <w:rPr>
                <w:rFonts w:eastAsia="Arial" w:cs="Arial"/>
                <w:spacing w:val="22"/>
              </w:rPr>
              <w:t xml:space="preserve"> </w:t>
            </w:r>
            <w:r w:rsidRPr="006A77F2">
              <w:rPr>
                <w:rFonts w:eastAsia="Arial" w:cs="Arial"/>
              </w:rPr>
              <w:t>and</w:t>
            </w:r>
            <w:r w:rsidRPr="006A77F2">
              <w:rPr>
                <w:rFonts w:eastAsia="Arial" w:cs="Arial"/>
                <w:spacing w:val="19"/>
              </w:rPr>
              <w:t xml:space="preserve"> </w:t>
            </w:r>
            <w:r w:rsidRPr="006A77F2">
              <w:rPr>
                <w:rFonts w:eastAsia="Arial" w:cs="Arial"/>
              </w:rPr>
              <w:t>Healthcare</w:t>
            </w:r>
            <w:r w:rsidRPr="006A77F2">
              <w:rPr>
                <w:rFonts w:eastAsia="Arial" w:cs="Arial"/>
                <w:spacing w:val="18"/>
              </w:rPr>
              <w:t xml:space="preserve"> </w:t>
            </w:r>
            <w:r w:rsidRPr="006A77F2">
              <w:rPr>
                <w:rFonts w:eastAsia="Arial" w:cs="Arial"/>
              </w:rPr>
              <w:t>products</w:t>
            </w:r>
            <w:r w:rsidRPr="006A77F2">
              <w:rPr>
                <w:rFonts w:eastAsia="Arial" w:cs="Arial"/>
                <w:spacing w:val="23"/>
              </w:rPr>
              <w:t xml:space="preserve"> </w:t>
            </w:r>
            <w:r w:rsidRPr="006A77F2">
              <w:rPr>
                <w:rFonts w:eastAsia="Arial" w:cs="Arial"/>
              </w:rPr>
              <w:t>Regulatory</w:t>
            </w:r>
            <w:r w:rsidRPr="006A77F2">
              <w:rPr>
                <w:rFonts w:eastAsia="Arial" w:cs="Arial"/>
                <w:spacing w:val="7"/>
              </w:rPr>
              <w:t xml:space="preserve"> </w:t>
            </w:r>
            <w:r w:rsidRPr="006A77F2">
              <w:rPr>
                <w:rFonts w:eastAsia="Arial" w:cs="Arial"/>
              </w:rPr>
              <w:t>Agency</w:t>
            </w:r>
            <w:r w:rsidRPr="006A77F2">
              <w:rPr>
                <w:rFonts w:eastAsia="Arial" w:cs="Arial"/>
                <w:spacing w:val="38"/>
              </w:rPr>
              <w:t xml:space="preserve"> </w:t>
            </w:r>
            <w:r w:rsidRPr="006A77F2">
              <w:rPr>
                <w:rFonts w:eastAsia="Arial" w:cs="Arial"/>
              </w:rPr>
              <w:t>(MHRA)</w:t>
            </w:r>
            <w:r w:rsidRPr="006A77F2">
              <w:rPr>
                <w:rFonts w:eastAsia="Arial" w:cs="Arial"/>
                <w:w w:val="101"/>
              </w:rPr>
              <w:t xml:space="preserve"> </w:t>
            </w:r>
            <w:r w:rsidRPr="006A77F2">
              <w:rPr>
                <w:rFonts w:eastAsia="Arial" w:cs="Arial"/>
              </w:rPr>
              <w:t>using</w:t>
            </w:r>
            <w:r w:rsidRPr="006A77F2">
              <w:rPr>
                <w:rFonts w:eastAsia="Arial" w:cs="Arial"/>
                <w:spacing w:val="9"/>
              </w:rPr>
              <w:t xml:space="preserve"> </w:t>
            </w:r>
            <w:r w:rsidRPr="006A77F2">
              <w:rPr>
                <w:rFonts w:eastAsia="Arial" w:cs="Arial"/>
              </w:rPr>
              <w:t>the</w:t>
            </w:r>
            <w:r w:rsidRPr="006A77F2">
              <w:rPr>
                <w:rFonts w:eastAsia="Arial" w:cs="Arial"/>
                <w:spacing w:val="11"/>
              </w:rPr>
              <w:t xml:space="preserve"> </w:t>
            </w:r>
            <w:r w:rsidRPr="006A77F2">
              <w:rPr>
                <w:rFonts w:eastAsia="Arial" w:cs="Arial"/>
              </w:rPr>
              <w:t>Yellow</w:t>
            </w:r>
            <w:r w:rsidRPr="006A77F2">
              <w:rPr>
                <w:rFonts w:eastAsia="Arial" w:cs="Arial"/>
                <w:spacing w:val="28"/>
              </w:rPr>
              <w:t xml:space="preserve"> </w:t>
            </w:r>
            <w:r w:rsidRPr="006A77F2">
              <w:rPr>
                <w:rFonts w:eastAsia="Arial" w:cs="Arial"/>
              </w:rPr>
              <w:t>Card</w:t>
            </w:r>
            <w:r w:rsidRPr="006A77F2">
              <w:rPr>
                <w:rFonts w:eastAsia="Arial" w:cs="Arial"/>
                <w:spacing w:val="16"/>
              </w:rPr>
              <w:t xml:space="preserve"> </w:t>
            </w:r>
            <w:r w:rsidRPr="006A77F2">
              <w:rPr>
                <w:rFonts w:eastAsia="Arial" w:cs="Arial"/>
              </w:rPr>
              <w:t>reporting</w:t>
            </w:r>
            <w:r w:rsidRPr="006A77F2">
              <w:rPr>
                <w:rFonts w:eastAsia="Arial" w:cs="Arial"/>
                <w:spacing w:val="12"/>
              </w:rPr>
              <w:t xml:space="preserve"> </w:t>
            </w:r>
            <w:r w:rsidRPr="006A77F2">
              <w:rPr>
                <w:rFonts w:eastAsia="Arial" w:cs="Arial"/>
              </w:rPr>
              <w:t xml:space="preserve">scheme: </w:t>
            </w:r>
            <w:hyperlink r:id="rId34" w:history="1">
              <w:r w:rsidRPr="006A77F2">
                <w:rPr>
                  <w:rFonts w:eastAsia="Calibri" w:cs="Arial"/>
                  <w:b/>
                  <w:bCs/>
                  <w:color w:val="1E6DFF" w:themeColor="accent1" w:themeTint="99"/>
                  <w:u w:val="single"/>
                </w:rPr>
                <w:t>http://yellowcard.mhra.gov.uk</w:t>
              </w:r>
            </w:hyperlink>
            <w:r w:rsidRPr="006A77F2">
              <w:rPr>
                <w:rFonts w:eastAsia="Arial" w:cs="Arial"/>
                <w:color w:val="2F5496"/>
                <w:u w:val="single"/>
              </w:rPr>
              <w:t xml:space="preserve"> </w:t>
            </w:r>
          </w:p>
          <w:p w14:paraId="062C7736" w14:textId="4DFD8929" w:rsidR="006628AA" w:rsidRPr="006A77F2" w:rsidRDefault="006628AA" w:rsidP="006628AA">
            <w:pPr>
              <w:numPr>
                <w:ilvl w:val="0"/>
                <w:numId w:val="8"/>
              </w:numPr>
              <w:overflowPunct w:val="0"/>
              <w:autoSpaceDE w:val="0"/>
              <w:autoSpaceDN w:val="0"/>
              <w:adjustRightInd w:val="0"/>
              <w:spacing w:after="0" w:line="240" w:lineRule="auto"/>
              <w:contextualSpacing/>
              <w:textAlignment w:val="baseline"/>
              <w:textboxTightWrap w:val="none"/>
              <w:rPr>
                <w:rFonts w:cs="Arial"/>
              </w:rPr>
            </w:pPr>
            <w:r w:rsidRPr="006A77F2">
              <w:rPr>
                <w:rFonts w:eastAsia="Calibri" w:cs="Arial"/>
                <w:iCs/>
              </w:rPr>
              <w:t>Report and document in accordance with organisation incident policy</w:t>
            </w:r>
          </w:p>
          <w:p w14:paraId="038E5468" w14:textId="647A63C4" w:rsidR="006628AA" w:rsidRPr="006A77F2" w:rsidRDefault="006628AA" w:rsidP="006628AA">
            <w:pPr>
              <w:numPr>
                <w:ilvl w:val="0"/>
                <w:numId w:val="8"/>
              </w:numPr>
              <w:overflowPunct w:val="0"/>
              <w:autoSpaceDE w:val="0"/>
              <w:autoSpaceDN w:val="0"/>
              <w:adjustRightInd w:val="0"/>
              <w:spacing w:after="0" w:line="240" w:lineRule="auto"/>
              <w:contextualSpacing/>
              <w:textAlignment w:val="baseline"/>
              <w:textboxTightWrap w:val="none"/>
              <w:rPr>
                <w:rFonts w:cs="Arial"/>
              </w:rPr>
            </w:pPr>
            <w:r w:rsidRPr="006A77F2">
              <w:rPr>
                <w:rFonts w:eastAsia="Calibri" w:cs="Arial"/>
                <w:iCs/>
              </w:rPr>
              <w:t>It is considered good practice to notify the individual’s GP Practice and/or other relevant healthcare providers in the event of an adverse reaction</w:t>
            </w:r>
          </w:p>
        </w:tc>
      </w:tr>
      <w:tr w:rsidR="002B6D5E" w:rsidRPr="006A77F2" w14:paraId="0E298D15" w14:textId="77777777" w:rsidTr="0080528C">
        <w:tc>
          <w:tcPr>
            <w:tcW w:w="3403" w:type="dxa"/>
            <w:shd w:val="clear" w:color="auto" w:fill="BFBFBF" w:themeFill="text1" w:themeFillShade="BF"/>
          </w:tcPr>
          <w:p w14:paraId="31EBAF2B" w14:textId="77777777" w:rsidR="002B6D5E" w:rsidRPr="006A77F2" w:rsidRDefault="002B6D5E" w:rsidP="002B6D5E">
            <w:pPr>
              <w:overflowPunct w:val="0"/>
              <w:autoSpaceDE w:val="0"/>
              <w:autoSpaceDN w:val="0"/>
              <w:adjustRightInd w:val="0"/>
              <w:spacing w:before="60" w:after="60"/>
              <w:textAlignment w:val="baseline"/>
              <w:rPr>
                <w:rFonts w:cs="Arial"/>
                <w:b/>
              </w:rPr>
            </w:pPr>
            <w:r w:rsidRPr="006A77F2">
              <w:rPr>
                <w:rFonts w:cs="Arial"/>
                <w:b/>
              </w:rPr>
              <w:lastRenderedPageBreak/>
              <w:t>Management of and reporting procedure for patient safety incidents</w:t>
            </w:r>
          </w:p>
        </w:tc>
        <w:tc>
          <w:tcPr>
            <w:tcW w:w="6945" w:type="dxa"/>
          </w:tcPr>
          <w:p w14:paraId="39ABC822" w14:textId="042944E1" w:rsidR="002B6D5E" w:rsidRPr="006A77F2" w:rsidRDefault="002B6D5E" w:rsidP="002B6D5E">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A77F2">
              <w:rPr>
                <w:rFonts w:eastAsia="Arial" w:cs="Arial"/>
              </w:rPr>
              <w:t>The pharmacy is required to report any patient safety incidents in line with the</w:t>
            </w:r>
            <w:r w:rsidRPr="006A77F2">
              <w:rPr>
                <w:rFonts w:cs="Arial"/>
                <w:color w:val="202A30"/>
                <w:shd w:val="clear" w:color="auto" w:fill="FFFFFF"/>
              </w:rPr>
              <w:t xml:space="preserve"> </w:t>
            </w:r>
            <w:hyperlink r:id="rId35" w:history="1">
              <w:r w:rsidR="001E4A5B" w:rsidRPr="006A77F2">
                <w:rPr>
                  <w:rStyle w:val="Hyperlink"/>
                  <w:rFonts w:cs="Arial"/>
                  <w:b/>
                  <w:bCs/>
                  <w:shd w:val="clear" w:color="auto" w:fill="FFFFFF"/>
                </w:rPr>
                <w:t>https://www.gov.uk/government/publications/clinical-governance-approved-particulars</w:t>
              </w:r>
            </w:hyperlink>
            <w:r w:rsidR="00E510A5" w:rsidRPr="006A77F2">
              <w:rPr>
                <w:rFonts w:cs="Arial"/>
              </w:rPr>
              <w:t xml:space="preserve"> </w:t>
            </w:r>
          </w:p>
        </w:tc>
      </w:tr>
      <w:tr w:rsidR="002B6D5E" w:rsidRPr="006A77F2" w14:paraId="52C6D191" w14:textId="77777777" w:rsidTr="0080528C">
        <w:tc>
          <w:tcPr>
            <w:tcW w:w="3403" w:type="dxa"/>
            <w:shd w:val="clear" w:color="auto" w:fill="BFBFBF" w:themeFill="text1" w:themeFillShade="BF"/>
          </w:tcPr>
          <w:p w14:paraId="6B16121A" w14:textId="1175EE16" w:rsidR="002B6D5E" w:rsidRPr="006A77F2" w:rsidRDefault="002B6D5E" w:rsidP="002B6D5E">
            <w:pPr>
              <w:overflowPunct w:val="0"/>
              <w:autoSpaceDE w:val="0"/>
              <w:autoSpaceDN w:val="0"/>
              <w:adjustRightInd w:val="0"/>
              <w:spacing w:before="60" w:after="60"/>
              <w:textAlignment w:val="baseline"/>
              <w:rPr>
                <w:rFonts w:cs="Arial"/>
                <w:b/>
              </w:rPr>
            </w:pPr>
            <w:r w:rsidRPr="006A77F2">
              <w:rPr>
                <w:szCs w:val="20"/>
              </w:rPr>
              <w:br w:type="page"/>
            </w:r>
            <w:r w:rsidRPr="006A77F2">
              <w:rPr>
                <w:szCs w:val="20"/>
              </w:rPr>
              <w:br w:type="page"/>
            </w:r>
            <w:r w:rsidRPr="006A77F2">
              <w:rPr>
                <w:rFonts w:cs="Arial"/>
                <w:b/>
              </w:rPr>
              <w:t>Written information and further advice to be given to</w:t>
            </w:r>
            <w:r w:rsidR="003C4DD3" w:rsidRPr="006A77F2">
              <w:rPr>
                <w:rFonts w:cs="Arial"/>
                <w:b/>
              </w:rPr>
              <w:t xml:space="preserve"> the</w:t>
            </w:r>
            <w:r w:rsidRPr="006A77F2">
              <w:rPr>
                <w:rFonts w:cs="Arial"/>
                <w:b/>
              </w:rPr>
              <w:t xml:space="preserve"> individual </w:t>
            </w:r>
          </w:p>
        </w:tc>
        <w:tc>
          <w:tcPr>
            <w:tcW w:w="6945" w:type="dxa"/>
          </w:tcPr>
          <w:p w14:paraId="5C0F8783" w14:textId="715B5E71" w:rsidR="00640847" w:rsidRPr="006A77F2" w:rsidRDefault="00640847" w:rsidP="00640847">
            <w:pPr>
              <w:widowControl w:val="0"/>
              <w:numPr>
                <w:ilvl w:val="3"/>
                <w:numId w:val="15"/>
              </w:numPr>
              <w:overflowPunct w:val="0"/>
              <w:autoSpaceDE w:val="0"/>
              <w:autoSpaceDN w:val="0"/>
              <w:adjustRightInd w:val="0"/>
              <w:spacing w:after="0" w:line="240" w:lineRule="auto"/>
              <w:ind w:left="324" w:hanging="284"/>
              <w:textAlignment w:val="baseline"/>
              <w:textboxTightWrap w:val="none"/>
              <w:rPr>
                <w:rFonts w:eastAsia="Calibri" w:cs="Arial"/>
                <w:iCs/>
              </w:rPr>
            </w:pPr>
            <w:r w:rsidRPr="006A77F2">
              <w:rPr>
                <w:rFonts w:eastAsia="Calibri" w:cs="Arial"/>
                <w:iCs/>
              </w:rPr>
              <w:t xml:space="preserve">Provide marketing authorisation holder's patient information leaflet (PIL) provided with the product  </w:t>
            </w:r>
          </w:p>
          <w:p w14:paraId="05DEE368" w14:textId="08073B09" w:rsidR="002B6D5E" w:rsidRPr="006A77F2" w:rsidRDefault="00640847" w:rsidP="00640847">
            <w:pPr>
              <w:widowControl w:val="0"/>
              <w:numPr>
                <w:ilvl w:val="3"/>
                <w:numId w:val="15"/>
              </w:numPr>
              <w:overflowPunct w:val="0"/>
              <w:autoSpaceDE w:val="0"/>
              <w:autoSpaceDN w:val="0"/>
              <w:adjustRightInd w:val="0"/>
              <w:spacing w:after="0" w:line="240" w:lineRule="auto"/>
              <w:ind w:left="324" w:hanging="284"/>
              <w:textAlignment w:val="baseline"/>
              <w:textboxTightWrap w:val="none"/>
              <w:rPr>
                <w:rFonts w:eastAsia="Calibri" w:cs="Arial"/>
                <w:iCs/>
              </w:rPr>
            </w:pPr>
            <w:r w:rsidRPr="006A77F2">
              <w:rPr>
                <w:rFonts w:eastAsia="Calibri" w:cs="Arial"/>
                <w:iCs/>
              </w:rPr>
              <w:t>Give any additional information in accordance with the</w:t>
            </w:r>
            <w:r w:rsidR="008E48E1" w:rsidRPr="006A77F2">
              <w:rPr>
                <w:rFonts w:eastAsia="Calibri" w:cs="Arial"/>
                <w:iCs/>
              </w:rPr>
              <w:t xml:space="preserve"> </w:t>
            </w:r>
            <w:r w:rsidRPr="006A77F2">
              <w:rPr>
                <w:rFonts w:eastAsia="Calibri" w:cs="Arial"/>
                <w:iCs/>
              </w:rPr>
              <w:t>service specification</w:t>
            </w:r>
          </w:p>
        </w:tc>
      </w:tr>
      <w:tr w:rsidR="00747AB3" w:rsidRPr="006A77F2" w14:paraId="37AEC97F" w14:textId="77777777" w:rsidTr="0080528C">
        <w:tblPrEx>
          <w:tblLook w:val="0000" w:firstRow="0" w:lastRow="0" w:firstColumn="0" w:lastColumn="0" w:noHBand="0" w:noVBand="0"/>
        </w:tblPrEx>
        <w:tc>
          <w:tcPr>
            <w:tcW w:w="3403" w:type="dxa"/>
            <w:vMerge w:val="restart"/>
            <w:shd w:val="clear" w:color="auto" w:fill="BFBFBF" w:themeFill="text1" w:themeFillShade="BF"/>
          </w:tcPr>
          <w:p w14:paraId="306277C7" w14:textId="77777777" w:rsidR="00747AB3" w:rsidRPr="006A77F2" w:rsidRDefault="00747AB3" w:rsidP="002B6D5E">
            <w:pPr>
              <w:overflowPunct w:val="0"/>
              <w:autoSpaceDE w:val="0"/>
              <w:autoSpaceDN w:val="0"/>
              <w:adjustRightInd w:val="0"/>
              <w:spacing w:before="60" w:after="60"/>
              <w:textAlignment w:val="baseline"/>
              <w:rPr>
                <w:rFonts w:cs="Arial"/>
              </w:rPr>
            </w:pPr>
            <w:r w:rsidRPr="006A77F2">
              <w:rPr>
                <w:rFonts w:cs="Arial"/>
                <w:b/>
              </w:rPr>
              <w:t>Advice / follow up treatment</w:t>
            </w:r>
          </w:p>
        </w:tc>
        <w:tc>
          <w:tcPr>
            <w:tcW w:w="6945" w:type="dxa"/>
          </w:tcPr>
          <w:p w14:paraId="4284EBBA" w14:textId="3AAC2260" w:rsidR="00747AB3" w:rsidRPr="006A77F2" w:rsidRDefault="00747AB3" w:rsidP="002B6D5E">
            <w:pPr>
              <w:numPr>
                <w:ilvl w:val="0"/>
                <w:numId w:val="6"/>
              </w:numPr>
              <w:overflowPunct w:val="0"/>
              <w:autoSpaceDE w:val="0"/>
              <w:autoSpaceDN w:val="0"/>
              <w:adjustRightInd w:val="0"/>
              <w:spacing w:after="160" w:line="278" w:lineRule="auto"/>
              <w:contextualSpacing/>
              <w:textAlignment w:val="baseline"/>
              <w:textboxTightWrap w:val="none"/>
              <w:rPr>
                <w:rFonts w:cs="Arial"/>
              </w:rPr>
            </w:pPr>
            <w:r w:rsidRPr="006A77F2">
              <w:rPr>
                <w:rFonts w:cs="Arial"/>
              </w:rPr>
              <w:t>The individual should seek further advice if they have any concerns</w:t>
            </w:r>
          </w:p>
          <w:p w14:paraId="1354C0AB" w14:textId="77777777" w:rsidR="00747AB3" w:rsidRDefault="00747AB3" w:rsidP="002B6D5E">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rPr>
            </w:pPr>
            <w:r w:rsidRPr="006A77F2">
              <w:rPr>
                <w:rFonts w:cs="Arial"/>
              </w:rPr>
              <w:t>The individual</w:t>
            </w:r>
            <w:r w:rsidRPr="006A77F2">
              <w:rPr>
                <w:rFonts w:eastAsia="Arial" w:cs="Arial"/>
              </w:rPr>
              <w:t xml:space="preserve"> should be advised on how to obtain future supplies</w:t>
            </w:r>
          </w:p>
          <w:p w14:paraId="005428D3" w14:textId="79D7268E" w:rsidR="00E60CDF" w:rsidRPr="00FD4A23" w:rsidRDefault="00E60CDF" w:rsidP="00FD4A23">
            <w:pPr>
              <w:numPr>
                <w:ilvl w:val="0"/>
                <w:numId w:val="6"/>
              </w:numPr>
              <w:overflowPunct w:val="0"/>
              <w:autoSpaceDE w:val="0"/>
              <w:autoSpaceDN w:val="0"/>
              <w:adjustRightInd w:val="0"/>
              <w:spacing w:after="160" w:line="278" w:lineRule="auto"/>
              <w:contextualSpacing/>
              <w:textAlignment w:val="baseline"/>
              <w:textboxTightWrap w:val="none"/>
              <w:rPr>
                <w:rFonts w:eastAsia="Arial" w:cs="Arial"/>
                <w:iCs/>
              </w:rPr>
            </w:pPr>
            <w:r w:rsidRPr="00E60CDF">
              <w:rPr>
                <w:rFonts w:eastAsia="Arial" w:cs="Arial"/>
                <w:iCs/>
              </w:rPr>
              <w:t xml:space="preserve">The individual should </w:t>
            </w:r>
            <w:r w:rsidR="00FD4A23">
              <w:rPr>
                <w:rFonts w:eastAsia="Arial" w:cs="Arial"/>
                <w:iCs/>
              </w:rPr>
              <w:t xml:space="preserve">be advised to </w:t>
            </w:r>
            <w:r w:rsidRPr="00E60CDF">
              <w:rPr>
                <w:rFonts w:eastAsia="Arial" w:cs="Arial"/>
                <w:iCs/>
              </w:rPr>
              <w:t>reduce smoking during the first 12 weeks of treatment and quit by the end of that treatment period</w:t>
            </w:r>
          </w:p>
        </w:tc>
      </w:tr>
      <w:tr w:rsidR="00747AB3" w:rsidRPr="006A77F2" w14:paraId="5037A701" w14:textId="77777777" w:rsidTr="0080528C">
        <w:tblPrEx>
          <w:tblLook w:val="0000" w:firstRow="0" w:lastRow="0" w:firstColumn="0" w:lastColumn="0" w:noHBand="0" w:noVBand="0"/>
        </w:tblPrEx>
        <w:tc>
          <w:tcPr>
            <w:tcW w:w="3403" w:type="dxa"/>
            <w:vMerge/>
            <w:shd w:val="clear" w:color="auto" w:fill="BFBFBF" w:themeFill="text1" w:themeFillShade="BF"/>
          </w:tcPr>
          <w:p w14:paraId="4774D25F" w14:textId="6CC24886" w:rsidR="00747AB3" w:rsidRPr="006A77F2" w:rsidRDefault="00747AB3" w:rsidP="00F17BA7">
            <w:pPr>
              <w:overflowPunct w:val="0"/>
              <w:autoSpaceDE w:val="0"/>
              <w:autoSpaceDN w:val="0"/>
              <w:adjustRightInd w:val="0"/>
              <w:spacing w:before="60" w:after="60"/>
              <w:textAlignment w:val="baseline"/>
              <w:rPr>
                <w:rFonts w:cs="Arial"/>
                <w:b/>
              </w:rPr>
            </w:pPr>
          </w:p>
        </w:tc>
        <w:tc>
          <w:tcPr>
            <w:tcW w:w="6945" w:type="dxa"/>
          </w:tcPr>
          <w:p w14:paraId="1C1E2F90" w14:textId="77777777" w:rsidR="00747AB3" w:rsidRPr="006A77F2" w:rsidRDefault="00747AB3" w:rsidP="00F17BA7">
            <w:pPr>
              <w:widowControl w:val="0"/>
              <w:rPr>
                <w:rFonts w:eastAsia="Calibri" w:cs="Arial"/>
                <w:b/>
                <w:iCs/>
              </w:rPr>
            </w:pPr>
            <w:r w:rsidRPr="006A77F2">
              <w:rPr>
                <w:rFonts w:eastAsia="Calibri" w:cs="Arial"/>
                <w:b/>
                <w:iCs/>
              </w:rPr>
              <w:t>Pharmaceutical</w:t>
            </w:r>
          </w:p>
          <w:p w14:paraId="4D136068" w14:textId="67ABD44D"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bookmarkStart w:id="6" w:name="_Hlk44941506"/>
            <w:r w:rsidRPr="006A77F2">
              <w:rPr>
                <w:rFonts w:eastAsia="Calibri" w:cs="Arial"/>
                <w:iCs/>
              </w:rPr>
              <w:t>Explain the dose, frequency and method of administration, including how to use the initiation pack</w:t>
            </w:r>
            <w:bookmarkEnd w:id="6"/>
          </w:p>
          <w:p w14:paraId="7B665F5A" w14:textId="0631F946"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The individual/carer should be advised to read the PIL</w:t>
            </w:r>
          </w:p>
          <w:p w14:paraId="2164FD47" w14:textId="0D9BFF4A"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Inform the individual/carer of possible side effects and their management</w:t>
            </w:r>
          </w:p>
          <w:p w14:paraId="3A5550C1" w14:textId="3AA017B0"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The individual/carer should be advised to seek medical advice in the event of a serious adverse reaction</w:t>
            </w:r>
          </w:p>
          <w:p w14:paraId="7607CC49" w14:textId="47C4AEDF"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iCs/>
              </w:rPr>
              <w:t>The tablets should be swallowed whole with water; they can be taken either with or without food. There is some evidence that taking with food reduces the likelihood of nausea</w:t>
            </w:r>
          </w:p>
          <w:p w14:paraId="2434F3FF" w14:textId="5F756C03"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iCs/>
              </w:rPr>
              <w:t xml:space="preserve">Individuals should be warned that the medicine may make them sleepy and not to drive or operate machinery/tools if affected. </w:t>
            </w:r>
            <w:bookmarkStart w:id="7" w:name="_Hlk44941533"/>
            <w:r w:rsidRPr="006A77F2">
              <w:rPr>
                <w:rFonts w:eastAsia="Calibri" w:cs="Arial"/>
              </w:rPr>
              <w:t>Individuals should exercise caution before driving or using machinery until they are reasonably certain that varenicline does not adversely affect their performance. Occupational risk should be highlighted, as appropriate</w:t>
            </w:r>
            <w:bookmarkEnd w:id="7"/>
            <w:r w:rsidRPr="006A77F2">
              <w:rPr>
                <w:rFonts w:eastAsia="Calibri" w:cs="Arial"/>
              </w:rPr>
              <w:t>.</w:t>
            </w:r>
          </w:p>
          <w:p w14:paraId="1E8151A2" w14:textId="77777777" w:rsidR="00747AB3" w:rsidRPr="006A77F2" w:rsidRDefault="00747AB3" w:rsidP="00F17BA7">
            <w:pPr>
              <w:widowControl w:val="0"/>
              <w:rPr>
                <w:rFonts w:eastAsia="Calibri" w:cs="Arial"/>
                <w:iCs/>
              </w:rPr>
            </w:pPr>
          </w:p>
          <w:p w14:paraId="62257F14" w14:textId="77777777" w:rsidR="00747AB3" w:rsidRPr="006A77F2" w:rsidRDefault="00747AB3" w:rsidP="00F17BA7">
            <w:pPr>
              <w:widowControl w:val="0"/>
              <w:rPr>
                <w:rFonts w:eastAsia="Calibri" w:cs="Arial"/>
                <w:b/>
                <w:iCs/>
              </w:rPr>
            </w:pPr>
            <w:r w:rsidRPr="006A77F2">
              <w:rPr>
                <w:rFonts w:eastAsia="Calibri" w:cs="Arial"/>
                <w:b/>
                <w:iCs/>
              </w:rPr>
              <w:t>Medical/Psychological</w:t>
            </w:r>
          </w:p>
          <w:p w14:paraId="53890A31" w14:textId="681AE9B5"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Individuals taking varenicline, or any other treatment for tobacco dependence, should be advised to discontinue treatment and seek prompt medical advice if they develop agitation, depressed mood, or suicidal thoughts (MHRA/CHM advice) and to contact the pharmacist, </w:t>
            </w:r>
            <w:r w:rsidRPr="006A77F2">
              <w:rPr>
                <w:rFonts w:eastAsia="Calibri" w:cs="Arial"/>
                <w:iCs/>
              </w:rPr>
              <w:lastRenderedPageBreak/>
              <w:t>pharmacy technician or the tobacco dependence service.</w:t>
            </w:r>
          </w:p>
          <w:p w14:paraId="4B58D12B" w14:textId="444A9AFD"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Advise individuals with a history of mild to moderate mental health disorders to discontinue treatment if their symptoms worsen and contact a healthcare professional for re-evaluation of treatment as soon as possible</w:t>
            </w:r>
          </w:p>
          <w:p w14:paraId="295D3085" w14:textId="16BF1A5C"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Tobacco dependence treatment may lead to a change in blood glucose levels. Individuals with diabetes should be advised to be vigilant for signs</w:t>
            </w:r>
            <w:r w:rsidRPr="006A77F2">
              <w:rPr>
                <w:rFonts w:eastAsia="Calibri" w:cs="Arial"/>
              </w:rPr>
              <w:t xml:space="preserve"> of</w:t>
            </w:r>
            <w:r w:rsidRPr="006A77F2">
              <w:rPr>
                <w:rFonts w:ascii="Calibri" w:eastAsia="Calibri" w:hAnsi="Calibri" w:cs="Calibri"/>
              </w:rPr>
              <w:t xml:space="preserve"> </w:t>
            </w:r>
            <w:r w:rsidRPr="006A77F2">
              <w:rPr>
                <w:rFonts w:eastAsia="Calibri" w:cs="Arial"/>
                <w:iCs/>
              </w:rPr>
              <w:t>hypo/hyperglycaemia and, where usually monitored, be advised to monitor blood glucose more frequently</w:t>
            </w:r>
          </w:p>
          <w:p w14:paraId="771B263F" w14:textId="4780A953"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Individuals taking medications detailed within the </w:t>
            </w:r>
            <w:hyperlink w:anchor="Cautions" w:history="1">
              <w:r w:rsidRPr="006A77F2">
                <w:rPr>
                  <w:rStyle w:val="Hyperlink"/>
                  <w:rFonts w:eastAsia="Calibri" w:cs="Arial"/>
                  <w:iCs/>
                </w:rPr>
                <w:t>Cautions</w:t>
              </w:r>
            </w:hyperlink>
            <w:r w:rsidRPr="006A77F2">
              <w:rPr>
                <w:rFonts w:eastAsia="Calibri" w:cs="Arial"/>
                <w:iCs/>
              </w:rPr>
              <w:t xml:space="preserve"> section of this PGD should be advised on any required action  </w:t>
            </w:r>
          </w:p>
          <w:p w14:paraId="2CC4507D" w14:textId="77777777" w:rsidR="00747AB3" w:rsidRPr="006A77F2" w:rsidRDefault="00747AB3" w:rsidP="00F17BA7">
            <w:pPr>
              <w:widowControl w:val="0"/>
              <w:rPr>
                <w:rFonts w:eastAsia="Calibri" w:cs="Arial"/>
                <w:iCs/>
              </w:rPr>
            </w:pPr>
          </w:p>
          <w:p w14:paraId="025093CC" w14:textId="77777777" w:rsidR="00747AB3" w:rsidRPr="006A77F2" w:rsidRDefault="00747AB3" w:rsidP="00F17BA7">
            <w:pPr>
              <w:widowControl w:val="0"/>
              <w:rPr>
                <w:rFonts w:eastAsia="Calibri" w:cs="Arial"/>
                <w:b/>
                <w:iCs/>
              </w:rPr>
            </w:pPr>
            <w:r w:rsidRPr="006A77F2">
              <w:rPr>
                <w:rFonts w:eastAsia="Calibri" w:cs="Arial"/>
                <w:b/>
                <w:iCs/>
              </w:rPr>
              <w:t>Individual</w:t>
            </w:r>
          </w:p>
          <w:p w14:paraId="6842980D" w14:textId="18F8CFC2"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bookmarkStart w:id="8" w:name="_Hlk44941485"/>
            <w:r w:rsidRPr="006A77F2">
              <w:rPr>
                <w:rFonts w:eastAsia="Calibri" w:cs="Arial"/>
                <w:iCs/>
              </w:rPr>
              <w:t>Individuals should set a quit date for 7 to 14 days after initiation of varenicline treatment</w:t>
            </w:r>
          </w:p>
          <w:bookmarkEnd w:id="8"/>
          <w:p w14:paraId="5DD02B9A" w14:textId="77777777"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Discuss the major reasons for varenicline failure which are:</w:t>
            </w:r>
          </w:p>
          <w:p w14:paraId="16258D9D" w14:textId="00F17BAD" w:rsidR="00747AB3" w:rsidRPr="006A77F2" w:rsidRDefault="00747AB3" w:rsidP="00F17BA7">
            <w:pPr>
              <w:widowControl w:val="0"/>
              <w:numPr>
                <w:ilvl w:val="0"/>
                <w:numId w:val="27"/>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Unrealistic expectations</w:t>
            </w:r>
          </w:p>
          <w:p w14:paraId="39B66B45" w14:textId="21156929" w:rsidR="00747AB3" w:rsidRPr="006A77F2" w:rsidRDefault="00747AB3" w:rsidP="00F17BA7">
            <w:pPr>
              <w:widowControl w:val="0"/>
              <w:numPr>
                <w:ilvl w:val="0"/>
                <w:numId w:val="27"/>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Lack of preparation for the potential for the tablets to cause nausea</w:t>
            </w:r>
          </w:p>
          <w:p w14:paraId="263E087D" w14:textId="70557AB6" w:rsidR="00747AB3" w:rsidRPr="006A77F2" w:rsidRDefault="00747AB3" w:rsidP="00F17BA7">
            <w:pPr>
              <w:widowControl w:val="0"/>
              <w:numPr>
                <w:ilvl w:val="0"/>
                <w:numId w:val="27"/>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Insufficient or incorrect use</w:t>
            </w:r>
          </w:p>
          <w:p w14:paraId="34D875C2" w14:textId="7D98202E" w:rsidR="00747AB3" w:rsidRPr="006A77F2" w:rsidRDefault="00747AB3" w:rsidP="00F17BA7">
            <w:pPr>
              <w:widowControl w:val="0"/>
              <w:numPr>
                <w:ilvl w:val="0"/>
                <w:numId w:val="27"/>
              </w:numPr>
              <w:overflowPunct w:val="0"/>
              <w:autoSpaceDE w:val="0"/>
              <w:autoSpaceDN w:val="0"/>
              <w:adjustRightInd w:val="0"/>
              <w:spacing w:after="0" w:line="240" w:lineRule="auto"/>
              <w:textAlignment w:val="baseline"/>
              <w:textboxTightWrap w:val="none"/>
              <w:rPr>
                <w:rFonts w:eastAsia="Calibri" w:cs="Arial"/>
                <w:iCs/>
              </w:rPr>
            </w:pPr>
            <w:r w:rsidRPr="006A77F2">
              <w:rPr>
                <w:rFonts w:eastAsia="Calibri" w:cs="Arial"/>
                <w:iCs/>
              </w:rPr>
              <w:t>Insufficient support from a trained tobacco dependence advisor</w:t>
            </w:r>
          </w:p>
          <w:p w14:paraId="6F2A5EDA" w14:textId="77777777" w:rsidR="00747AB3" w:rsidRPr="006A77F2" w:rsidRDefault="00747AB3" w:rsidP="00F17BA7">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Further information that may support adherence as part of shared decision making:</w:t>
            </w:r>
          </w:p>
          <w:p w14:paraId="4785C70F" w14:textId="26AE990B"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iCs/>
              </w:rPr>
              <w:t xml:space="preserve">Varenicline </w:t>
            </w:r>
            <w:r w:rsidRPr="006A77F2">
              <w:rPr>
                <w:rFonts w:eastAsia="Calibri" w:cs="Arial"/>
              </w:rPr>
              <w:t>works by acting on the parts of the brain which are affected by nicotine in cigarettes</w:t>
            </w:r>
          </w:p>
          <w:p w14:paraId="723259A5" w14:textId="35BCA30A"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iCs/>
              </w:rPr>
              <w:t>Varenicline</w:t>
            </w:r>
            <w:r w:rsidRPr="006A77F2">
              <w:rPr>
                <w:rFonts w:eastAsia="Calibri" w:cs="Arial"/>
              </w:rPr>
              <w:t xml:space="preserve"> does not remove all temptation to smoke, but it does make abstinence easier (“it takes the edge off the discomfort”)</w:t>
            </w:r>
          </w:p>
          <w:p w14:paraId="10A60EEC" w14:textId="63D47299"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Approximately one third of individuals may experience mild nausea around 30 minutes after taking varenicline. This reaction usually diminishes gradually over the first few weeks, and most people tolerate it without problems. If this occurs, advise the individual to return for consideration of dosage reduction or if severe, individuals should be referred to their GP Practice</w:t>
            </w:r>
          </w:p>
          <w:p w14:paraId="4D973080" w14:textId="1ED0972E"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Tobacco dependence treatment with or without medication is associated with various symptoms (e.g. irritability, poor sleep etc.). Individuals should be made aware that they may experience any of </w:t>
            </w:r>
            <w:r w:rsidRPr="006A77F2">
              <w:rPr>
                <w:rFonts w:eastAsia="Calibri" w:cs="Arial"/>
              </w:rPr>
              <w:lastRenderedPageBreak/>
              <w:t xml:space="preserve">these side effects and on discontinuation of </w:t>
            </w:r>
            <w:r w:rsidR="00394D64">
              <w:rPr>
                <w:rFonts w:eastAsia="Calibri" w:cs="Arial"/>
              </w:rPr>
              <w:t xml:space="preserve">varenicline </w:t>
            </w:r>
            <w:r w:rsidRPr="006A77F2">
              <w:rPr>
                <w:rFonts w:eastAsia="Calibri" w:cs="Arial"/>
              </w:rPr>
              <w:t>therapy, but it is not clear whether the effects are linked to therapy or to nicotine withdrawal. Advi</w:t>
            </w:r>
            <w:r w:rsidR="004F0579" w:rsidRPr="006A77F2">
              <w:rPr>
                <w:rFonts w:eastAsia="Calibri" w:cs="Arial"/>
              </w:rPr>
              <w:t>s</w:t>
            </w:r>
            <w:r w:rsidRPr="006A77F2">
              <w:rPr>
                <w:rFonts w:eastAsia="Calibri" w:cs="Arial"/>
              </w:rPr>
              <w:t>e that this is a short-term treatment for long-term benefit.</w:t>
            </w:r>
          </w:p>
          <w:p w14:paraId="3C2C8441" w14:textId="433E95EF"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Possible physical changes upon stopping smoking, e.g. weight gain and how to manage this</w:t>
            </w:r>
          </w:p>
          <w:p w14:paraId="12DA7EB8" w14:textId="1138E347"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Outline the expectations of both the individual and the pharmacist or pharmacy technician with reference to the ongoing treatment and future appointments</w:t>
            </w:r>
            <w:bookmarkStart w:id="9" w:name="_Hlk44941550"/>
          </w:p>
          <w:p w14:paraId="633C08CC" w14:textId="6C696380" w:rsidR="00747AB3" w:rsidRPr="006A77F2" w:rsidRDefault="00747AB3" w:rsidP="00F17BA7">
            <w:pPr>
              <w:widowControl w:val="0"/>
              <w:numPr>
                <w:ilvl w:val="1"/>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Details of the next consultation with the pharmacist or pharmacy technician</w:t>
            </w:r>
            <w:bookmarkEnd w:id="9"/>
          </w:p>
          <w:p w14:paraId="5E4D22A9" w14:textId="334220F7" w:rsidR="00747AB3" w:rsidRPr="006A77F2" w:rsidRDefault="00747AB3" w:rsidP="00410880">
            <w:pPr>
              <w:pStyle w:val="ListParagraph"/>
              <w:numPr>
                <w:ilvl w:val="0"/>
                <w:numId w:val="15"/>
              </w:numPr>
              <w:autoSpaceDE w:val="0"/>
              <w:autoSpaceDN w:val="0"/>
              <w:adjustRightInd w:val="0"/>
              <w:spacing w:line="240" w:lineRule="auto"/>
              <w:rPr>
                <w:rFonts w:cs="Arial"/>
              </w:rPr>
            </w:pPr>
            <w:r w:rsidRPr="006A77F2">
              <w:rPr>
                <w:rFonts w:cs="Arial"/>
                <w:iCs/>
              </w:rPr>
              <w:t>Advise individual/carer to return any unused medicines to a pharmacy for disposal: Do not dispose of medicines in the bin, down the sink or toilet</w:t>
            </w:r>
          </w:p>
        </w:tc>
      </w:tr>
      <w:tr w:rsidR="00596EF5" w:rsidRPr="006A77F2" w14:paraId="72BDC453" w14:textId="77777777" w:rsidTr="0080528C">
        <w:tblPrEx>
          <w:tblLook w:val="0000" w:firstRow="0" w:lastRow="0" w:firstColumn="0" w:lastColumn="0" w:noHBand="0" w:noVBand="0"/>
        </w:tblPrEx>
        <w:tc>
          <w:tcPr>
            <w:tcW w:w="3403" w:type="dxa"/>
            <w:shd w:val="clear" w:color="auto" w:fill="BFBFBF" w:themeFill="text1" w:themeFillShade="BF"/>
          </w:tcPr>
          <w:p w14:paraId="56DBB5FC" w14:textId="65D2300B" w:rsidR="00596EF5" w:rsidRPr="006A77F2" w:rsidRDefault="00596EF5" w:rsidP="00F17BA7">
            <w:pPr>
              <w:overflowPunct w:val="0"/>
              <w:autoSpaceDE w:val="0"/>
              <w:autoSpaceDN w:val="0"/>
              <w:adjustRightInd w:val="0"/>
              <w:spacing w:before="60" w:after="60"/>
              <w:textAlignment w:val="baseline"/>
              <w:rPr>
                <w:rFonts w:cs="Arial"/>
                <w:b/>
              </w:rPr>
            </w:pPr>
            <w:r w:rsidRPr="006A77F2">
              <w:rPr>
                <w:rFonts w:cs="Arial"/>
                <w:b/>
              </w:rPr>
              <w:lastRenderedPageBreak/>
              <w:t>Records</w:t>
            </w:r>
          </w:p>
        </w:tc>
        <w:tc>
          <w:tcPr>
            <w:tcW w:w="6945" w:type="dxa"/>
          </w:tcPr>
          <w:p w14:paraId="119D124F" w14:textId="221B2914" w:rsidR="006411C9" w:rsidRPr="006A77F2" w:rsidRDefault="006411C9" w:rsidP="006411C9">
            <w:pPr>
              <w:overflowPunct w:val="0"/>
              <w:autoSpaceDE w:val="0"/>
              <w:autoSpaceDN w:val="0"/>
              <w:adjustRightInd w:val="0"/>
              <w:spacing w:line="240" w:lineRule="auto"/>
              <w:contextualSpacing/>
              <w:textAlignment w:val="baseline"/>
              <w:rPr>
                <w:rFonts w:cs="Arial"/>
              </w:rPr>
            </w:pPr>
            <w:r w:rsidRPr="006A77F2">
              <w:rPr>
                <w:rFonts w:cs="Arial"/>
              </w:rPr>
              <w:t xml:space="preserve">Appropriate records must include the following: </w:t>
            </w:r>
          </w:p>
          <w:p w14:paraId="51D42CAD" w14:textId="1B5392B8"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That</w:t>
            </w:r>
            <w:r w:rsidR="003E4D87" w:rsidRPr="006A77F2">
              <w:rPr>
                <w:rFonts w:cs="FrutigerLTStd-Light"/>
                <w:szCs w:val="22"/>
              </w:rPr>
              <w:t xml:space="preserve"> </w:t>
            </w:r>
            <w:r w:rsidRPr="006A77F2">
              <w:rPr>
                <w:rFonts w:cs="FrutigerLTStd-Light"/>
                <w:szCs w:val="22"/>
              </w:rPr>
              <w:t xml:space="preserve">informed </w:t>
            </w:r>
            <w:r w:rsidR="003E4D87" w:rsidRPr="006A77F2">
              <w:rPr>
                <w:rFonts w:cs="FrutigerLTStd-Light"/>
                <w:szCs w:val="22"/>
              </w:rPr>
              <w:t xml:space="preserve">(verbal) </w:t>
            </w:r>
            <w:r w:rsidRPr="006A77F2">
              <w:rPr>
                <w:rFonts w:cs="FrutigerLTStd-Light"/>
                <w:szCs w:val="22"/>
              </w:rPr>
              <w:t>consent has been given</w:t>
            </w:r>
          </w:p>
          <w:p w14:paraId="53C2C9BB" w14:textId="03BDC2BC"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Individual’s name, address, and date of birth </w:t>
            </w:r>
          </w:p>
          <w:p w14:paraId="72C1DF73" w14:textId="0703963F"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Name of GP </w:t>
            </w:r>
            <w:r w:rsidR="00E006E7" w:rsidRPr="006A77F2">
              <w:rPr>
                <w:rFonts w:cs="FrutigerLTStd-Light"/>
                <w:szCs w:val="22"/>
              </w:rPr>
              <w:t>p</w:t>
            </w:r>
            <w:r w:rsidRPr="006A77F2">
              <w:rPr>
                <w:rFonts w:cs="FrutigerLTStd-Light"/>
                <w:szCs w:val="22"/>
              </w:rPr>
              <w:t>ractice where individual is registered or record the individual is not registered with a GP Practice</w:t>
            </w:r>
          </w:p>
          <w:p w14:paraId="12A63AC9" w14:textId="3D3BFF34"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Name of pharmacist or pharmacy technician operating under the PGD </w:t>
            </w:r>
          </w:p>
          <w:p w14:paraId="0E29FC2D" w14:textId="53BC71B1"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Declaration, professional registration  number and name of pharmacist or pharmacy technician who supplied the medication </w:t>
            </w:r>
          </w:p>
          <w:p w14:paraId="7BBC04F0"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Specify how the individual has/has not met the criteria of the PGD </w:t>
            </w:r>
          </w:p>
          <w:p w14:paraId="77166D09" w14:textId="2FA7A848" w:rsidR="006411C9" w:rsidRPr="006A77F2" w:rsidRDefault="006411C9" w:rsidP="006411C9">
            <w:pPr>
              <w:numPr>
                <w:ilvl w:val="0"/>
                <w:numId w:val="1"/>
              </w:numPr>
              <w:autoSpaceDE w:val="0"/>
              <w:autoSpaceDN w:val="0"/>
              <w:adjustRightInd w:val="0"/>
              <w:spacing w:after="240"/>
              <w:ind w:left="360"/>
              <w:contextualSpacing/>
              <w:textboxTightWrap w:val="none"/>
              <w:rPr>
                <w:rFonts w:cs="Arial"/>
                <w:color w:val="auto"/>
              </w:rPr>
            </w:pPr>
            <w:r w:rsidRPr="006A77F2">
              <w:rPr>
                <w:rFonts w:cs="Arial"/>
                <w:color w:val="auto"/>
              </w:rPr>
              <w:t xml:space="preserve">Relevant past and present medical history and medication history </w:t>
            </w:r>
            <w:r w:rsidR="0026499C" w:rsidRPr="006A77F2">
              <w:rPr>
                <w:rStyle w:val="Heading2Char"/>
                <w:rFonts w:ascii="Arial" w:hAnsi="Arial"/>
                <w:color w:val="auto"/>
                <w:sz w:val="24"/>
              </w:rPr>
              <w:t xml:space="preserve"> </w:t>
            </w:r>
            <w:r w:rsidR="0026499C" w:rsidRPr="006A77F2">
              <w:rPr>
                <w:rStyle w:val="cf01"/>
                <w:rFonts w:ascii="Arial" w:hAnsi="Arial" w:cs="Arial"/>
                <w:color w:val="auto"/>
                <w:sz w:val="24"/>
                <w:szCs w:val="24"/>
              </w:rPr>
              <w:t>includ</w:t>
            </w:r>
            <w:r w:rsidR="007E67D2" w:rsidRPr="006A77F2">
              <w:rPr>
                <w:rStyle w:val="cf01"/>
                <w:rFonts w:ascii="Arial" w:hAnsi="Arial" w:cs="Arial"/>
                <w:color w:val="auto"/>
                <w:sz w:val="24"/>
                <w:szCs w:val="24"/>
              </w:rPr>
              <w:t>ing</w:t>
            </w:r>
            <w:r w:rsidR="0026499C" w:rsidRPr="006A77F2">
              <w:rPr>
                <w:rStyle w:val="cf01"/>
                <w:rFonts w:ascii="Arial" w:hAnsi="Arial" w:cs="Arial"/>
                <w:color w:val="auto"/>
                <w:sz w:val="24"/>
                <w:szCs w:val="24"/>
              </w:rPr>
              <w:t xml:space="preserve"> over the counter, herbal medications, supplements and recreational drug use</w:t>
            </w:r>
          </w:p>
          <w:p w14:paraId="3261EA3B"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Results of measurements e.g.CO test</w:t>
            </w:r>
          </w:p>
          <w:p w14:paraId="343E4531" w14:textId="45E53C97" w:rsidR="0095508E" w:rsidRPr="006A77F2" w:rsidRDefault="0095508E"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Where dosage </w:t>
            </w:r>
            <w:r w:rsidR="00104C3E" w:rsidRPr="006A77F2">
              <w:rPr>
                <w:rFonts w:cs="FrutigerLTStd-Light"/>
                <w:szCs w:val="22"/>
              </w:rPr>
              <w:t xml:space="preserve">regime </w:t>
            </w:r>
            <w:r w:rsidR="0006326D" w:rsidRPr="006A77F2">
              <w:rPr>
                <w:rFonts w:cs="FrutigerLTStd-Light"/>
                <w:szCs w:val="22"/>
              </w:rPr>
              <w:t xml:space="preserve">is </w:t>
            </w:r>
            <w:r w:rsidR="00104C3E" w:rsidRPr="006A77F2">
              <w:rPr>
                <w:rFonts w:cs="FrutigerLTStd-Light"/>
                <w:szCs w:val="22"/>
              </w:rPr>
              <w:t>altered due to renal function</w:t>
            </w:r>
            <w:r w:rsidR="00B73C8F" w:rsidRPr="006A77F2">
              <w:rPr>
                <w:rFonts w:cs="FrutigerLTStd-Light"/>
                <w:szCs w:val="22"/>
              </w:rPr>
              <w:t xml:space="preserve"> – record the </w:t>
            </w:r>
            <w:r w:rsidR="00D44F6E" w:rsidRPr="006A77F2">
              <w:rPr>
                <w:rFonts w:cs="FrutigerLTStd-Light"/>
                <w:szCs w:val="22"/>
              </w:rPr>
              <w:t>Creatinine Clearance (</w:t>
            </w:r>
            <w:proofErr w:type="spellStart"/>
            <w:r w:rsidR="00D44F6E" w:rsidRPr="006A77F2">
              <w:rPr>
                <w:rFonts w:cs="FrutigerLTStd-Light"/>
                <w:szCs w:val="22"/>
              </w:rPr>
              <w:t>CrCl</w:t>
            </w:r>
            <w:proofErr w:type="spellEnd"/>
            <w:r w:rsidR="00D44F6E" w:rsidRPr="006A77F2">
              <w:rPr>
                <w:rFonts w:cs="FrutigerLTStd-Light"/>
                <w:szCs w:val="22"/>
              </w:rPr>
              <w:t>)</w:t>
            </w:r>
            <w:r w:rsidR="009A0BFC" w:rsidRPr="006A77F2">
              <w:rPr>
                <w:rFonts w:cs="FrutigerLTStd-Light"/>
                <w:szCs w:val="22"/>
              </w:rPr>
              <w:t xml:space="preserve"> or </w:t>
            </w:r>
            <w:r w:rsidR="009A0BFC" w:rsidRPr="006A77F2">
              <w:rPr>
                <w:rFonts w:cs="Arial"/>
              </w:rPr>
              <w:t>estimated glomerular filtration rate (eGFR)</w:t>
            </w:r>
          </w:p>
          <w:p w14:paraId="1C843DE4" w14:textId="55D03F40" w:rsidR="00CB0CB0"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Name/dose/form/quantity of medicine </w:t>
            </w:r>
            <w:r w:rsidR="006A77F2" w:rsidRPr="006A77F2">
              <w:rPr>
                <w:rFonts w:cs="FrutigerLTStd-Light"/>
                <w:szCs w:val="22"/>
              </w:rPr>
              <w:t>supplied.</w:t>
            </w:r>
            <w:r w:rsidR="000F0A45" w:rsidRPr="006A77F2">
              <w:rPr>
                <w:rFonts w:cs="FrutigerLTStd-Light"/>
                <w:szCs w:val="22"/>
              </w:rPr>
              <w:t xml:space="preserve"> </w:t>
            </w:r>
          </w:p>
          <w:p w14:paraId="7163ABED" w14:textId="6E7FCF6F" w:rsidR="006411C9" w:rsidRPr="006A77F2" w:rsidRDefault="00CB0CB0"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Date</w:t>
            </w:r>
            <w:r w:rsidR="006411C9" w:rsidRPr="006A77F2">
              <w:rPr>
                <w:rFonts w:cs="FrutigerLTStd-Light"/>
                <w:szCs w:val="22"/>
              </w:rPr>
              <w:t xml:space="preserve"> and time of supply </w:t>
            </w:r>
          </w:p>
          <w:p w14:paraId="17C7A2C7"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Documentation of cautions as appropriate </w:t>
            </w:r>
          </w:p>
          <w:p w14:paraId="60BC738C" w14:textId="00DA97DE"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Advice given</w:t>
            </w:r>
            <w:r w:rsidR="00AE2EAE" w:rsidRPr="006A77F2">
              <w:rPr>
                <w:rFonts w:cs="FrutigerLTStd-Light"/>
                <w:szCs w:val="22"/>
              </w:rPr>
              <w:t>,</w:t>
            </w:r>
            <w:r w:rsidRPr="006A77F2">
              <w:rPr>
                <w:rFonts w:cs="FrutigerLTStd-Light"/>
                <w:szCs w:val="22"/>
              </w:rPr>
              <w:t xml:space="preserve"> if individual</w:t>
            </w:r>
            <w:r w:rsidR="006A5E00" w:rsidRPr="006A77F2">
              <w:rPr>
                <w:rFonts w:cs="FrutigerLTStd-Light"/>
                <w:szCs w:val="22"/>
              </w:rPr>
              <w:t xml:space="preserve"> is</w:t>
            </w:r>
            <w:r w:rsidRPr="006A77F2">
              <w:rPr>
                <w:rFonts w:cs="FrutigerLTStd-Light"/>
                <w:szCs w:val="22"/>
              </w:rPr>
              <w:t xml:space="preserve"> excluded or declines treatment. </w:t>
            </w:r>
          </w:p>
          <w:p w14:paraId="38A9B819"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lastRenderedPageBreak/>
              <w:t>Details of any ADRs/allergy status and actions taken. The supply must be entered in the Patient Medication Record (PMR)</w:t>
            </w:r>
          </w:p>
          <w:p w14:paraId="620862AF"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eastAsia="Arial" w:cs="FrutigerLTStd-Light"/>
                <w:szCs w:val="22"/>
              </w:rPr>
            </w:pPr>
            <w:r w:rsidRPr="006A77F2">
              <w:rPr>
                <w:rFonts w:eastAsia="Arial" w:cs="FrutigerLTStd-Light"/>
                <w:szCs w:val="22"/>
              </w:rPr>
              <w:t xml:space="preserve">Advice given about the medication including side effects, benefits, and when and what to do if any concerns. </w:t>
            </w:r>
          </w:p>
          <w:p w14:paraId="76BEB7FA" w14:textId="3C2D9D7A" w:rsidR="006411C9" w:rsidRPr="006A77F2" w:rsidRDefault="006411C9" w:rsidP="006411C9">
            <w:pPr>
              <w:numPr>
                <w:ilvl w:val="0"/>
                <w:numId w:val="1"/>
              </w:numPr>
              <w:autoSpaceDE w:val="0"/>
              <w:autoSpaceDN w:val="0"/>
              <w:adjustRightInd w:val="0"/>
              <w:spacing w:after="240"/>
              <w:ind w:left="360"/>
              <w:contextualSpacing/>
              <w:textboxTightWrap w:val="none"/>
              <w:rPr>
                <w:rFonts w:eastAsia="Arial" w:cs="FrutigerLTStd-Light"/>
                <w:szCs w:val="22"/>
              </w:rPr>
            </w:pPr>
            <w:r w:rsidRPr="006A77F2">
              <w:rPr>
                <w:rFonts w:eastAsia="Arial" w:cs="FrutigerLTStd-Light"/>
                <w:szCs w:val="22"/>
              </w:rPr>
              <w:t>Any referral arrangements made</w:t>
            </w:r>
          </w:p>
          <w:p w14:paraId="0DA4DAF3" w14:textId="299A11A8" w:rsidR="006411C9" w:rsidRPr="006A77F2" w:rsidRDefault="006411C9" w:rsidP="006411C9">
            <w:pPr>
              <w:numPr>
                <w:ilvl w:val="0"/>
                <w:numId w:val="1"/>
              </w:numPr>
              <w:autoSpaceDE w:val="0"/>
              <w:autoSpaceDN w:val="0"/>
              <w:adjustRightInd w:val="0"/>
              <w:spacing w:after="240"/>
              <w:ind w:left="360"/>
              <w:contextualSpacing/>
              <w:textboxTightWrap w:val="none"/>
              <w:rPr>
                <w:rFonts w:eastAsia="Arial" w:cs="FrutigerLTStd-Light"/>
                <w:szCs w:val="22"/>
              </w:rPr>
            </w:pPr>
            <w:r w:rsidRPr="006A77F2">
              <w:rPr>
                <w:rFonts w:eastAsia="Arial" w:cs="FrutigerLTStd-Light"/>
                <w:szCs w:val="22"/>
              </w:rPr>
              <w:t>Any supply outside the terms of the product marketing authorisation (off label use)</w:t>
            </w:r>
          </w:p>
          <w:p w14:paraId="087049C3"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That supply was made under a PGD </w:t>
            </w:r>
          </w:p>
          <w:p w14:paraId="56CA7B21"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Any safety incidents, such as medication errors, near misses and suspected adverse events </w:t>
            </w:r>
          </w:p>
          <w:p w14:paraId="30E29128" w14:textId="77777777"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Any additional requirements in accordance with the service specification </w:t>
            </w:r>
          </w:p>
          <w:p w14:paraId="7EE78225" w14:textId="669116A8" w:rsidR="006411C9" w:rsidRPr="006A77F2" w:rsidRDefault="00A84030"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Notify the </w:t>
            </w:r>
            <w:r w:rsidR="006411C9" w:rsidRPr="006A77F2">
              <w:rPr>
                <w:rFonts w:cs="FrutigerLTStd-Light"/>
                <w:szCs w:val="22"/>
              </w:rPr>
              <w:t xml:space="preserve">GP </w:t>
            </w:r>
            <w:r w:rsidR="00C64A3C" w:rsidRPr="006A77F2">
              <w:rPr>
                <w:rFonts w:cs="FrutigerLTStd-Light"/>
                <w:szCs w:val="22"/>
              </w:rPr>
              <w:t>p</w:t>
            </w:r>
            <w:r w:rsidR="006411C9" w:rsidRPr="006A77F2">
              <w:rPr>
                <w:rFonts w:cs="FrutigerLTStd-Light"/>
                <w:szCs w:val="22"/>
              </w:rPr>
              <w:t xml:space="preserve">ractice on the day of </w:t>
            </w:r>
            <w:r w:rsidR="000203BF" w:rsidRPr="006A77F2">
              <w:rPr>
                <w:rFonts w:cs="FrutigerLTStd-Light"/>
                <w:szCs w:val="22"/>
              </w:rPr>
              <w:t xml:space="preserve">service </w:t>
            </w:r>
            <w:r w:rsidR="006411C9" w:rsidRPr="006A77F2">
              <w:rPr>
                <w:rFonts w:cs="FrutigerLTStd-Light"/>
                <w:szCs w:val="22"/>
              </w:rPr>
              <w:t>provision or</w:t>
            </w:r>
            <w:r w:rsidR="000203BF" w:rsidRPr="006A77F2">
              <w:rPr>
                <w:rFonts w:cs="FrutigerLTStd-Light"/>
                <w:szCs w:val="22"/>
              </w:rPr>
              <w:t xml:space="preserve"> the</w:t>
            </w:r>
            <w:r w:rsidR="006411C9" w:rsidRPr="006A77F2">
              <w:rPr>
                <w:rFonts w:cs="FrutigerLTStd-Light"/>
                <w:szCs w:val="22"/>
              </w:rPr>
              <w:t xml:space="preserve"> next working day via usual communication channels on initiation</w:t>
            </w:r>
            <w:r w:rsidR="00BA66DF" w:rsidRPr="006A77F2">
              <w:rPr>
                <w:rFonts w:cs="FrutigerLTStd-Light"/>
                <w:szCs w:val="22"/>
              </w:rPr>
              <w:t xml:space="preserve">, </w:t>
            </w:r>
            <w:r w:rsidR="00CB255C" w:rsidRPr="006A77F2">
              <w:rPr>
                <w:rFonts w:cs="FrutigerLTStd-Light"/>
                <w:szCs w:val="22"/>
              </w:rPr>
              <w:t>at each supply</w:t>
            </w:r>
            <w:r w:rsidR="006411C9" w:rsidRPr="006A77F2">
              <w:rPr>
                <w:rFonts w:cs="FrutigerLTStd-Light"/>
                <w:szCs w:val="22"/>
              </w:rPr>
              <w:t xml:space="preserve"> and completion of quit attempt  </w:t>
            </w:r>
          </w:p>
          <w:p w14:paraId="1278C4BF" w14:textId="671F094A"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Details of any drug-smoking interactions, </w:t>
            </w:r>
            <w:r w:rsidR="000203BF" w:rsidRPr="006A77F2">
              <w:rPr>
                <w:rFonts w:cs="FrutigerLTStd-Light"/>
                <w:szCs w:val="22"/>
              </w:rPr>
              <w:t xml:space="preserve">required </w:t>
            </w:r>
            <w:r w:rsidRPr="006A77F2">
              <w:rPr>
                <w:rFonts w:cs="FrutigerLTStd-Light"/>
                <w:szCs w:val="22"/>
              </w:rPr>
              <w:t>monitoring and any actions taken</w:t>
            </w:r>
          </w:p>
          <w:p w14:paraId="3E209E3E" w14:textId="5079E57D" w:rsidR="006411C9" w:rsidRPr="006A77F2" w:rsidRDefault="006411C9" w:rsidP="006411C9">
            <w:pPr>
              <w:numPr>
                <w:ilvl w:val="0"/>
                <w:numId w:val="1"/>
              </w:numPr>
              <w:autoSpaceDE w:val="0"/>
              <w:autoSpaceDN w:val="0"/>
              <w:adjustRightInd w:val="0"/>
              <w:spacing w:after="240"/>
              <w:ind w:left="360"/>
              <w:contextualSpacing/>
              <w:textboxTightWrap w:val="none"/>
              <w:rPr>
                <w:rFonts w:cs="FrutigerLTStd-Light"/>
                <w:szCs w:val="22"/>
              </w:rPr>
            </w:pPr>
            <w:r w:rsidRPr="006A77F2">
              <w:rPr>
                <w:rFonts w:cs="FrutigerLTStd-Light"/>
                <w:szCs w:val="22"/>
              </w:rPr>
              <w:t xml:space="preserve">All records should be kept in line with </w:t>
            </w:r>
            <w:hyperlink r:id="rId36" w:history="1">
              <w:r w:rsidRPr="00644461">
                <w:rPr>
                  <w:rStyle w:val="Hyperlink"/>
                  <w:rFonts w:ascii="Arial" w:hAnsi="Arial" w:cs="FrutigerLTStd-Light"/>
                  <w:szCs w:val="22"/>
                </w:rPr>
                <w:t>national guidance</w:t>
              </w:r>
            </w:hyperlink>
            <w:r w:rsidRPr="006A77F2">
              <w:rPr>
                <w:rFonts w:cs="FrutigerLTStd-Light"/>
                <w:szCs w:val="22"/>
              </w:rPr>
              <w:t xml:space="preserve">. This includes individual data, master copies of the PGD and lists of authorised practitioners </w:t>
            </w:r>
          </w:p>
          <w:p w14:paraId="56291C63" w14:textId="77777777" w:rsidR="00E30C4A" w:rsidRPr="006A77F2" w:rsidRDefault="00E30C4A" w:rsidP="006411C9">
            <w:pPr>
              <w:overflowPunct w:val="0"/>
              <w:autoSpaceDE w:val="0"/>
              <w:autoSpaceDN w:val="0"/>
              <w:adjustRightInd w:val="0"/>
              <w:spacing w:line="240" w:lineRule="auto"/>
              <w:contextualSpacing/>
              <w:textAlignment w:val="baseline"/>
              <w:rPr>
                <w:rFonts w:cs="Arial"/>
                <w:b/>
                <w:bCs/>
              </w:rPr>
            </w:pPr>
          </w:p>
          <w:p w14:paraId="0463759C" w14:textId="2F97306A" w:rsidR="006411C9" w:rsidRPr="006A77F2" w:rsidRDefault="006411C9" w:rsidP="006411C9">
            <w:pPr>
              <w:overflowPunct w:val="0"/>
              <w:autoSpaceDE w:val="0"/>
              <w:autoSpaceDN w:val="0"/>
              <w:adjustRightInd w:val="0"/>
              <w:spacing w:line="240" w:lineRule="auto"/>
              <w:contextualSpacing/>
              <w:textAlignment w:val="baseline"/>
              <w:rPr>
                <w:rFonts w:cs="Arial"/>
                <w:b/>
                <w:bCs/>
              </w:rPr>
            </w:pPr>
            <w:r w:rsidRPr="006A77F2">
              <w:rPr>
                <w:rFonts w:cs="Arial"/>
                <w:b/>
                <w:bCs/>
              </w:rPr>
              <w:t xml:space="preserve">Records should be signed and dated (or a password-controlled e-records). </w:t>
            </w:r>
          </w:p>
          <w:p w14:paraId="76A3A747" w14:textId="77777777" w:rsidR="006411C9" w:rsidRPr="006A77F2" w:rsidRDefault="006411C9" w:rsidP="006411C9">
            <w:pPr>
              <w:overflowPunct w:val="0"/>
              <w:autoSpaceDE w:val="0"/>
              <w:autoSpaceDN w:val="0"/>
              <w:adjustRightInd w:val="0"/>
              <w:spacing w:line="240" w:lineRule="auto"/>
              <w:contextualSpacing/>
              <w:textAlignment w:val="baseline"/>
              <w:rPr>
                <w:rFonts w:cs="Arial"/>
                <w:b/>
                <w:bCs/>
              </w:rPr>
            </w:pPr>
          </w:p>
          <w:p w14:paraId="7F55452D" w14:textId="77777777" w:rsidR="006411C9" w:rsidRPr="006A77F2" w:rsidRDefault="006411C9" w:rsidP="006411C9">
            <w:pPr>
              <w:overflowPunct w:val="0"/>
              <w:autoSpaceDE w:val="0"/>
              <w:autoSpaceDN w:val="0"/>
              <w:adjustRightInd w:val="0"/>
              <w:spacing w:line="240" w:lineRule="auto"/>
              <w:contextualSpacing/>
              <w:textAlignment w:val="baseline"/>
              <w:rPr>
                <w:rFonts w:cs="Arial"/>
                <w:b/>
                <w:bCs/>
              </w:rPr>
            </w:pPr>
            <w:r w:rsidRPr="006A77F2">
              <w:rPr>
                <w:rFonts w:cs="Arial"/>
                <w:b/>
                <w:bCs/>
              </w:rPr>
              <w:t xml:space="preserve">All records should be clear, legible and contemporaneous. </w:t>
            </w:r>
          </w:p>
          <w:p w14:paraId="054BCF41" w14:textId="77777777" w:rsidR="006411C9" w:rsidRPr="006A77F2" w:rsidRDefault="006411C9" w:rsidP="006411C9">
            <w:pPr>
              <w:overflowPunct w:val="0"/>
              <w:autoSpaceDE w:val="0"/>
              <w:autoSpaceDN w:val="0"/>
              <w:adjustRightInd w:val="0"/>
              <w:spacing w:line="240" w:lineRule="auto"/>
              <w:contextualSpacing/>
              <w:textAlignment w:val="baseline"/>
              <w:rPr>
                <w:rFonts w:cs="Arial"/>
                <w:b/>
                <w:bCs/>
              </w:rPr>
            </w:pPr>
          </w:p>
          <w:p w14:paraId="45E163C8" w14:textId="485AA67D" w:rsidR="00596EF5" w:rsidRPr="006A77F2" w:rsidRDefault="006411C9" w:rsidP="006411C9">
            <w:pPr>
              <w:widowControl w:val="0"/>
              <w:rPr>
                <w:rFonts w:eastAsia="Calibri" w:cs="Arial"/>
                <w:b/>
                <w:iCs/>
              </w:rPr>
            </w:pPr>
            <w:r w:rsidRPr="006A77F2">
              <w:rPr>
                <w:rFonts w:cs="Arial"/>
                <w:b/>
                <w:bCs/>
              </w:rPr>
              <w:t>A record of all individuals receiving treatment under this PGD should also be kept for audit purposes in accordance with the specification.</w:t>
            </w:r>
          </w:p>
        </w:tc>
      </w:tr>
    </w:tbl>
    <w:p w14:paraId="020EA3A3" w14:textId="77777777" w:rsidR="0080528C" w:rsidRPr="006A77F2" w:rsidRDefault="0080528C" w:rsidP="0080528C">
      <w:pPr>
        <w:rPr>
          <w:b/>
        </w:rPr>
      </w:pPr>
    </w:p>
    <w:p w14:paraId="1CDB2D57" w14:textId="77777777" w:rsidR="000B3541" w:rsidRPr="006A77F2" w:rsidRDefault="000B3541" w:rsidP="000B3541"/>
    <w:p w14:paraId="0BF3D7EF" w14:textId="77777777" w:rsidR="00B37F58" w:rsidRPr="006A77F2" w:rsidRDefault="00B37F58">
      <w:pPr>
        <w:spacing w:after="0" w:line="240" w:lineRule="auto"/>
        <w:textboxTightWrap w:val="none"/>
        <w:rPr>
          <w:rFonts w:ascii="Arial Bold" w:hAnsi="Arial Bold" w:cs="Arial"/>
          <w:b/>
          <w:color w:val="005EB8"/>
          <w:kern w:val="28"/>
          <w:sz w:val="36"/>
          <w14:ligatures w14:val="standardContextual"/>
        </w:rPr>
      </w:pPr>
      <w:r w:rsidRPr="006A77F2">
        <w:br w:type="page"/>
      </w:r>
    </w:p>
    <w:p w14:paraId="335D1CAA" w14:textId="14975064" w:rsidR="00194255" w:rsidRPr="006A77F2" w:rsidRDefault="00194255" w:rsidP="00194255">
      <w:pPr>
        <w:pStyle w:val="h2numbered"/>
      </w:pPr>
      <w:r w:rsidRPr="006A77F2">
        <w:lastRenderedPageBreak/>
        <w:t>Key references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21"/>
      </w:tblGrid>
      <w:tr w:rsidR="000C0633" w:rsidRPr="006A77F2" w14:paraId="4C4BB0DA" w14:textId="77777777" w:rsidTr="000C0633">
        <w:tc>
          <w:tcPr>
            <w:tcW w:w="3261" w:type="dxa"/>
            <w:shd w:val="clear" w:color="auto" w:fill="BFBFBF" w:themeFill="text1" w:themeFillShade="BF"/>
          </w:tcPr>
          <w:p w14:paraId="67FC7619" w14:textId="7867D2F9" w:rsidR="000C0633" w:rsidRPr="006A77F2" w:rsidRDefault="000C0633" w:rsidP="006D19F4">
            <w:pPr>
              <w:overflowPunct w:val="0"/>
              <w:autoSpaceDE w:val="0"/>
              <w:autoSpaceDN w:val="0"/>
              <w:adjustRightInd w:val="0"/>
              <w:spacing w:before="60" w:after="60"/>
              <w:textAlignment w:val="baseline"/>
              <w:rPr>
                <w:rFonts w:cs="Arial"/>
                <w:b/>
              </w:rPr>
            </w:pPr>
            <w:r w:rsidRPr="006A77F2">
              <w:rPr>
                <w:b/>
                <w:szCs w:val="20"/>
              </w:rPr>
              <w:br w:type="page"/>
            </w:r>
            <w:r w:rsidRPr="006A77F2">
              <w:rPr>
                <w:rFonts w:cs="Arial"/>
                <w:b/>
              </w:rPr>
              <w:t>Key references</w:t>
            </w:r>
          </w:p>
        </w:tc>
        <w:tc>
          <w:tcPr>
            <w:tcW w:w="6521" w:type="dxa"/>
          </w:tcPr>
          <w:p w14:paraId="639F0874"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Electronic Medicines Compendium </w:t>
            </w:r>
            <w:hyperlink r:id="rId37" w:history="1">
              <w:r w:rsidRPr="006A77F2">
                <w:rPr>
                  <w:rFonts w:eastAsia="Calibri" w:cs="Arial"/>
                  <w:iCs/>
                  <w:color w:val="0000FF"/>
                  <w:u w:val="single"/>
                </w:rPr>
                <w:t>http://www.medicines.org.uk/</w:t>
              </w:r>
            </w:hyperlink>
          </w:p>
          <w:p w14:paraId="67143882"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 xml:space="preserve">Electronic BNF </w:t>
            </w:r>
            <w:hyperlink r:id="rId38" w:history="1">
              <w:r w:rsidRPr="006A77F2">
                <w:rPr>
                  <w:rFonts w:eastAsia="Calibri" w:cs="Arial"/>
                  <w:iCs/>
                  <w:color w:val="0000FF"/>
                  <w:u w:val="single"/>
                </w:rPr>
                <w:t>https://bnf.nice.org.uk/</w:t>
              </w:r>
            </w:hyperlink>
            <w:r w:rsidRPr="006A77F2">
              <w:rPr>
                <w:rFonts w:eastAsia="Calibri" w:cs="Arial"/>
                <w:iCs/>
              </w:rPr>
              <w:t xml:space="preserve">  </w:t>
            </w:r>
          </w:p>
          <w:p w14:paraId="0DC8C26C" w14:textId="6B1DD8B1"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iCs/>
              </w:rPr>
            </w:pPr>
            <w:r w:rsidRPr="006A77F2">
              <w:rPr>
                <w:rFonts w:eastAsia="Calibri" w:cs="Arial"/>
                <w:iCs/>
              </w:rPr>
              <w:t>N</w:t>
            </w:r>
            <w:r w:rsidRPr="006A77F2">
              <w:rPr>
                <w:rFonts w:eastAsia="Calibri" w:cs="Arial"/>
              </w:rPr>
              <w:t xml:space="preserve">ational Institute for Health and Care Excellence (2013). Overview | Patient group directions | Guidance | NICE | Updated March </w:t>
            </w:r>
            <w:r w:rsidR="006A77F2" w:rsidRPr="006A77F2">
              <w:rPr>
                <w:rFonts w:eastAsia="Calibri" w:cs="Arial"/>
              </w:rPr>
              <w:t>2017 Available</w:t>
            </w:r>
            <w:r w:rsidRPr="006A77F2">
              <w:rPr>
                <w:rFonts w:eastAsia="Calibri" w:cs="Arial"/>
              </w:rPr>
              <w:t xml:space="preserve"> at: </w:t>
            </w:r>
            <w:hyperlink r:id="rId39" w:history="1">
              <w:r w:rsidRPr="006A77F2">
                <w:rPr>
                  <w:rFonts w:eastAsia="Calibri" w:cs="Arial"/>
                  <w:color w:val="0000FF"/>
                  <w:u w:val="single"/>
                </w:rPr>
                <w:t>https://www.nice.org.uk/Guidance/MPG2</w:t>
              </w:r>
            </w:hyperlink>
            <w:r w:rsidRPr="006A77F2">
              <w:rPr>
                <w:rFonts w:eastAsia="Calibri" w:cs="Arial"/>
              </w:rPr>
              <w:t xml:space="preserve"> [</w:t>
            </w:r>
          </w:p>
          <w:p w14:paraId="69D771FD"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 xml:space="preserve">National Institute for Health and Care Excellence (2007). Overview | Varenicline for smoking cessation | Guidance | NICE. Available at: </w:t>
            </w:r>
            <w:hyperlink r:id="rId40" w:history="1">
              <w:r w:rsidRPr="006A77F2">
                <w:rPr>
                  <w:rFonts w:eastAsia="Calibri" w:cs="Arial"/>
                  <w:color w:val="0000FF"/>
                  <w:u w:val="single"/>
                </w:rPr>
                <w:t>https://www.nice.org.uk/guidance/ta123</w:t>
              </w:r>
            </w:hyperlink>
          </w:p>
          <w:p w14:paraId="093CDF10" w14:textId="77777777" w:rsidR="00CD20CA" w:rsidRPr="006A77F2" w:rsidRDefault="00CD20CA" w:rsidP="00CD20CA">
            <w:pPr>
              <w:widowControl w:val="0"/>
              <w:numPr>
                <w:ilvl w:val="0"/>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Specialist Pharmacy Service (2023). Considering drug interactions with smoking. Available at: </w:t>
            </w:r>
            <w:hyperlink r:id="rId41" w:history="1">
              <w:r w:rsidRPr="006A77F2">
                <w:rPr>
                  <w:rStyle w:val="Hyperlink"/>
                  <w:rFonts w:ascii="Arial" w:eastAsia="Calibri" w:hAnsi="Arial" w:cs="Arial"/>
                  <w:color w:val="3333FF"/>
                </w:rPr>
                <w:t>https://www.sps.nhs.uk/articles/considering-drug-interactions-with-smoking/</w:t>
              </w:r>
            </w:hyperlink>
            <w:r w:rsidRPr="006A77F2">
              <w:rPr>
                <w:rFonts w:eastAsia="Calibri" w:cs="Arial"/>
                <w:color w:val="3333FF"/>
              </w:rPr>
              <w:t xml:space="preserve"> </w:t>
            </w:r>
          </w:p>
          <w:p w14:paraId="7F462EB8" w14:textId="77777777" w:rsidR="00CD20CA" w:rsidRPr="006A77F2" w:rsidRDefault="00CD20CA" w:rsidP="00CD20CA">
            <w:pPr>
              <w:widowControl w:val="0"/>
              <w:numPr>
                <w:ilvl w:val="0"/>
                <w:numId w:val="15"/>
              </w:numPr>
              <w:overflowPunct w:val="0"/>
              <w:autoSpaceDE w:val="0"/>
              <w:autoSpaceDN w:val="0"/>
              <w:adjustRightInd w:val="0"/>
              <w:spacing w:after="0" w:line="240" w:lineRule="auto"/>
              <w:textAlignment w:val="baseline"/>
              <w:textboxTightWrap w:val="none"/>
              <w:rPr>
                <w:rFonts w:eastAsia="Calibri" w:cs="Arial"/>
              </w:rPr>
            </w:pPr>
            <w:r w:rsidRPr="006A77F2">
              <w:rPr>
                <w:rFonts w:eastAsia="Calibri" w:cs="Arial"/>
              </w:rPr>
              <w:t xml:space="preserve">Specialist Pharmacy Service (2023). Managing specific interactions with smoking.  Available at:  </w:t>
            </w:r>
            <w:hyperlink r:id="rId42" w:history="1">
              <w:r w:rsidRPr="006A77F2">
                <w:rPr>
                  <w:rStyle w:val="Hyperlink"/>
                  <w:rFonts w:ascii="Arial" w:eastAsia="Calibri" w:hAnsi="Arial" w:cs="Arial"/>
                  <w:color w:val="3333FF"/>
                </w:rPr>
                <w:t>https://www.sps.nhs.uk/articles/managing-specific-interactions-with-smoking/</w:t>
              </w:r>
            </w:hyperlink>
            <w:r w:rsidRPr="006A77F2">
              <w:rPr>
                <w:rFonts w:eastAsia="Calibri" w:cs="Arial"/>
              </w:rPr>
              <w:t xml:space="preserve"> </w:t>
            </w:r>
          </w:p>
          <w:p w14:paraId="427B34BE"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 xml:space="preserve">Medicines and Healthcare products Regulatory Agency (2014). Smoking and smoking cessation: clinically significant interactions with commonly used medicines. GOV.UK. Available at: </w:t>
            </w:r>
            <w:hyperlink r:id="rId43" w:history="1">
              <w:r w:rsidRPr="006A77F2">
                <w:rPr>
                  <w:rFonts w:eastAsia="Calibri" w:cs="Arial"/>
                  <w:color w:val="0000FF"/>
                  <w:u w:val="single"/>
                </w:rPr>
                <w:t>https://www.gov.uk/drug-safety-update/smoking-and-smoking-cessation-clinically-significant-interactions-with-commonly-used-medicines</w:t>
              </w:r>
            </w:hyperlink>
            <w:r w:rsidRPr="006A77F2">
              <w:rPr>
                <w:rFonts w:eastAsia="Calibri" w:cs="Arial"/>
              </w:rPr>
              <w:t xml:space="preserve"> </w:t>
            </w:r>
          </w:p>
          <w:p w14:paraId="0BA32615"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 xml:space="preserve">National Institute for Health and Care Excellence CKS. Smoking cessation: Which drugs are affected by stopping smoking? Available at: </w:t>
            </w:r>
            <w:hyperlink r:id="rId44" w:history="1">
              <w:r w:rsidRPr="006A77F2">
                <w:rPr>
                  <w:rStyle w:val="Hyperlink"/>
                  <w:rFonts w:ascii="Arial" w:eastAsia="Calibri" w:hAnsi="Arial" w:cs="Arial"/>
                  <w:color w:val="3333FF"/>
                </w:rPr>
                <w:t>https://cks.nice.org.uk/topics/smoking-cessation/prescribing-information/drugs-affected-by-smoking-cessation/</w:t>
              </w:r>
            </w:hyperlink>
            <w:r w:rsidRPr="006A77F2">
              <w:rPr>
                <w:rFonts w:eastAsia="Calibri" w:cs="Arial"/>
                <w:color w:val="3333FF"/>
              </w:rPr>
              <w:t xml:space="preserve"> </w:t>
            </w:r>
          </w:p>
          <w:p w14:paraId="0CF8AAEE"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4" w:hanging="284"/>
              <w:textAlignment w:val="baseline"/>
              <w:textboxTightWrap w:val="none"/>
              <w:rPr>
                <w:rFonts w:eastAsia="Calibri" w:cs="Arial"/>
              </w:rPr>
            </w:pPr>
            <w:r w:rsidRPr="006A77F2">
              <w:rPr>
                <w:rFonts w:eastAsia="Calibri" w:cs="Arial"/>
              </w:rPr>
              <w:t xml:space="preserve">West R, Evins AE, Benowitz NL, Russ C, McRae T, Lawrence D, St Aubin L, Krishen A, </w:t>
            </w:r>
            <w:proofErr w:type="spellStart"/>
            <w:r w:rsidRPr="006A77F2">
              <w:rPr>
                <w:rFonts w:eastAsia="Calibri" w:cs="Arial"/>
              </w:rPr>
              <w:t>Maravic</w:t>
            </w:r>
            <w:proofErr w:type="spellEnd"/>
            <w:r w:rsidRPr="006A77F2">
              <w:rPr>
                <w:rFonts w:eastAsia="Calibri" w:cs="Arial"/>
              </w:rPr>
              <w:t xml:space="preserve"> MC, </w:t>
            </w:r>
            <w:proofErr w:type="spellStart"/>
            <w:r w:rsidRPr="006A77F2">
              <w:rPr>
                <w:rFonts w:eastAsia="Calibri" w:cs="Arial"/>
              </w:rPr>
              <w:t>Anthenelli</w:t>
            </w:r>
            <w:proofErr w:type="spellEnd"/>
            <w:r w:rsidRPr="006A77F2">
              <w:rPr>
                <w:rFonts w:eastAsia="Calibri" w:cs="Arial"/>
              </w:rPr>
              <w:t xml:space="preserve"> RM. (2018). Factors associated with the efficacy of smoking cessation treatments and predictors of smoking abstinence in EAGLES. Addiction (Abingdon, England), 113(8), pp.1507–1516. Available at: </w:t>
            </w:r>
            <w:hyperlink r:id="rId45" w:history="1">
              <w:r w:rsidRPr="006A77F2">
                <w:rPr>
                  <w:rStyle w:val="Hyperlink"/>
                  <w:rFonts w:ascii="Arial" w:eastAsia="Calibri" w:hAnsi="Arial" w:cs="Arial"/>
                  <w:color w:val="3333FF"/>
                </w:rPr>
                <w:t>https://www.ncbi.nlm.nih.gov/pmc/articles/PMC6055735/</w:t>
              </w:r>
            </w:hyperlink>
            <w:r w:rsidRPr="006A77F2">
              <w:rPr>
                <w:rFonts w:eastAsia="Calibri" w:cs="Arial"/>
                <w:color w:val="3333FF"/>
              </w:rPr>
              <w:t xml:space="preserve"> </w:t>
            </w:r>
          </w:p>
          <w:p w14:paraId="3AC221E3"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 xml:space="preserve">National Centre for Smoking Cessation and Training (NCSCT) (2024). Varenicline. Available at: </w:t>
            </w:r>
            <w:hyperlink r:id="rId46" w:history="1">
              <w:r w:rsidRPr="006A77F2">
                <w:rPr>
                  <w:rStyle w:val="Hyperlink"/>
                  <w:rFonts w:ascii="Arial" w:eastAsia="Calibri" w:hAnsi="Arial" w:cs="Arial"/>
                  <w:color w:val="3333FF"/>
                </w:rPr>
                <w:t>https://www.ncsct.co.uk/library/view/pdf/NCSCT-Generic-varenicline.pdf</w:t>
              </w:r>
            </w:hyperlink>
            <w:r w:rsidRPr="006A77F2">
              <w:rPr>
                <w:rFonts w:eastAsia="Calibri" w:cs="Arial"/>
                <w:color w:val="3333FF"/>
              </w:rPr>
              <w:t xml:space="preserve"> </w:t>
            </w:r>
          </w:p>
          <w:p w14:paraId="7EF545F7" w14:textId="77777777" w:rsidR="00CD20CA"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lastRenderedPageBreak/>
              <w:t xml:space="preserve">National Centre for Smoking Cessation and Training (NCSCT). NHS Standard Treatment Plan (STP) for Inpatient Tobacco Dependence in Mental Health Hospitals. Available at: </w:t>
            </w:r>
            <w:hyperlink r:id="rId47" w:history="1">
              <w:r w:rsidRPr="006A77F2">
                <w:rPr>
                  <w:rStyle w:val="Hyperlink"/>
                  <w:rFonts w:ascii="Arial" w:eastAsia="Calibri" w:hAnsi="Arial" w:cs="Arial"/>
                  <w:color w:val="3333FF"/>
                </w:rPr>
                <w:t>https://www.ncsct.co.uk/publications/STP-inpatient-mental-health</w:t>
              </w:r>
            </w:hyperlink>
            <w:r w:rsidRPr="006A77F2">
              <w:rPr>
                <w:rFonts w:eastAsia="Calibri" w:cs="Arial"/>
                <w:color w:val="3333FF"/>
              </w:rPr>
              <w:t xml:space="preserve"> </w:t>
            </w:r>
          </w:p>
          <w:p w14:paraId="12AB2F8B" w14:textId="43C1DAD7" w:rsidR="000C0633" w:rsidRPr="006A77F2" w:rsidRDefault="00CD20CA" w:rsidP="00CD20CA">
            <w:pPr>
              <w:widowControl w:val="0"/>
              <w:numPr>
                <w:ilvl w:val="3"/>
                <w:numId w:val="15"/>
              </w:numPr>
              <w:overflowPunct w:val="0"/>
              <w:autoSpaceDE w:val="0"/>
              <w:autoSpaceDN w:val="0"/>
              <w:adjustRightInd w:val="0"/>
              <w:spacing w:after="0" w:line="240" w:lineRule="auto"/>
              <w:ind w:left="321" w:hanging="283"/>
              <w:textAlignment w:val="baseline"/>
              <w:textboxTightWrap w:val="none"/>
              <w:rPr>
                <w:rFonts w:eastAsia="Calibri" w:cs="Arial"/>
              </w:rPr>
            </w:pPr>
            <w:r w:rsidRPr="006A77F2">
              <w:rPr>
                <w:rFonts w:eastAsia="Calibri" w:cs="Arial"/>
              </w:rPr>
              <w:t xml:space="preserve">Agrawal S, Evison M, Ananth S, Fullerton D, McDill H, Perry M, Pollington J, </w:t>
            </w:r>
            <w:proofErr w:type="spellStart"/>
            <w:r w:rsidRPr="006A77F2">
              <w:rPr>
                <w:rFonts w:eastAsia="Calibri" w:cs="Arial"/>
              </w:rPr>
              <w:t>Restick</w:t>
            </w:r>
            <w:proofErr w:type="spellEnd"/>
            <w:r w:rsidRPr="006A77F2">
              <w:rPr>
                <w:rFonts w:eastAsia="Calibri" w:cs="Arial"/>
              </w:rPr>
              <w:t xml:space="preserve"> L, Spencer E, Vaghela A.</w:t>
            </w:r>
            <w:r w:rsidRPr="006A77F2">
              <w:rPr>
                <w:rFonts w:eastAsia="Calibri" w:cs="Arial"/>
                <w:i/>
                <w:iCs/>
              </w:rPr>
              <w:t xml:space="preserve"> </w:t>
            </w:r>
            <w:r w:rsidRPr="006A77F2">
              <w:rPr>
                <w:rFonts w:eastAsia="Calibri" w:cs="Arial"/>
              </w:rPr>
              <w:t>(2024)</w:t>
            </w:r>
            <w:r w:rsidRPr="006A77F2">
              <w:rPr>
                <w:rFonts w:eastAsia="Calibri" w:cs="Arial"/>
                <w:i/>
                <w:iCs/>
              </w:rPr>
              <w:t xml:space="preserve"> </w:t>
            </w:r>
            <w:r w:rsidRPr="006A77F2">
              <w:rPr>
                <w:rFonts w:eastAsia="Calibri" w:cs="Arial"/>
              </w:rPr>
              <w:t xml:space="preserve">Medical management of inpatients with tobacco dependency. </w:t>
            </w:r>
            <w:r w:rsidRPr="006A77F2">
              <w:rPr>
                <w:rFonts w:eastAsia="Calibri" w:cs="Arial"/>
                <w:i/>
                <w:iCs/>
              </w:rPr>
              <w:t>Thorax</w:t>
            </w:r>
            <w:r w:rsidRPr="006A77F2">
              <w:rPr>
                <w:rFonts w:eastAsia="Calibri" w:cs="Arial"/>
              </w:rPr>
              <w:t xml:space="preserve">; </w:t>
            </w:r>
            <w:r w:rsidRPr="006A77F2">
              <w:rPr>
                <w:rFonts w:eastAsia="Calibri" w:cs="Arial"/>
                <w:b/>
                <w:bCs/>
              </w:rPr>
              <w:t>79:</w:t>
            </w:r>
            <w:r w:rsidRPr="006A77F2">
              <w:rPr>
                <w:rFonts w:eastAsia="Calibri" w:cs="Arial"/>
              </w:rPr>
              <w:t xml:space="preserve">3-11. Available at: </w:t>
            </w:r>
            <w:hyperlink r:id="rId48" w:history="1">
              <w:r w:rsidRPr="006A77F2">
                <w:rPr>
                  <w:rStyle w:val="Hyperlink"/>
                  <w:rFonts w:ascii="Arial" w:eastAsia="Calibri" w:hAnsi="Arial" w:cs="Arial"/>
                  <w:color w:val="3333FF"/>
                </w:rPr>
                <w:t>https://thorax.bmj.com/content/thoraxjnl/79/Suppl_1/3.full.pdf</w:t>
              </w:r>
            </w:hyperlink>
          </w:p>
        </w:tc>
      </w:tr>
    </w:tbl>
    <w:p w14:paraId="0ECC6E5E" w14:textId="77777777" w:rsidR="000C0633" w:rsidRPr="006A77F2" w:rsidRDefault="000C0633" w:rsidP="000C0633">
      <w:pPr>
        <w:rPr>
          <w:b/>
          <w:szCs w:val="20"/>
        </w:rPr>
      </w:pPr>
    </w:p>
    <w:p w14:paraId="36FF63DA" w14:textId="77777777" w:rsidR="00194255" w:rsidRPr="006A77F2" w:rsidRDefault="00194255" w:rsidP="00194255"/>
    <w:p w14:paraId="0F5009B7" w14:textId="3142AB49" w:rsidR="00FE6511" w:rsidRPr="006A77F2" w:rsidRDefault="00F46773" w:rsidP="00FE6511">
      <w:pPr>
        <w:spacing w:after="0" w:line="240" w:lineRule="auto"/>
        <w:textboxTightWrap w:val="none"/>
      </w:pPr>
      <w:r w:rsidRPr="006A77F2">
        <w:br w:type="page"/>
      </w:r>
    </w:p>
    <w:p w14:paraId="3E7971B0" w14:textId="42737C6E" w:rsidR="001D7F4C" w:rsidRPr="00487039" w:rsidRDefault="00FE6511" w:rsidP="00487039">
      <w:pPr>
        <w:pStyle w:val="Heading2"/>
      </w:pPr>
      <w:r w:rsidRPr="006A77F2">
        <w:lastRenderedPageBreak/>
        <w:t>Appendix A</w:t>
      </w:r>
    </w:p>
    <w:p w14:paraId="5C307244" w14:textId="118ECFC7" w:rsidR="00FE6511" w:rsidRPr="006A77F2" w:rsidRDefault="0087684A" w:rsidP="00B411C3">
      <w:pPr>
        <w:pStyle w:val="Heading2"/>
      </w:pPr>
      <w:r w:rsidRPr="006A77F2">
        <w:t>Pharmacists and Pharmacy Technicians authorisation sheet</w:t>
      </w:r>
      <w:r w:rsidR="00FE6511" w:rsidRPr="006A77F2">
        <w:t xml:space="preserve"> (example – local versions/electronic systems may be used)</w:t>
      </w:r>
    </w:p>
    <w:p w14:paraId="19A5DF5A" w14:textId="77777777" w:rsidR="00BD5E8D" w:rsidRDefault="00FE6511" w:rsidP="00BD5E8D">
      <w:pPr>
        <w:overflowPunct w:val="0"/>
        <w:autoSpaceDE w:val="0"/>
        <w:autoSpaceDN w:val="0"/>
        <w:adjustRightInd w:val="0"/>
        <w:ind w:rightChars="-375" w:right="-900"/>
        <w:textAlignment w:val="baseline"/>
        <w:rPr>
          <w:b/>
          <w:bCs/>
        </w:rPr>
      </w:pPr>
      <w:r w:rsidRPr="006A77F2">
        <w:rPr>
          <w:b/>
        </w:rPr>
        <w:t>PGD</w:t>
      </w:r>
      <w:r w:rsidR="00BD5E8D">
        <w:rPr>
          <w:b/>
        </w:rPr>
        <w:t xml:space="preserve"> V</w:t>
      </w:r>
      <w:r w:rsidR="00BD5E8D" w:rsidRPr="00BD5E8D">
        <w:rPr>
          <w:b/>
          <w:bCs/>
        </w:rPr>
        <w:t>arenicline</w:t>
      </w:r>
      <w:r w:rsidR="00BD5E8D">
        <w:rPr>
          <w:b/>
          <w:bCs/>
        </w:rPr>
        <w:t xml:space="preserve"> Version 1.0</w:t>
      </w:r>
    </w:p>
    <w:p w14:paraId="16E9F3B9" w14:textId="148D8FB0" w:rsidR="00FE6511" w:rsidRPr="00BD5E8D" w:rsidRDefault="00FE6511" w:rsidP="00BD5E8D">
      <w:pPr>
        <w:overflowPunct w:val="0"/>
        <w:autoSpaceDE w:val="0"/>
        <w:autoSpaceDN w:val="0"/>
        <w:adjustRightInd w:val="0"/>
        <w:ind w:rightChars="-375" w:right="-900"/>
        <w:textAlignment w:val="baseline"/>
        <w:rPr>
          <w:b/>
          <w:bCs/>
        </w:rPr>
      </w:pPr>
      <w:r w:rsidRPr="006A77F2">
        <w:rPr>
          <w:b/>
        </w:rPr>
        <w:t xml:space="preserve">Valid from:  </w:t>
      </w:r>
      <w:r w:rsidR="00BD5E8D" w:rsidRPr="002C0C01">
        <w:rPr>
          <w:b/>
          <w:highlight w:val="yellow"/>
        </w:rPr>
        <w:t xml:space="preserve">xx </w:t>
      </w:r>
      <w:r w:rsidR="002C0C01" w:rsidRPr="002C0C01">
        <w:rPr>
          <w:b/>
          <w:highlight w:val="yellow"/>
        </w:rPr>
        <w:t xml:space="preserve">xxx </w:t>
      </w:r>
      <w:proofErr w:type="spellStart"/>
      <w:r w:rsidR="002C0C01" w:rsidRPr="002C0C01">
        <w:rPr>
          <w:b/>
          <w:highlight w:val="yellow"/>
        </w:rPr>
        <w:t>xxxx</w:t>
      </w:r>
      <w:proofErr w:type="spellEnd"/>
      <w:r w:rsidRPr="006A77F2">
        <w:rPr>
          <w:b/>
        </w:rPr>
        <w:t xml:space="preserve">                     Expiry: </w:t>
      </w:r>
      <w:r w:rsidR="00BD5E8D">
        <w:rPr>
          <w:b/>
        </w:rPr>
        <w:t>31 October 2027</w:t>
      </w:r>
      <w:r w:rsidRPr="006A77F2">
        <w:rPr>
          <w:rFonts w:cs="Arial"/>
          <w:b/>
        </w:rPr>
        <w:t xml:space="preserve"> </w:t>
      </w:r>
    </w:p>
    <w:p w14:paraId="21F82E80" w14:textId="77777777" w:rsidR="00E22F1C" w:rsidRPr="006A77F2" w:rsidRDefault="00E22F1C" w:rsidP="00E22F1C">
      <w:pPr>
        <w:overflowPunct w:val="0"/>
        <w:autoSpaceDE w:val="0"/>
        <w:autoSpaceDN w:val="0"/>
        <w:adjustRightInd w:val="0"/>
        <w:ind w:rightChars="-375" w:right="-900"/>
        <w:textAlignment w:val="baseline"/>
        <w:rPr>
          <w:b/>
        </w:rPr>
      </w:pPr>
    </w:p>
    <w:p w14:paraId="0058FFAF" w14:textId="016D6742" w:rsidR="00FE6511" w:rsidRPr="006A77F2" w:rsidRDefault="00FE6511" w:rsidP="00FE6511">
      <w:pPr>
        <w:rPr>
          <w:sz w:val="22"/>
          <w:szCs w:val="22"/>
        </w:rPr>
      </w:pPr>
      <w:r w:rsidRPr="006A77F2">
        <w:rPr>
          <w:sz w:val="22"/>
          <w:szCs w:val="22"/>
        </w:rPr>
        <w:t>Before signing this PGD, check that the document has had the necessary authorisations. Without these, this PGD is not lawfully valid.</w:t>
      </w:r>
    </w:p>
    <w:p w14:paraId="71558F86" w14:textId="197123EB" w:rsidR="00FE6511" w:rsidRPr="006A77F2" w:rsidRDefault="00FE6511" w:rsidP="00FE6511">
      <w:pPr>
        <w:rPr>
          <w:b/>
          <w:sz w:val="22"/>
          <w:szCs w:val="22"/>
        </w:rPr>
      </w:pPr>
      <w:r w:rsidRPr="006A77F2">
        <w:rPr>
          <w:b/>
          <w:sz w:val="22"/>
          <w:szCs w:val="22"/>
        </w:rPr>
        <w:t xml:space="preserve">Registered </w:t>
      </w:r>
      <w:r w:rsidR="0087053C" w:rsidRPr="006A77F2">
        <w:rPr>
          <w:b/>
          <w:sz w:val="22"/>
          <w:szCs w:val="22"/>
        </w:rPr>
        <w:t>pharmacist or pharmacy technician</w:t>
      </w:r>
    </w:p>
    <w:p w14:paraId="7A6FF54C" w14:textId="32C76DD0" w:rsidR="00FE6511" w:rsidRPr="006A77F2" w:rsidRDefault="00FE6511" w:rsidP="00FE6511">
      <w:pPr>
        <w:spacing w:before="120" w:after="120"/>
        <w:rPr>
          <w:sz w:val="22"/>
          <w:szCs w:val="22"/>
        </w:rPr>
      </w:pPr>
      <w:r w:rsidRPr="006A77F2">
        <w:rPr>
          <w:sz w:val="22"/>
          <w:szCs w:val="22"/>
        </w:rPr>
        <w:t xml:space="preserve">By signing this </w:t>
      </w:r>
      <w:r w:rsidR="00196294" w:rsidRPr="006A77F2">
        <w:rPr>
          <w:sz w:val="22"/>
          <w:szCs w:val="22"/>
        </w:rPr>
        <w:t>PGD</w:t>
      </w:r>
      <w:r w:rsidRPr="006A77F2">
        <w:rPr>
          <w:sz w:val="22"/>
          <w:szCs w:val="22"/>
        </w:rPr>
        <w:t xml:space="preserve"> you are indicating that you agree to its contents and that you will work within it.</w:t>
      </w:r>
    </w:p>
    <w:p w14:paraId="3422694F" w14:textId="5A8A318C" w:rsidR="00FE6511" w:rsidRPr="006A77F2" w:rsidRDefault="00196294" w:rsidP="00FE6511">
      <w:pPr>
        <w:overflowPunct w:val="0"/>
        <w:autoSpaceDE w:val="0"/>
        <w:autoSpaceDN w:val="0"/>
        <w:adjustRightInd w:val="0"/>
        <w:spacing w:before="120" w:after="120"/>
        <w:textAlignment w:val="baseline"/>
        <w:rPr>
          <w:rFonts w:cs="Arial"/>
          <w:sz w:val="22"/>
          <w:szCs w:val="22"/>
        </w:rPr>
      </w:pPr>
      <w:r w:rsidRPr="006A77F2">
        <w:rPr>
          <w:rFonts w:cs="Arial"/>
          <w:sz w:val="22"/>
          <w:szCs w:val="22"/>
        </w:rPr>
        <w:t>PGDs</w:t>
      </w:r>
      <w:r w:rsidR="00FE6511" w:rsidRPr="006A77F2">
        <w:rPr>
          <w:rFonts w:cs="Arial"/>
          <w:sz w:val="22"/>
          <w:szCs w:val="22"/>
        </w:rPr>
        <w:t xml:space="preserve"> do not remove inherent professional obligations or accountability.</w:t>
      </w:r>
    </w:p>
    <w:p w14:paraId="272EC98D" w14:textId="77777777" w:rsidR="00FE6511" w:rsidRPr="006A77F2" w:rsidRDefault="00FE6511" w:rsidP="00FE6511">
      <w:pPr>
        <w:overflowPunct w:val="0"/>
        <w:autoSpaceDE w:val="0"/>
        <w:autoSpaceDN w:val="0"/>
        <w:adjustRightInd w:val="0"/>
        <w:spacing w:before="120" w:after="120"/>
        <w:textAlignment w:val="baseline"/>
        <w:rPr>
          <w:rFonts w:cs="Arial"/>
          <w:sz w:val="22"/>
          <w:szCs w:val="22"/>
        </w:rPr>
      </w:pPr>
      <w:r w:rsidRPr="006A77F2">
        <w:rPr>
          <w:rFonts w:cs="Arial"/>
          <w:sz w:val="22"/>
          <w:szCs w:val="22"/>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FE6511" w:rsidRPr="006A77F2" w14:paraId="4534E9B8" w14:textId="77777777" w:rsidTr="00AB291A">
        <w:tc>
          <w:tcPr>
            <w:tcW w:w="8495" w:type="dxa"/>
            <w:gridSpan w:val="4"/>
            <w:shd w:val="clear" w:color="auto" w:fill="F2F2F2"/>
          </w:tcPr>
          <w:p w14:paraId="48F6F57F" w14:textId="3D92126D" w:rsidR="00FE6511" w:rsidRPr="006A77F2" w:rsidRDefault="00FE6511" w:rsidP="006D19F4">
            <w:pPr>
              <w:spacing w:before="120" w:after="120"/>
              <w:jc w:val="center"/>
              <w:rPr>
                <w:rFonts w:cs="Arial"/>
                <w:b/>
                <w:sz w:val="22"/>
                <w:szCs w:val="22"/>
              </w:rPr>
            </w:pPr>
            <w:r w:rsidRPr="006A77F2">
              <w:rPr>
                <w:rFonts w:cs="Arial"/>
                <w:b/>
                <w:sz w:val="22"/>
                <w:szCs w:val="22"/>
              </w:rPr>
              <w:t xml:space="preserve">I confirm that I have read and understood the content of this </w:t>
            </w:r>
            <w:r w:rsidR="00196294" w:rsidRPr="006A77F2">
              <w:rPr>
                <w:rFonts w:cs="Arial"/>
                <w:b/>
                <w:sz w:val="22"/>
                <w:szCs w:val="22"/>
              </w:rPr>
              <w:t>PGD</w:t>
            </w:r>
            <w:r w:rsidRPr="006A77F2">
              <w:rPr>
                <w:rFonts w:cs="Arial"/>
                <w:b/>
                <w:sz w:val="22"/>
                <w:szCs w:val="22"/>
              </w:rPr>
              <w:t xml:space="preserve"> and that I am willing and competent to work to it within my professional code of conduct.</w:t>
            </w:r>
          </w:p>
        </w:tc>
      </w:tr>
      <w:tr w:rsidR="00FE6511" w:rsidRPr="006A77F2" w14:paraId="79E1341A" w14:textId="77777777" w:rsidTr="00AB291A">
        <w:tc>
          <w:tcPr>
            <w:tcW w:w="2133" w:type="dxa"/>
            <w:shd w:val="clear" w:color="auto" w:fill="F2F2F2"/>
          </w:tcPr>
          <w:p w14:paraId="19F716DB"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Name</w:t>
            </w:r>
          </w:p>
        </w:tc>
        <w:tc>
          <w:tcPr>
            <w:tcW w:w="2747" w:type="dxa"/>
            <w:shd w:val="clear" w:color="auto" w:fill="F2F2F2"/>
          </w:tcPr>
          <w:p w14:paraId="37348F53"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Designation</w:t>
            </w:r>
          </w:p>
        </w:tc>
        <w:tc>
          <w:tcPr>
            <w:tcW w:w="2362" w:type="dxa"/>
            <w:shd w:val="clear" w:color="auto" w:fill="F2F2F2"/>
          </w:tcPr>
          <w:p w14:paraId="766B2CBB"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Signature</w:t>
            </w:r>
          </w:p>
        </w:tc>
        <w:tc>
          <w:tcPr>
            <w:tcW w:w="1253" w:type="dxa"/>
            <w:shd w:val="clear" w:color="auto" w:fill="F2F2F2"/>
          </w:tcPr>
          <w:p w14:paraId="089FEA03"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Date</w:t>
            </w:r>
          </w:p>
        </w:tc>
      </w:tr>
      <w:tr w:rsidR="00FE6511" w:rsidRPr="006A77F2" w14:paraId="559FA6BB" w14:textId="77777777" w:rsidTr="00AB291A">
        <w:tc>
          <w:tcPr>
            <w:tcW w:w="2133" w:type="dxa"/>
          </w:tcPr>
          <w:p w14:paraId="4F98C06E" w14:textId="77777777" w:rsidR="00FE6511" w:rsidRPr="006A77F2" w:rsidRDefault="00FE6511" w:rsidP="006D19F4">
            <w:pPr>
              <w:jc w:val="center"/>
              <w:rPr>
                <w:rFonts w:cs="Arial"/>
                <w:sz w:val="22"/>
                <w:szCs w:val="22"/>
              </w:rPr>
            </w:pPr>
            <w:r w:rsidRPr="006A77F2">
              <w:rPr>
                <w:rFonts w:cs="Arial"/>
                <w:sz w:val="22"/>
                <w:szCs w:val="22"/>
              </w:rPr>
              <w:t xml:space="preserve"> </w:t>
            </w:r>
          </w:p>
          <w:p w14:paraId="321B26E3" w14:textId="77777777" w:rsidR="00FE6511" w:rsidRPr="006A77F2" w:rsidRDefault="00FE6511" w:rsidP="006D19F4">
            <w:pPr>
              <w:jc w:val="center"/>
              <w:rPr>
                <w:rFonts w:cs="Arial"/>
                <w:sz w:val="22"/>
                <w:szCs w:val="22"/>
              </w:rPr>
            </w:pPr>
          </w:p>
        </w:tc>
        <w:tc>
          <w:tcPr>
            <w:tcW w:w="2747" w:type="dxa"/>
          </w:tcPr>
          <w:p w14:paraId="56AF8DA8" w14:textId="77777777" w:rsidR="00FE6511" w:rsidRPr="006A77F2" w:rsidRDefault="00FE6511" w:rsidP="006D19F4">
            <w:pPr>
              <w:jc w:val="center"/>
              <w:rPr>
                <w:rFonts w:cs="Arial"/>
                <w:sz w:val="22"/>
                <w:szCs w:val="22"/>
              </w:rPr>
            </w:pPr>
            <w:r w:rsidRPr="006A77F2">
              <w:rPr>
                <w:rFonts w:cs="Arial"/>
                <w:sz w:val="22"/>
                <w:szCs w:val="22"/>
              </w:rPr>
              <w:t xml:space="preserve"> </w:t>
            </w:r>
          </w:p>
          <w:p w14:paraId="27DA52E7" w14:textId="77777777" w:rsidR="00FE6511" w:rsidRPr="006A77F2" w:rsidRDefault="00FE6511" w:rsidP="006D19F4">
            <w:pPr>
              <w:jc w:val="center"/>
              <w:rPr>
                <w:rFonts w:cs="Arial"/>
                <w:sz w:val="22"/>
                <w:szCs w:val="22"/>
              </w:rPr>
            </w:pPr>
          </w:p>
        </w:tc>
        <w:tc>
          <w:tcPr>
            <w:tcW w:w="2362" w:type="dxa"/>
          </w:tcPr>
          <w:p w14:paraId="7DAB3ED5" w14:textId="77777777" w:rsidR="00FE6511" w:rsidRPr="006A77F2" w:rsidRDefault="00FE6511" w:rsidP="006D19F4">
            <w:pPr>
              <w:jc w:val="center"/>
              <w:rPr>
                <w:rFonts w:cs="Arial"/>
                <w:sz w:val="22"/>
                <w:szCs w:val="22"/>
              </w:rPr>
            </w:pPr>
            <w:r w:rsidRPr="006A77F2">
              <w:rPr>
                <w:rFonts w:cs="Arial"/>
                <w:sz w:val="22"/>
                <w:szCs w:val="22"/>
              </w:rPr>
              <w:t xml:space="preserve"> </w:t>
            </w:r>
          </w:p>
          <w:p w14:paraId="2D966632" w14:textId="77777777" w:rsidR="00FE6511" w:rsidRPr="006A77F2" w:rsidRDefault="00FE6511" w:rsidP="006D19F4">
            <w:pPr>
              <w:jc w:val="center"/>
              <w:rPr>
                <w:rFonts w:cs="Arial"/>
                <w:sz w:val="22"/>
                <w:szCs w:val="22"/>
              </w:rPr>
            </w:pPr>
          </w:p>
        </w:tc>
        <w:tc>
          <w:tcPr>
            <w:tcW w:w="1253" w:type="dxa"/>
          </w:tcPr>
          <w:p w14:paraId="7DDB4688" w14:textId="77777777" w:rsidR="00FE6511" w:rsidRPr="006A77F2" w:rsidRDefault="00FE6511" w:rsidP="006D19F4">
            <w:pPr>
              <w:jc w:val="center"/>
              <w:rPr>
                <w:rFonts w:cs="Arial"/>
                <w:sz w:val="22"/>
                <w:szCs w:val="22"/>
              </w:rPr>
            </w:pPr>
            <w:r w:rsidRPr="006A77F2">
              <w:rPr>
                <w:rFonts w:cs="Arial"/>
                <w:sz w:val="22"/>
                <w:szCs w:val="22"/>
              </w:rPr>
              <w:t xml:space="preserve"> </w:t>
            </w:r>
          </w:p>
          <w:p w14:paraId="602DBC5A" w14:textId="77777777" w:rsidR="00FE6511" w:rsidRPr="006A77F2" w:rsidRDefault="00FE6511" w:rsidP="006D19F4">
            <w:pPr>
              <w:jc w:val="center"/>
              <w:rPr>
                <w:rFonts w:cs="Arial"/>
                <w:sz w:val="22"/>
                <w:szCs w:val="22"/>
              </w:rPr>
            </w:pPr>
          </w:p>
        </w:tc>
      </w:tr>
      <w:tr w:rsidR="00FE6511" w:rsidRPr="006A77F2" w14:paraId="6F902E15" w14:textId="77777777" w:rsidTr="00AB291A">
        <w:tc>
          <w:tcPr>
            <w:tcW w:w="2133" w:type="dxa"/>
          </w:tcPr>
          <w:p w14:paraId="68CC2C32" w14:textId="77777777" w:rsidR="00FE6511" w:rsidRPr="006A77F2" w:rsidRDefault="00FE6511" w:rsidP="006D19F4">
            <w:pPr>
              <w:jc w:val="center"/>
              <w:rPr>
                <w:rFonts w:cs="Arial"/>
                <w:sz w:val="22"/>
                <w:szCs w:val="22"/>
              </w:rPr>
            </w:pPr>
            <w:r w:rsidRPr="006A77F2">
              <w:rPr>
                <w:rFonts w:cs="Arial"/>
                <w:sz w:val="22"/>
                <w:szCs w:val="22"/>
              </w:rPr>
              <w:t xml:space="preserve"> </w:t>
            </w:r>
          </w:p>
          <w:p w14:paraId="7BC87950" w14:textId="77777777" w:rsidR="00FE6511" w:rsidRPr="006A77F2" w:rsidRDefault="00FE6511" w:rsidP="006D19F4">
            <w:pPr>
              <w:jc w:val="center"/>
              <w:rPr>
                <w:rFonts w:cs="Arial"/>
                <w:sz w:val="22"/>
                <w:szCs w:val="22"/>
              </w:rPr>
            </w:pPr>
          </w:p>
        </w:tc>
        <w:tc>
          <w:tcPr>
            <w:tcW w:w="2747" w:type="dxa"/>
          </w:tcPr>
          <w:p w14:paraId="54E2FBA1" w14:textId="77777777" w:rsidR="00FE6511" w:rsidRPr="006A77F2" w:rsidRDefault="00FE6511" w:rsidP="006D19F4">
            <w:pPr>
              <w:jc w:val="center"/>
              <w:rPr>
                <w:rFonts w:cs="Arial"/>
                <w:sz w:val="22"/>
                <w:szCs w:val="22"/>
              </w:rPr>
            </w:pPr>
            <w:r w:rsidRPr="006A77F2">
              <w:rPr>
                <w:rFonts w:cs="Arial"/>
                <w:sz w:val="22"/>
                <w:szCs w:val="22"/>
              </w:rPr>
              <w:t xml:space="preserve"> </w:t>
            </w:r>
          </w:p>
          <w:p w14:paraId="22DC3C36" w14:textId="77777777" w:rsidR="00FE6511" w:rsidRPr="006A77F2" w:rsidRDefault="00FE6511" w:rsidP="006D19F4">
            <w:pPr>
              <w:jc w:val="center"/>
              <w:rPr>
                <w:rFonts w:cs="Arial"/>
                <w:sz w:val="22"/>
                <w:szCs w:val="22"/>
              </w:rPr>
            </w:pPr>
          </w:p>
        </w:tc>
        <w:tc>
          <w:tcPr>
            <w:tcW w:w="2362" w:type="dxa"/>
          </w:tcPr>
          <w:p w14:paraId="75FEAC98" w14:textId="77777777" w:rsidR="00FE6511" w:rsidRPr="006A77F2" w:rsidRDefault="00FE6511" w:rsidP="006D19F4">
            <w:pPr>
              <w:jc w:val="center"/>
              <w:rPr>
                <w:rFonts w:cs="Arial"/>
                <w:sz w:val="22"/>
                <w:szCs w:val="22"/>
              </w:rPr>
            </w:pPr>
            <w:r w:rsidRPr="006A77F2">
              <w:rPr>
                <w:rFonts w:cs="Arial"/>
                <w:sz w:val="22"/>
                <w:szCs w:val="22"/>
              </w:rPr>
              <w:t xml:space="preserve"> </w:t>
            </w:r>
          </w:p>
          <w:p w14:paraId="46304046" w14:textId="77777777" w:rsidR="00FE6511" w:rsidRPr="006A77F2" w:rsidRDefault="00FE6511" w:rsidP="006D19F4">
            <w:pPr>
              <w:jc w:val="center"/>
              <w:rPr>
                <w:rFonts w:cs="Arial"/>
                <w:sz w:val="22"/>
                <w:szCs w:val="22"/>
              </w:rPr>
            </w:pPr>
          </w:p>
        </w:tc>
        <w:tc>
          <w:tcPr>
            <w:tcW w:w="1253" w:type="dxa"/>
          </w:tcPr>
          <w:p w14:paraId="441E9D6A" w14:textId="77777777" w:rsidR="00FE6511" w:rsidRPr="006A77F2" w:rsidRDefault="00FE6511" w:rsidP="006D19F4">
            <w:pPr>
              <w:jc w:val="center"/>
              <w:rPr>
                <w:rFonts w:cs="Arial"/>
                <w:sz w:val="22"/>
                <w:szCs w:val="22"/>
              </w:rPr>
            </w:pPr>
            <w:r w:rsidRPr="006A77F2">
              <w:rPr>
                <w:rFonts w:cs="Arial"/>
                <w:sz w:val="22"/>
                <w:szCs w:val="22"/>
              </w:rPr>
              <w:t xml:space="preserve"> </w:t>
            </w:r>
          </w:p>
          <w:p w14:paraId="6589B922" w14:textId="77777777" w:rsidR="00FE6511" w:rsidRPr="006A77F2" w:rsidRDefault="00FE6511" w:rsidP="006D19F4">
            <w:pPr>
              <w:jc w:val="center"/>
              <w:rPr>
                <w:rFonts w:cs="Arial"/>
                <w:sz w:val="22"/>
                <w:szCs w:val="22"/>
              </w:rPr>
            </w:pPr>
          </w:p>
        </w:tc>
      </w:tr>
      <w:tr w:rsidR="00FE6511" w:rsidRPr="006A77F2" w14:paraId="3B5F3C8E" w14:textId="77777777" w:rsidTr="00AB291A">
        <w:trPr>
          <w:trHeight w:val="569"/>
        </w:trPr>
        <w:tc>
          <w:tcPr>
            <w:tcW w:w="2133" w:type="dxa"/>
          </w:tcPr>
          <w:p w14:paraId="0944C894" w14:textId="77777777" w:rsidR="00FE6511" w:rsidRPr="006A77F2" w:rsidRDefault="00FE6511" w:rsidP="006D19F4">
            <w:pPr>
              <w:jc w:val="center"/>
              <w:rPr>
                <w:rFonts w:cs="Arial"/>
                <w:sz w:val="22"/>
                <w:szCs w:val="22"/>
              </w:rPr>
            </w:pPr>
            <w:r w:rsidRPr="006A77F2">
              <w:rPr>
                <w:rFonts w:cs="Arial"/>
                <w:sz w:val="22"/>
                <w:szCs w:val="22"/>
              </w:rPr>
              <w:t xml:space="preserve"> </w:t>
            </w:r>
          </w:p>
          <w:p w14:paraId="2ECF8D70" w14:textId="77777777" w:rsidR="00FE6511" w:rsidRPr="006A77F2" w:rsidRDefault="00FE6511" w:rsidP="006D19F4">
            <w:pPr>
              <w:jc w:val="center"/>
              <w:rPr>
                <w:rFonts w:cs="Arial"/>
                <w:sz w:val="22"/>
                <w:szCs w:val="22"/>
              </w:rPr>
            </w:pPr>
          </w:p>
        </w:tc>
        <w:tc>
          <w:tcPr>
            <w:tcW w:w="2747" w:type="dxa"/>
          </w:tcPr>
          <w:p w14:paraId="6B71D9F3" w14:textId="77777777" w:rsidR="00FE6511" w:rsidRPr="006A77F2" w:rsidRDefault="00FE6511" w:rsidP="006D19F4">
            <w:pPr>
              <w:jc w:val="center"/>
              <w:rPr>
                <w:rFonts w:cs="Arial"/>
                <w:sz w:val="22"/>
                <w:szCs w:val="22"/>
              </w:rPr>
            </w:pPr>
            <w:r w:rsidRPr="006A77F2">
              <w:rPr>
                <w:rFonts w:cs="Arial"/>
                <w:sz w:val="22"/>
                <w:szCs w:val="22"/>
              </w:rPr>
              <w:lastRenderedPageBreak/>
              <w:t xml:space="preserve"> </w:t>
            </w:r>
          </w:p>
          <w:p w14:paraId="09C33E6F" w14:textId="77777777" w:rsidR="00FE6511" w:rsidRPr="006A77F2" w:rsidRDefault="00FE6511" w:rsidP="006D19F4">
            <w:pPr>
              <w:jc w:val="center"/>
              <w:rPr>
                <w:rFonts w:cs="Arial"/>
                <w:sz w:val="22"/>
                <w:szCs w:val="22"/>
              </w:rPr>
            </w:pPr>
          </w:p>
        </w:tc>
        <w:tc>
          <w:tcPr>
            <w:tcW w:w="2362" w:type="dxa"/>
          </w:tcPr>
          <w:p w14:paraId="223EE53E" w14:textId="77777777" w:rsidR="00FE6511" w:rsidRPr="006A77F2" w:rsidRDefault="00FE6511" w:rsidP="006D19F4">
            <w:pPr>
              <w:jc w:val="center"/>
              <w:rPr>
                <w:rFonts w:cs="Arial"/>
                <w:sz w:val="22"/>
                <w:szCs w:val="22"/>
              </w:rPr>
            </w:pPr>
            <w:r w:rsidRPr="006A77F2">
              <w:rPr>
                <w:rFonts w:cs="Arial"/>
                <w:sz w:val="22"/>
                <w:szCs w:val="22"/>
              </w:rPr>
              <w:lastRenderedPageBreak/>
              <w:t xml:space="preserve"> </w:t>
            </w:r>
          </w:p>
          <w:p w14:paraId="61ED48D9" w14:textId="77777777" w:rsidR="00FE6511" w:rsidRPr="006A77F2" w:rsidRDefault="00FE6511" w:rsidP="006D19F4">
            <w:pPr>
              <w:jc w:val="center"/>
              <w:rPr>
                <w:rFonts w:cs="Arial"/>
                <w:sz w:val="22"/>
                <w:szCs w:val="22"/>
              </w:rPr>
            </w:pPr>
          </w:p>
        </w:tc>
        <w:tc>
          <w:tcPr>
            <w:tcW w:w="1253" w:type="dxa"/>
          </w:tcPr>
          <w:p w14:paraId="6710980D" w14:textId="77777777" w:rsidR="00FE6511" w:rsidRPr="006A77F2" w:rsidRDefault="00FE6511" w:rsidP="006D19F4">
            <w:pPr>
              <w:jc w:val="center"/>
              <w:rPr>
                <w:rFonts w:cs="Arial"/>
                <w:sz w:val="22"/>
                <w:szCs w:val="22"/>
              </w:rPr>
            </w:pPr>
            <w:r w:rsidRPr="006A77F2">
              <w:rPr>
                <w:rFonts w:cs="Arial"/>
                <w:sz w:val="22"/>
                <w:szCs w:val="22"/>
              </w:rPr>
              <w:lastRenderedPageBreak/>
              <w:t xml:space="preserve"> </w:t>
            </w:r>
          </w:p>
          <w:p w14:paraId="02A62828" w14:textId="77777777" w:rsidR="00FE6511" w:rsidRPr="006A77F2" w:rsidRDefault="00FE6511" w:rsidP="006D19F4">
            <w:pPr>
              <w:jc w:val="center"/>
              <w:rPr>
                <w:rFonts w:cs="Arial"/>
                <w:sz w:val="22"/>
                <w:szCs w:val="22"/>
              </w:rPr>
            </w:pPr>
          </w:p>
        </w:tc>
      </w:tr>
      <w:tr w:rsidR="00FE6511" w:rsidRPr="006A77F2" w14:paraId="71EEAF69" w14:textId="77777777" w:rsidTr="00AB291A">
        <w:tc>
          <w:tcPr>
            <w:tcW w:w="2133" w:type="dxa"/>
          </w:tcPr>
          <w:p w14:paraId="4FA2EC01" w14:textId="77777777" w:rsidR="00FE6511" w:rsidRPr="006A77F2" w:rsidRDefault="00FE6511" w:rsidP="006D19F4">
            <w:pPr>
              <w:jc w:val="center"/>
              <w:rPr>
                <w:rFonts w:cs="Arial"/>
                <w:sz w:val="22"/>
                <w:szCs w:val="22"/>
              </w:rPr>
            </w:pPr>
            <w:r w:rsidRPr="006A77F2">
              <w:rPr>
                <w:rFonts w:cs="Arial"/>
                <w:sz w:val="22"/>
                <w:szCs w:val="22"/>
              </w:rPr>
              <w:lastRenderedPageBreak/>
              <w:t xml:space="preserve"> </w:t>
            </w:r>
          </w:p>
          <w:p w14:paraId="3844B9BB" w14:textId="77777777" w:rsidR="00FE6511" w:rsidRPr="006A77F2" w:rsidRDefault="00FE6511" w:rsidP="006D19F4">
            <w:pPr>
              <w:jc w:val="center"/>
              <w:rPr>
                <w:rFonts w:cs="Arial"/>
                <w:sz w:val="22"/>
                <w:szCs w:val="22"/>
              </w:rPr>
            </w:pPr>
          </w:p>
        </w:tc>
        <w:tc>
          <w:tcPr>
            <w:tcW w:w="2747" w:type="dxa"/>
          </w:tcPr>
          <w:p w14:paraId="3F960CD5" w14:textId="77777777" w:rsidR="00FE6511" w:rsidRPr="006A77F2" w:rsidRDefault="00FE6511" w:rsidP="006D19F4">
            <w:pPr>
              <w:jc w:val="center"/>
              <w:rPr>
                <w:rFonts w:cs="Arial"/>
                <w:sz w:val="22"/>
                <w:szCs w:val="22"/>
              </w:rPr>
            </w:pPr>
            <w:r w:rsidRPr="006A77F2">
              <w:rPr>
                <w:rFonts w:cs="Arial"/>
                <w:sz w:val="22"/>
                <w:szCs w:val="22"/>
              </w:rPr>
              <w:t xml:space="preserve"> </w:t>
            </w:r>
          </w:p>
          <w:p w14:paraId="7A770F4F" w14:textId="77777777" w:rsidR="00FE6511" w:rsidRPr="006A77F2" w:rsidRDefault="00FE6511" w:rsidP="006D19F4">
            <w:pPr>
              <w:jc w:val="center"/>
              <w:rPr>
                <w:rFonts w:cs="Arial"/>
                <w:sz w:val="22"/>
                <w:szCs w:val="22"/>
              </w:rPr>
            </w:pPr>
          </w:p>
        </w:tc>
        <w:tc>
          <w:tcPr>
            <w:tcW w:w="2362" w:type="dxa"/>
          </w:tcPr>
          <w:p w14:paraId="449331ED" w14:textId="77777777" w:rsidR="00FE6511" w:rsidRPr="006A77F2" w:rsidRDefault="00FE6511" w:rsidP="006D19F4">
            <w:pPr>
              <w:jc w:val="center"/>
              <w:rPr>
                <w:rFonts w:cs="Arial"/>
                <w:sz w:val="22"/>
                <w:szCs w:val="22"/>
              </w:rPr>
            </w:pPr>
            <w:r w:rsidRPr="006A77F2">
              <w:rPr>
                <w:rFonts w:cs="Arial"/>
                <w:sz w:val="22"/>
                <w:szCs w:val="22"/>
              </w:rPr>
              <w:t xml:space="preserve"> </w:t>
            </w:r>
          </w:p>
          <w:p w14:paraId="5DEF1E0C" w14:textId="77777777" w:rsidR="00FE6511" w:rsidRPr="006A77F2" w:rsidRDefault="00FE6511" w:rsidP="006D19F4">
            <w:pPr>
              <w:jc w:val="center"/>
              <w:rPr>
                <w:rFonts w:cs="Arial"/>
                <w:sz w:val="22"/>
                <w:szCs w:val="22"/>
              </w:rPr>
            </w:pPr>
          </w:p>
        </w:tc>
        <w:tc>
          <w:tcPr>
            <w:tcW w:w="1253" w:type="dxa"/>
          </w:tcPr>
          <w:p w14:paraId="3960A11B" w14:textId="77777777" w:rsidR="00FE6511" w:rsidRPr="006A77F2" w:rsidRDefault="00FE6511" w:rsidP="006D19F4">
            <w:pPr>
              <w:jc w:val="center"/>
              <w:rPr>
                <w:rFonts w:cs="Arial"/>
                <w:sz w:val="22"/>
                <w:szCs w:val="22"/>
              </w:rPr>
            </w:pPr>
            <w:r w:rsidRPr="006A77F2">
              <w:rPr>
                <w:rFonts w:cs="Arial"/>
                <w:sz w:val="22"/>
                <w:szCs w:val="22"/>
              </w:rPr>
              <w:t xml:space="preserve"> </w:t>
            </w:r>
          </w:p>
          <w:p w14:paraId="4B114E1E" w14:textId="77777777" w:rsidR="00FE6511" w:rsidRPr="006A77F2" w:rsidRDefault="00FE6511" w:rsidP="006D19F4">
            <w:pPr>
              <w:jc w:val="center"/>
              <w:rPr>
                <w:rFonts w:cs="Arial"/>
                <w:sz w:val="22"/>
                <w:szCs w:val="22"/>
              </w:rPr>
            </w:pPr>
          </w:p>
        </w:tc>
      </w:tr>
      <w:tr w:rsidR="00FE6511" w:rsidRPr="006A77F2" w14:paraId="7D8DBF4C" w14:textId="77777777" w:rsidTr="00AB291A">
        <w:tc>
          <w:tcPr>
            <w:tcW w:w="2133" w:type="dxa"/>
          </w:tcPr>
          <w:p w14:paraId="6CCC392A" w14:textId="77777777" w:rsidR="00FE6511" w:rsidRPr="006A77F2" w:rsidRDefault="00FE6511" w:rsidP="006D19F4">
            <w:pPr>
              <w:jc w:val="center"/>
              <w:rPr>
                <w:rFonts w:cs="Arial"/>
                <w:sz w:val="22"/>
                <w:szCs w:val="22"/>
              </w:rPr>
            </w:pPr>
            <w:r w:rsidRPr="006A77F2">
              <w:rPr>
                <w:rFonts w:cs="Arial"/>
                <w:sz w:val="22"/>
                <w:szCs w:val="22"/>
              </w:rPr>
              <w:t xml:space="preserve"> </w:t>
            </w:r>
          </w:p>
          <w:p w14:paraId="71BA015B" w14:textId="77777777" w:rsidR="00FE6511" w:rsidRPr="006A77F2" w:rsidRDefault="00FE6511" w:rsidP="006D19F4">
            <w:pPr>
              <w:jc w:val="center"/>
              <w:rPr>
                <w:rFonts w:cs="Arial"/>
                <w:sz w:val="22"/>
                <w:szCs w:val="22"/>
              </w:rPr>
            </w:pPr>
          </w:p>
        </w:tc>
        <w:tc>
          <w:tcPr>
            <w:tcW w:w="2747" w:type="dxa"/>
          </w:tcPr>
          <w:p w14:paraId="07D2FF11" w14:textId="77777777" w:rsidR="00FE6511" w:rsidRPr="006A77F2" w:rsidRDefault="00FE6511" w:rsidP="006D19F4">
            <w:pPr>
              <w:jc w:val="center"/>
              <w:rPr>
                <w:rFonts w:cs="Arial"/>
                <w:sz w:val="22"/>
                <w:szCs w:val="22"/>
              </w:rPr>
            </w:pPr>
            <w:r w:rsidRPr="006A77F2">
              <w:rPr>
                <w:rFonts w:cs="Arial"/>
                <w:sz w:val="22"/>
                <w:szCs w:val="22"/>
              </w:rPr>
              <w:t xml:space="preserve"> </w:t>
            </w:r>
          </w:p>
          <w:p w14:paraId="448FDE28" w14:textId="77777777" w:rsidR="00FE6511" w:rsidRPr="006A77F2" w:rsidRDefault="00FE6511" w:rsidP="006D19F4">
            <w:pPr>
              <w:jc w:val="center"/>
              <w:rPr>
                <w:rFonts w:cs="Arial"/>
                <w:sz w:val="22"/>
                <w:szCs w:val="22"/>
              </w:rPr>
            </w:pPr>
          </w:p>
        </w:tc>
        <w:tc>
          <w:tcPr>
            <w:tcW w:w="2362" w:type="dxa"/>
          </w:tcPr>
          <w:p w14:paraId="5E4A7A19" w14:textId="77777777" w:rsidR="00FE6511" w:rsidRPr="006A77F2" w:rsidRDefault="00FE6511" w:rsidP="006D19F4">
            <w:pPr>
              <w:jc w:val="center"/>
              <w:rPr>
                <w:rFonts w:cs="Arial"/>
                <w:sz w:val="22"/>
                <w:szCs w:val="22"/>
              </w:rPr>
            </w:pPr>
            <w:r w:rsidRPr="006A77F2">
              <w:rPr>
                <w:rFonts w:cs="Arial"/>
                <w:sz w:val="22"/>
                <w:szCs w:val="22"/>
              </w:rPr>
              <w:t xml:space="preserve"> </w:t>
            </w:r>
          </w:p>
          <w:p w14:paraId="6A3AFB8E" w14:textId="77777777" w:rsidR="00FE6511" w:rsidRPr="006A77F2" w:rsidRDefault="00FE6511" w:rsidP="006D19F4">
            <w:pPr>
              <w:jc w:val="center"/>
              <w:rPr>
                <w:rFonts w:cs="Arial"/>
                <w:sz w:val="22"/>
                <w:szCs w:val="22"/>
              </w:rPr>
            </w:pPr>
          </w:p>
        </w:tc>
        <w:tc>
          <w:tcPr>
            <w:tcW w:w="1253" w:type="dxa"/>
          </w:tcPr>
          <w:p w14:paraId="73D154B1" w14:textId="77777777" w:rsidR="00FE6511" w:rsidRPr="006A77F2" w:rsidRDefault="00FE6511" w:rsidP="006D19F4">
            <w:pPr>
              <w:jc w:val="center"/>
              <w:rPr>
                <w:rFonts w:cs="Arial"/>
                <w:sz w:val="22"/>
                <w:szCs w:val="22"/>
              </w:rPr>
            </w:pPr>
            <w:r w:rsidRPr="006A77F2">
              <w:rPr>
                <w:rFonts w:cs="Arial"/>
                <w:sz w:val="22"/>
                <w:szCs w:val="22"/>
              </w:rPr>
              <w:t xml:space="preserve"> </w:t>
            </w:r>
          </w:p>
          <w:p w14:paraId="40AB0FE6" w14:textId="77777777" w:rsidR="00FE6511" w:rsidRPr="006A77F2" w:rsidRDefault="00FE6511" w:rsidP="006D19F4">
            <w:pPr>
              <w:jc w:val="center"/>
              <w:rPr>
                <w:rFonts w:cs="Arial"/>
                <w:sz w:val="22"/>
                <w:szCs w:val="22"/>
              </w:rPr>
            </w:pPr>
          </w:p>
        </w:tc>
      </w:tr>
      <w:tr w:rsidR="00FE6511" w:rsidRPr="006A77F2" w14:paraId="71CCFB40" w14:textId="77777777" w:rsidTr="00AB291A">
        <w:tc>
          <w:tcPr>
            <w:tcW w:w="2133" w:type="dxa"/>
          </w:tcPr>
          <w:p w14:paraId="41F0B128" w14:textId="77777777" w:rsidR="00FE6511" w:rsidRPr="006A77F2" w:rsidRDefault="00FE6511" w:rsidP="006D19F4">
            <w:pPr>
              <w:jc w:val="center"/>
              <w:rPr>
                <w:rFonts w:cs="Arial"/>
                <w:sz w:val="22"/>
                <w:szCs w:val="22"/>
              </w:rPr>
            </w:pPr>
            <w:r w:rsidRPr="006A77F2">
              <w:rPr>
                <w:rFonts w:cs="Arial"/>
                <w:sz w:val="22"/>
                <w:szCs w:val="22"/>
              </w:rPr>
              <w:t xml:space="preserve"> </w:t>
            </w:r>
          </w:p>
          <w:p w14:paraId="49C930C2" w14:textId="77777777" w:rsidR="00FE6511" w:rsidRPr="006A77F2" w:rsidRDefault="00FE6511" w:rsidP="006D19F4">
            <w:pPr>
              <w:jc w:val="center"/>
              <w:rPr>
                <w:rFonts w:cs="Arial"/>
                <w:sz w:val="22"/>
                <w:szCs w:val="22"/>
              </w:rPr>
            </w:pPr>
          </w:p>
        </w:tc>
        <w:tc>
          <w:tcPr>
            <w:tcW w:w="2747" w:type="dxa"/>
          </w:tcPr>
          <w:p w14:paraId="46606B87" w14:textId="77777777" w:rsidR="00FE6511" w:rsidRPr="006A77F2" w:rsidRDefault="00FE6511" w:rsidP="006D19F4">
            <w:pPr>
              <w:jc w:val="center"/>
              <w:rPr>
                <w:rFonts w:cs="Arial"/>
                <w:sz w:val="22"/>
                <w:szCs w:val="22"/>
              </w:rPr>
            </w:pPr>
            <w:r w:rsidRPr="006A77F2">
              <w:rPr>
                <w:rFonts w:cs="Arial"/>
                <w:sz w:val="22"/>
                <w:szCs w:val="22"/>
              </w:rPr>
              <w:t xml:space="preserve"> </w:t>
            </w:r>
          </w:p>
          <w:p w14:paraId="7C09E6D7" w14:textId="77777777" w:rsidR="00FE6511" w:rsidRPr="006A77F2" w:rsidRDefault="00FE6511" w:rsidP="006D19F4">
            <w:pPr>
              <w:jc w:val="center"/>
              <w:rPr>
                <w:rFonts w:cs="Arial"/>
                <w:sz w:val="22"/>
                <w:szCs w:val="22"/>
              </w:rPr>
            </w:pPr>
          </w:p>
        </w:tc>
        <w:tc>
          <w:tcPr>
            <w:tcW w:w="2362" w:type="dxa"/>
          </w:tcPr>
          <w:p w14:paraId="22E9CD47" w14:textId="77777777" w:rsidR="00FE6511" w:rsidRPr="006A77F2" w:rsidRDefault="00FE6511" w:rsidP="006D19F4">
            <w:pPr>
              <w:jc w:val="center"/>
              <w:rPr>
                <w:rFonts w:cs="Arial"/>
                <w:sz w:val="22"/>
                <w:szCs w:val="22"/>
              </w:rPr>
            </w:pPr>
            <w:r w:rsidRPr="006A77F2">
              <w:rPr>
                <w:rFonts w:cs="Arial"/>
                <w:sz w:val="22"/>
                <w:szCs w:val="22"/>
              </w:rPr>
              <w:t xml:space="preserve"> </w:t>
            </w:r>
          </w:p>
          <w:p w14:paraId="7E74EA57" w14:textId="77777777" w:rsidR="00FE6511" w:rsidRPr="006A77F2" w:rsidRDefault="00FE6511" w:rsidP="006D19F4">
            <w:pPr>
              <w:jc w:val="center"/>
              <w:rPr>
                <w:rFonts w:cs="Arial"/>
                <w:sz w:val="22"/>
                <w:szCs w:val="22"/>
              </w:rPr>
            </w:pPr>
          </w:p>
        </w:tc>
        <w:tc>
          <w:tcPr>
            <w:tcW w:w="1253" w:type="dxa"/>
          </w:tcPr>
          <w:p w14:paraId="664F0BBB" w14:textId="77777777" w:rsidR="00FE6511" w:rsidRPr="006A77F2" w:rsidRDefault="00FE6511" w:rsidP="006D19F4">
            <w:pPr>
              <w:jc w:val="center"/>
              <w:rPr>
                <w:rFonts w:cs="Arial"/>
                <w:sz w:val="22"/>
                <w:szCs w:val="22"/>
              </w:rPr>
            </w:pPr>
            <w:r w:rsidRPr="006A77F2">
              <w:rPr>
                <w:rFonts w:cs="Arial"/>
                <w:sz w:val="22"/>
                <w:szCs w:val="22"/>
              </w:rPr>
              <w:t xml:space="preserve"> </w:t>
            </w:r>
          </w:p>
          <w:p w14:paraId="0181F628" w14:textId="77777777" w:rsidR="00FE6511" w:rsidRPr="006A77F2" w:rsidRDefault="00FE6511" w:rsidP="006D19F4">
            <w:pPr>
              <w:jc w:val="center"/>
              <w:rPr>
                <w:rFonts w:cs="Arial"/>
                <w:sz w:val="22"/>
                <w:szCs w:val="22"/>
              </w:rPr>
            </w:pPr>
          </w:p>
        </w:tc>
      </w:tr>
    </w:tbl>
    <w:p w14:paraId="3D36D887" w14:textId="77777777" w:rsidR="00FE6511" w:rsidRPr="006A77F2" w:rsidRDefault="00FE6511" w:rsidP="00FE6511">
      <w:pPr>
        <w:overflowPunct w:val="0"/>
        <w:autoSpaceDE w:val="0"/>
        <w:autoSpaceDN w:val="0"/>
        <w:adjustRightInd w:val="0"/>
        <w:textAlignment w:val="baseline"/>
        <w:rPr>
          <w:sz w:val="22"/>
          <w:szCs w:val="22"/>
        </w:rPr>
      </w:pPr>
    </w:p>
    <w:p w14:paraId="7C1D860F" w14:textId="77777777" w:rsidR="00FE6511" w:rsidRPr="006A77F2" w:rsidRDefault="00FE6511" w:rsidP="00FE6511">
      <w:pPr>
        <w:overflowPunct w:val="0"/>
        <w:autoSpaceDE w:val="0"/>
        <w:autoSpaceDN w:val="0"/>
        <w:adjustRightInd w:val="0"/>
        <w:spacing w:before="120" w:after="120"/>
        <w:textAlignment w:val="baseline"/>
        <w:rPr>
          <w:b/>
          <w:sz w:val="22"/>
          <w:szCs w:val="22"/>
        </w:rPr>
      </w:pPr>
      <w:r w:rsidRPr="006A77F2">
        <w:rPr>
          <w:b/>
          <w:sz w:val="22"/>
          <w:szCs w:val="22"/>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747"/>
        <w:gridCol w:w="2362"/>
        <w:gridCol w:w="1253"/>
      </w:tblGrid>
      <w:tr w:rsidR="00FE6511" w:rsidRPr="006A77F2" w14:paraId="6DA16057" w14:textId="77777777" w:rsidTr="006D19F4">
        <w:tc>
          <w:tcPr>
            <w:tcW w:w="9747" w:type="dxa"/>
            <w:gridSpan w:val="4"/>
            <w:shd w:val="clear" w:color="auto" w:fill="F2F2F2"/>
          </w:tcPr>
          <w:p w14:paraId="13ACF78C" w14:textId="1A4525F1" w:rsidR="00FE6511" w:rsidRPr="006A77F2" w:rsidRDefault="00FE6511" w:rsidP="006D19F4">
            <w:pPr>
              <w:overflowPunct w:val="0"/>
              <w:autoSpaceDE w:val="0"/>
              <w:autoSpaceDN w:val="0"/>
              <w:adjustRightInd w:val="0"/>
              <w:spacing w:before="120" w:after="120"/>
              <w:ind w:right="423"/>
              <w:jc w:val="center"/>
              <w:textAlignment w:val="baseline"/>
              <w:rPr>
                <w:b/>
                <w:sz w:val="22"/>
                <w:szCs w:val="22"/>
              </w:rPr>
            </w:pPr>
            <w:r w:rsidRPr="006A77F2">
              <w:rPr>
                <w:b/>
                <w:sz w:val="22"/>
                <w:szCs w:val="22"/>
              </w:rPr>
              <w:t xml:space="preserve">I confirm that the </w:t>
            </w:r>
            <w:r w:rsidR="0087053C" w:rsidRPr="006A77F2">
              <w:rPr>
                <w:b/>
                <w:sz w:val="22"/>
                <w:szCs w:val="22"/>
              </w:rPr>
              <w:t>pharmacist</w:t>
            </w:r>
            <w:r w:rsidR="00D61860">
              <w:rPr>
                <w:b/>
                <w:sz w:val="22"/>
                <w:szCs w:val="22"/>
              </w:rPr>
              <w:t>s</w:t>
            </w:r>
            <w:r w:rsidR="0087053C" w:rsidRPr="006A77F2">
              <w:rPr>
                <w:b/>
                <w:sz w:val="22"/>
                <w:szCs w:val="22"/>
              </w:rPr>
              <w:t xml:space="preserve"> or pharmacy technician</w:t>
            </w:r>
            <w:r w:rsidR="00D61860">
              <w:rPr>
                <w:b/>
                <w:sz w:val="22"/>
                <w:szCs w:val="22"/>
              </w:rPr>
              <w:t>s</w:t>
            </w:r>
            <w:r w:rsidRPr="006A77F2">
              <w:rPr>
                <w:b/>
                <w:sz w:val="22"/>
                <w:szCs w:val="22"/>
              </w:rPr>
              <w:t xml:space="preserve"> named above have declared themselves suitably trained and competent to work under this PGD. I give authorisation on behalf of </w:t>
            </w:r>
            <w:r w:rsidRPr="006A77F2">
              <w:rPr>
                <w:b/>
                <w:sz w:val="22"/>
                <w:szCs w:val="22"/>
                <w:highlight w:val="cyan"/>
              </w:rPr>
              <w:t>INSERT NAME OF ORGANISATION</w:t>
            </w:r>
            <w:r w:rsidRPr="006A77F2">
              <w:rPr>
                <w:b/>
                <w:sz w:val="22"/>
                <w:szCs w:val="22"/>
              </w:rPr>
              <w:t xml:space="preserve"> for the </w:t>
            </w:r>
            <w:r w:rsidR="006A77F2" w:rsidRPr="006A77F2">
              <w:rPr>
                <w:b/>
                <w:sz w:val="22"/>
                <w:szCs w:val="22"/>
              </w:rPr>
              <w:t>above-named</w:t>
            </w:r>
            <w:r w:rsidRPr="006A77F2">
              <w:rPr>
                <w:b/>
                <w:sz w:val="22"/>
                <w:szCs w:val="22"/>
              </w:rPr>
              <w:t xml:space="preserve"> </w:t>
            </w:r>
            <w:r w:rsidR="004A2DF6" w:rsidRPr="006A77F2">
              <w:rPr>
                <w:b/>
                <w:sz w:val="22"/>
                <w:szCs w:val="22"/>
              </w:rPr>
              <w:t>pharmacist</w:t>
            </w:r>
            <w:r w:rsidR="00C6213D">
              <w:rPr>
                <w:b/>
                <w:sz w:val="22"/>
                <w:szCs w:val="22"/>
              </w:rPr>
              <w:t>s</w:t>
            </w:r>
            <w:r w:rsidR="004A2DF6" w:rsidRPr="006A77F2">
              <w:rPr>
                <w:b/>
                <w:sz w:val="22"/>
                <w:szCs w:val="22"/>
              </w:rPr>
              <w:t xml:space="preserve"> or pharmacy technician</w:t>
            </w:r>
            <w:r w:rsidR="00C6213D">
              <w:rPr>
                <w:b/>
                <w:sz w:val="22"/>
                <w:szCs w:val="22"/>
              </w:rPr>
              <w:t>s</w:t>
            </w:r>
            <w:r w:rsidRPr="006A77F2">
              <w:rPr>
                <w:b/>
                <w:sz w:val="22"/>
                <w:szCs w:val="22"/>
              </w:rPr>
              <w:t xml:space="preserve"> who ha</w:t>
            </w:r>
            <w:r w:rsidR="004A2DF6" w:rsidRPr="006A77F2">
              <w:rPr>
                <w:b/>
                <w:sz w:val="22"/>
                <w:szCs w:val="22"/>
              </w:rPr>
              <w:t>s</w:t>
            </w:r>
            <w:r w:rsidRPr="006A77F2">
              <w:rPr>
                <w:b/>
                <w:sz w:val="22"/>
                <w:szCs w:val="22"/>
              </w:rPr>
              <w:t xml:space="preserve"> signed the PGD to work under it.</w:t>
            </w:r>
          </w:p>
        </w:tc>
      </w:tr>
      <w:tr w:rsidR="00FE6511" w:rsidRPr="006A77F2" w14:paraId="6A42E541" w14:textId="77777777" w:rsidTr="006D19F4">
        <w:tc>
          <w:tcPr>
            <w:tcW w:w="2518" w:type="dxa"/>
            <w:shd w:val="clear" w:color="auto" w:fill="F2F2F2"/>
          </w:tcPr>
          <w:p w14:paraId="62F9E96E"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Name</w:t>
            </w:r>
          </w:p>
        </w:tc>
        <w:tc>
          <w:tcPr>
            <w:tcW w:w="3119" w:type="dxa"/>
            <w:shd w:val="clear" w:color="auto" w:fill="F2F2F2"/>
          </w:tcPr>
          <w:p w14:paraId="287D1CAB"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Designation</w:t>
            </w:r>
          </w:p>
        </w:tc>
        <w:tc>
          <w:tcPr>
            <w:tcW w:w="2693" w:type="dxa"/>
            <w:shd w:val="clear" w:color="auto" w:fill="F2F2F2"/>
          </w:tcPr>
          <w:p w14:paraId="62C1A1B0"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Signature</w:t>
            </w:r>
          </w:p>
        </w:tc>
        <w:tc>
          <w:tcPr>
            <w:tcW w:w="1417" w:type="dxa"/>
            <w:shd w:val="clear" w:color="auto" w:fill="F2F2F2"/>
          </w:tcPr>
          <w:p w14:paraId="3964C769" w14:textId="77777777" w:rsidR="00FE6511" w:rsidRPr="006A77F2" w:rsidRDefault="00FE6511" w:rsidP="006D19F4">
            <w:pPr>
              <w:overflowPunct w:val="0"/>
              <w:autoSpaceDE w:val="0"/>
              <w:autoSpaceDN w:val="0"/>
              <w:adjustRightInd w:val="0"/>
              <w:spacing w:before="120" w:after="120"/>
              <w:jc w:val="center"/>
              <w:textAlignment w:val="baseline"/>
              <w:rPr>
                <w:b/>
                <w:sz w:val="22"/>
                <w:szCs w:val="22"/>
              </w:rPr>
            </w:pPr>
            <w:r w:rsidRPr="006A77F2">
              <w:rPr>
                <w:b/>
                <w:sz w:val="22"/>
                <w:szCs w:val="22"/>
              </w:rPr>
              <w:t>Date</w:t>
            </w:r>
          </w:p>
        </w:tc>
      </w:tr>
      <w:tr w:rsidR="00FE6511" w:rsidRPr="006A77F2" w14:paraId="769EC2DE" w14:textId="77777777" w:rsidTr="006D19F4">
        <w:tc>
          <w:tcPr>
            <w:tcW w:w="2518" w:type="dxa"/>
          </w:tcPr>
          <w:p w14:paraId="2361CDD9" w14:textId="77777777" w:rsidR="00FE6511" w:rsidRPr="006A77F2" w:rsidRDefault="00FE6511" w:rsidP="006D19F4">
            <w:pPr>
              <w:jc w:val="center"/>
              <w:rPr>
                <w:rFonts w:cs="Arial"/>
                <w:sz w:val="22"/>
                <w:szCs w:val="22"/>
              </w:rPr>
            </w:pPr>
            <w:r w:rsidRPr="006A77F2">
              <w:rPr>
                <w:rFonts w:cs="Arial"/>
                <w:sz w:val="22"/>
                <w:szCs w:val="22"/>
              </w:rPr>
              <w:t xml:space="preserve"> </w:t>
            </w:r>
          </w:p>
          <w:p w14:paraId="7A22D27F" w14:textId="77777777" w:rsidR="00FE6511" w:rsidRPr="006A77F2" w:rsidRDefault="00FE6511" w:rsidP="006D19F4">
            <w:pPr>
              <w:jc w:val="center"/>
              <w:rPr>
                <w:rFonts w:cs="Arial"/>
                <w:sz w:val="22"/>
                <w:szCs w:val="22"/>
              </w:rPr>
            </w:pPr>
          </w:p>
        </w:tc>
        <w:tc>
          <w:tcPr>
            <w:tcW w:w="3119" w:type="dxa"/>
          </w:tcPr>
          <w:p w14:paraId="24F25C15" w14:textId="77777777" w:rsidR="00FE6511" w:rsidRPr="006A77F2" w:rsidRDefault="00FE6511" w:rsidP="006D19F4">
            <w:pPr>
              <w:jc w:val="center"/>
              <w:rPr>
                <w:rFonts w:cs="Arial"/>
                <w:sz w:val="22"/>
                <w:szCs w:val="22"/>
              </w:rPr>
            </w:pPr>
            <w:r w:rsidRPr="006A77F2">
              <w:rPr>
                <w:rFonts w:cs="Arial"/>
                <w:sz w:val="22"/>
                <w:szCs w:val="22"/>
              </w:rPr>
              <w:t xml:space="preserve"> </w:t>
            </w:r>
          </w:p>
          <w:p w14:paraId="00C3548B" w14:textId="77777777" w:rsidR="00FE6511" w:rsidRPr="006A77F2" w:rsidRDefault="00FE6511" w:rsidP="006D19F4">
            <w:pPr>
              <w:jc w:val="center"/>
              <w:rPr>
                <w:rFonts w:cs="Arial"/>
                <w:sz w:val="22"/>
                <w:szCs w:val="22"/>
              </w:rPr>
            </w:pPr>
          </w:p>
        </w:tc>
        <w:tc>
          <w:tcPr>
            <w:tcW w:w="2693" w:type="dxa"/>
          </w:tcPr>
          <w:p w14:paraId="608F13D6" w14:textId="77777777" w:rsidR="00FE6511" w:rsidRPr="006A77F2" w:rsidRDefault="00FE6511" w:rsidP="006D19F4">
            <w:pPr>
              <w:jc w:val="center"/>
              <w:rPr>
                <w:rFonts w:cs="Arial"/>
                <w:sz w:val="22"/>
                <w:szCs w:val="22"/>
              </w:rPr>
            </w:pPr>
            <w:r w:rsidRPr="006A77F2">
              <w:rPr>
                <w:rFonts w:cs="Arial"/>
                <w:sz w:val="22"/>
                <w:szCs w:val="22"/>
              </w:rPr>
              <w:t xml:space="preserve"> </w:t>
            </w:r>
          </w:p>
          <w:p w14:paraId="6BF8F38C" w14:textId="77777777" w:rsidR="00FE6511" w:rsidRPr="006A77F2" w:rsidRDefault="00FE6511" w:rsidP="006D19F4">
            <w:pPr>
              <w:jc w:val="center"/>
              <w:rPr>
                <w:rFonts w:cs="Arial"/>
                <w:sz w:val="22"/>
                <w:szCs w:val="22"/>
              </w:rPr>
            </w:pPr>
          </w:p>
        </w:tc>
        <w:tc>
          <w:tcPr>
            <w:tcW w:w="1417" w:type="dxa"/>
          </w:tcPr>
          <w:p w14:paraId="48A4425C" w14:textId="77777777" w:rsidR="00FE6511" w:rsidRPr="006A77F2" w:rsidRDefault="00FE6511" w:rsidP="006D19F4">
            <w:pPr>
              <w:jc w:val="center"/>
              <w:rPr>
                <w:rFonts w:cs="Arial"/>
                <w:sz w:val="22"/>
                <w:szCs w:val="22"/>
              </w:rPr>
            </w:pPr>
            <w:r w:rsidRPr="006A77F2">
              <w:rPr>
                <w:rFonts w:cs="Arial"/>
                <w:sz w:val="22"/>
                <w:szCs w:val="22"/>
              </w:rPr>
              <w:t xml:space="preserve"> </w:t>
            </w:r>
          </w:p>
          <w:p w14:paraId="6092B10A" w14:textId="77777777" w:rsidR="00FE6511" w:rsidRPr="006A77F2" w:rsidRDefault="00FE6511" w:rsidP="006D19F4">
            <w:pPr>
              <w:jc w:val="center"/>
              <w:rPr>
                <w:rFonts w:cs="Arial"/>
                <w:sz w:val="22"/>
                <w:szCs w:val="22"/>
              </w:rPr>
            </w:pPr>
          </w:p>
        </w:tc>
      </w:tr>
    </w:tbl>
    <w:p w14:paraId="43A6B09D" w14:textId="77777777" w:rsidR="00FE6511" w:rsidRPr="006A77F2" w:rsidRDefault="00FE6511" w:rsidP="00FE6511">
      <w:pPr>
        <w:overflowPunct w:val="0"/>
        <w:autoSpaceDE w:val="0"/>
        <w:autoSpaceDN w:val="0"/>
        <w:adjustRightInd w:val="0"/>
        <w:spacing w:before="120" w:after="120"/>
        <w:textAlignment w:val="baseline"/>
        <w:rPr>
          <w:b/>
          <w:sz w:val="22"/>
          <w:szCs w:val="22"/>
        </w:rPr>
      </w:pPr>
      <w:r w:rsidRPr="006A77F2">
        <w:rPr>
          <w:b/>
          <w:sz w:val="22"/>
          <w:szCs w:val="22"/>
        </w:rPr>
        <w:t>Note to authorising manager</w:t>
      </w:r>
    </w:p>
    <w:p w14:paraId="6CD25B83" w14:textId="6634350C" w:rsidR="00FE6511" w:rsidRPr="006A77F2" w:rsidRDefault="00FE6511" w:rsidP="00FE6511">
      <w:pPr>
        <w:spacing w:before="120" w:after="120"/>
        <w:rPr>
          <w:sz w:val="22"/>
          <w:szCs w:val="22"/>
        </w:rPr>
      </w:pPr>
      <w:r w:rsidRPr="006A77F2">
        <w:rPr>
          <w:sz w:val="22"/>
          <w:szCs w:val="22"/>
        </w:rPr>
        <w:t xml:space="preserve">Score through unused rows in the list of </w:t>
      </w:r>
      <w:r w:rsidR="0087053C" w:rsidRPr="006A77F2">
        <w:rPr>
          <w:sz w:val="22"/>
          <w:szCs w:val="22"/>
        </w:rPr>
        <w:t xml:space="preserve">pharmacists </w:t>
      </w:r>
      <w:r w:rsidR="00B01A0C" w:rsidRPr="006A77F2">
        <w:rPr>
          <w:sz w:val="22"/>
          <w:szCs w:val="22"/>
        </w:rPr>
        <w:t xml:space="preserve">and </w:t>
      </w:r>
      <w:r w:rsidR="0087053C" w:rsidRPr="006A77F2">
        <w:rPr>
          <w:sz w:val="22"/>
          <w:szCs w:val="22"/>
        </w:rPr>
        <w:t>pharmacy technicians</w:t>
      </w:r>
      <w:r w:rsidRPr="006A77F2">
        <w:rPr>
          <w:sz w:val="22"/>
          <w:szCs w:val="22"/>
        </w:rPr>
        <w:t xml:space="preserve"> </w:t>
      </w:r>
      <w:r w:rsidR="0087053C" w:rsidRPr="006A77F2">
        <w:rPr>
          <w:sz w:val="22"/>
          <w:szCs w:val="22"/>
        </w:rPr>
        <w:t>t</w:t>
      </w:r>
      <w:r w:rsidRPr="006A77F2">
        <w:rPr>
          <w:sz w:val="22"/>
          <w:szCs w:val="22"/>
        </w:rPr>
        <w:t>o prevent additions post managerial authorisation.</w:t>
      </w:r>
    </w:p>
    <w:p w14:paraId="5D0DA0AE" w14:textId="11FACFC7" w:rsidR="00FE6511" w:rsidRPr="006A77F2" w:rsidRDefault="00FE6511" w:rsidP="00FE6511">
      <w:pPr>
        <w:spacing w:before="120" w:after="120"/>
        <w:rPr>
          <w:sz w:val="22"/>
          <w:szCs w:val="22"/>
        </w:rPr>
      </w:pPr>
      <w:r w:rsidRPr="006A77F2">
        <w:rPr>
          <w:sz w:val="22"/>
          <w:szCs w:val="22"/>
        </w:rPr>
        <w:t xml:space="preserve">This authorisation sheet should be retained to serve as a record of those </w:t>
      </w:r>
      <w:r w:rsidR="00471744" w:rsidRPr="006A77F2">
        <w:rPr>
          <w:sz w:val="22"/>
          <w:szCs w:val="22"/>
        </w:rPr>
        <w:t xml:space="preserve">pharmacists </w:t>
      </w:r>
      <w:r w:rsidR="00325E0B" w:rsidRPr="006A77F2">
        <w:rPr>
          <w:sz w:val="22"/>
          <w:szCs w:val="22"/>
        </w:rPr>
        <w:t>and</w:t>
      </w:r>
      <w:r w:rsidR="00471744" w:rsidRPr="006A77F2">
        <w:rPr>
          <w:sz w:val="22"/>
          <w:szCs w:val="22"/>
        </w:rPr>
        <w:t xml:space="preserve"> pharmacy technicians</w:t>
      </w:r>
      <w:r w:rsidRPr="006A77F2">
        <w:rPr>
          <w:sz w:val="22"/>
          <w:szCs w:val="22"/>
        </w:rPr>
        <w:t xml:space="preserve"> authorised to work under this PGD.</w:t>
      </w:r>
    </w:p>
    <w:p w14:paraId="107430D7" w14:textId="77777777" w:rsidR="00FE6511" w:rsidRPr="006A77F2" w:rsidRDefault="00FE6511" w:rsidP="00FE6511">
      <w:pPr>
        <w:spacing w:before="120" w:after="120"/>
        <w:rPr>
          <w:b/>
          <w:bCs/>
          <w:sz w:val="22"/>
          <w:szCs w:val="22"/>
        </w:rPr>
      </w:pPr>
    </w:p>
    <w:p w14:paraId="0154E57A" w14:textId="77777777" w:rsidR="00FE6511" w:rsidRPr="006A77F2" w:rsidRDefault="00FE6511" w:rsidP="00FE6511">
      <w:pPr>
        <w:spacing w:before="120" w:after="120"/>
        <w:rPr>
          <w:b/>
          <w:bCs/>
          <w:sz w:val="22"/>
          <w:szCs w:val="22"/>
        </w:rPr>
        <w:sectPr w:rsidR="00FE6511" w:rsidRPr="006A77F2" w:rsidSect="00FE6511">
          <w:headerReference w:type="default" r:id="rId49"/>
          <w:footerReference w:type="default" r:id="rId50"/>
          <w:type w:val="continuous"/>
          <w:pgSz w:w="11907" w:h="16840" w:code="9"/>
          <w:pgMar w:top="1134" w:right="1701" w:bottom="1559" w:left="1701" w:header="709" w:footer="709" w:gutter="0"/>
          <w:cols w:space="708"/>
          <w:docGrid w:linePitch="360"/>
        </w:sectPr>
      </w:pPr>
    </w:p>
    <w:p w14:paraId="38554BB7" w14:textId="6EAE982B" w:rsidR="00FE6511" w:rsidRPr="006A77F2" w:rsidRDefault="00FE6511" w:rsidP="00B411C3">
      <w:pPr>
        <w:pStyle w:val="Heading2"/>
      </w:pPr>
      <w:bookmarkStart w:id="10" w:name="appendixc"/>
      <w:r w:rsidRPr="006A77F2">
        <w:lastRenderedPageBreak/>
        <w:t xml:space="preserve">Appendix </w:t>
      </w:r>
      <w:bookmarkEnd w:id="10"/>
      <w:r w:rsidR="00C3536B">
        <w:t>B</w:t>
      </w:r>
      <w:r w:rsidRPr="006A77F2">
        <w:t xml:space="preserve">: </w:t>
      </w:r>
      <w:bookmarkStart w:id="11" w:name="_Hlk181735812"/>
      <w:r w:rsidRPr="006A77F2">
        <w:t xml:space="preserve">Drug-smoking interactions </w:t>
      </w:r>
      <w:bookmarkEnd w:id="11"/>
      <w:r w:rsidR="00C3536B" w:rsidRPr="00C3536B">
        <w:t>(see</w:t>
      </w:r>
      <w:r w:rsidR="00C3536B">
        <w:t xml:space="preserve"> also</w:t>
      </w:r>
      <w:r w:rsidR="00C3536B" w:rsidRPr="00C3536B">
        <w:t xml:space="preserve"> </w:t>
      </w:r>
      <w:hyperlink w:anchor="exclusion" w:history="1">
        <w:r w:rsidR="00C3536B" w:rsidRPr="00C3536B">
          <w:rPr>
            <w:rStyle w:val="Hyperlink"/>
            <w:rFonts w:ascii="Arial Bold" w:hAnsi="Arial Bold"/>
            <w:bCs/>
            <w:iCs/>
          </w:rPr>
          <w:t>Criteria for exclusion</w:t>
        </w:r>
      </w:hyperlink>
      <w:r w:rsidR="00C3536B" w:rsidRPr="00C3536B">
        <w:t>)</w:t>
      </w:r>
    </w:p>
    <w:p w14:paraId="3B46743D" w14:textId="36810302" w:rsidR="00FE6511" w:rsidRPr="005773D0" w:rsidRDefault="005773D0" w:rsidP="005773D0">
      <w:pPr>
        <w:rPr>
          <w:rFonts w:eastAsia="Calibri"/>
        </w:rPr>
      </w:pPr>
      <w:r>
        <w:rPr>
          <w:rFonts w:eastAsia="Calibri"/>
        </w:rPr>
        <w:t xml:space="preserve">NOTE: Clozapine is considered a </w:t>
      </w:r>
      <w:r w:rsidRPr="002C1851">
        <w:rPr>
          <w:rFonts w:eastAsia="Calibri"/>
          <w:b/>
          <w:bCs/>
        </w:rPr>
        <w:t>very high-risk</w:t>
      </w:r>
      <w:r>
        <w:rPr>
          <w:rFonts w:eastAsia="Calibri"/>
        </w:rPr>
        <w:t xml:space="preserve"> drug-smoking interaction. Patients taking clozapine are excluded from this PGD and should be managed in a specialist service. </w:t>
      </w:r>
    </w:p>
    <w:p w14:paraId="18E609F3" w14:textId="77777777" w:rsidR="00FE6511" w:rsidRPr="006A77F2" w:rsidRDefault="00FE6511" w:rsidP="00FE6511">
      <w:pPr>
        <w:widowControl w:val="0"/>
        <w:overflowPunct w:val="0"/>
        <w:autoSpaceDE w:val="0"/>
        <w:autoSpaceDN w:val="0"/>
        <w:adjustRightInd w:val="0"/>
        <w:textAlignment w:val="baseline"/>
        <w:rPr>
          <w:rFonts w:eastAsia="Calibri" w:cs="Arial"/>
          <w:b/>
          <w:bCs/>
          <w:iCs/>
        </w:rPr>
      </w:pPr>
      <w:r w:rsidRPr="006A77F2">
        <w:rPr>
          <w:rFonts w:eastAsia="Calibri" w:cs="Arial"/>
          <w:b/>
          <w:bCs/>
          <w:iCs/>
        </w:rPr>
        <w:t>HIGH RISK:</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2086"/>
        <w:gridCol w:w="2797"/>
        <w:gridCol w:w="5110"/>
        <w:gridCol w:w="2086"/>
      </w:tblGrid>
      <w:tr w:rsidR="00FE6511" w:rsidRPr="006A77F2" w14:paraId="4C64AF0B" w14:textId="77777777" w:rsidTr="006D19F4">
        <w:tc>
          <w:tcPr>
            <w:tcW w:w="1950" w:type="dxa"/>
          </w:tcPr>
          <w:p w14:paraId="4C18752F" w14:textId="77777777" w:rsidR="00FE6511" w:rsidRPr="006A77F2" w:rsidRDefault="00FE6511" w:rsidP="006D19F4">
            <w:pPr>
              <w:rPr>
                <w:rFonts w:cs="Arial"/>
                <w:b/>
                <w:bCs/>
                <w:sz w:val="22"/>
                <w:szCs w:val="22"/>
              </w:rPr>
            </w:pPr>
            <w:r w:rsidRPr="006A77F2">
              <w:rPr>
                <w:rFonts w:cs="Arial"/>
                <w:b/>
                <w:bCs/>
                <w:sz w:val="22"/>
                <w:szCs w:val="22"/>
              </w:rPr>
              <w:t>Medication</w:t>
            </w:r>
          </w:p>
        </w:tc>
        <w:tc>
          <w:tcPr>
            <w:tcW w:w="2086" w:type="dxa"/>
          </w:tcPr>
          <w:p w14:paraId="615477F8" w14:textId="77777777" w:rsidR="00FE6511" w:rsidRPr="006A77F2" w:rsidRDefault="00FE6511" w:rsidP="006D19F4">
            <w:pPr>
              <w:rPr>
                <w:rFonts w:cs="Arial"/>
                <w:b/>
                <w:bCs/>
                <w:sz w:val="22"/>
                <w:szCs w:val="22"/>
              </w:rPr>
            </w:pPr>
            <w:r w:rsidRPr="006A77F2">
              <w:rPr>
                <w:rFonts w:cs="Arial"/>
                <w:b/>
                <w:bCs/>
                <w:sz w:val="22"/>
                <w:szCs w:val="22"/>
              </w:rPr>
              <w:t>Impact of smoking cessation</w:t>
            </w:r>
          </w:p>
        </w:tc>
        <w:tc>
          <w:tcPr>
            <w:tcW w:w="2797" w:type="dxa"/>
          </w:tcPr>
          <w:p w14:paraId="008B5484" w14:textId="77777777" w:rsidR="00FE6511" w:rsidRPr="006A77F2" w:rsidRDefault="00FE6511" w:rsidP="006D19F4">
            <w:pPr>
              <w:rPr>
                <w:rFonts w:cs="Arial"/>
                <w:b/>
                <w:bCs/>
                <w:sz w:val="22"/>
                <w:szCs w:val="22"/>
              </w:rPr>
            </w:pPr>
            <w:r w:rsidRPr="006A77F2">
              <w:rPr>
                <w:rFonts w:cs="Arial"/>
                <w:b/>
                <w:bCs/>
                <w:sz w:val="22"/>
                <w:szCs w:val="22"/>
              </w:rPr>
              <w:t>Possible adverse</w:t>
            </w:r>
          </w:p>
          <w:p w14:paraId="7C36033F" w14:textId="77777777" w:rsidR="00FE6511" w:rsidRPr="006A77F2" w:rsidRDefault="00FE6511" w:rsidP="006D19F4">
            <w:pPr>
              <w:rPr>
                <w:rFonts w:cs="Arial"/>
                <w:b/>
                <w:bCs/>
                <w:sz w:val="22"/>
                <w:szCs w:val="22"/>
              </w:rPr>
            </w:pPr>
            <w:r w:rsidRPr="006A77F2">
              <w:rPr>
                <w:rFonts w:cs="Arial"/>
                <w:b/>
                <w:bCs/>
                <w:sz w:val="22"/>
                <w:szCs w:val="22"/>
              </w:rPr>
              <w:t>effects</w:t>
            </w:r>
          </w:p>
        </w:tc>
        <w:tc>
          <w:tcPr>
            <w:tcW w:w="5110" w:type="dxa"/>
          </w:tcPr>
          <w:p w14:paraId="3F278A0A" w14:textId="77777777" w:rsidR="00FE6511" w:rsidRPr="006A77F2" w:rsidRDefault="00FE6511" w:rsidP="006D19F4">
            <w:pPr>
              <w:rPr>
                <w:rFonts w:cs="Arial"/>
                <w:b/>
                <w:bCs/>
                <w:sz w:val="22"/>
                <w:szCs w:val="22"/>
              </w:rPr>
            </w:pPr>
            <w:r w:rsidRPr="006A77F2">
              <w:rPr>
                <w:rFonts w:cs="Arial"/>
                <w:b/>
                <w:bCs/>
                <w:sz w:val="22"/>
                <w:szCs w:val="22"/>
              </w:rPr>
              <w:t>Action</w:t>
            </w:r>
          </w:p>
        </w:tc>
        <w:tc>
          <w:tcPr>
            <w:tcW w:w="2086" w:type="dxa"/>
          </w:tcPr>
          <w:p w14:paraId="6AE77447" w14:textId="77777777" w:rsidR="00FE6511" w:rsidRPr="006A77F2" w:rsidRDefault="00FE6511" w:rsidP="006D19F4">
            <w:pPr>
              <w:rPr>
                <w:rFonts w:cs="Arial"/>
                <w:b/>
                <w:bCs/>
                <w:sz w:val="22"/>
                <w:szCs w:val="22"/>
              </w:rPr>
            </w:pPr>
            <w:r w:rsidRPr="006A77F2">
              <w:rPr>
                <w:rFonts w:cs="Arial"/>
                <w:b/>
                <w:bCs/>
                <w:sz w:val="22"/>
                <w:szCs w:val="22"/>
              </w:rPr>
              <w:t>When to implement action</w:t>
            </w:r>
          </w:p>
        </w:tc>
      </w:tr>
      <w:tr w:rsidR="00FE6511" w:rsidRPr="006A77F2" w14:paraId="04BC9C4B" w14:textId="77777777" w:rsidTr="006D19F4">
        <w:tc>
          <w:tcPr>
            <w:tcW w:w="1950" w:type="dxa"/>
          </w:tcPr>
          <w:p w14:paraId="4D9C1E86" w14:textId="77777777" w:rsidR="00FE6511" w:rsidRPr="006A77F2" w:rsidRDefault="00FE6511" w:rsidP="006D19F4">
            <w:pPr>
              <w:rPr>
                <w:rFonts w:cs="Arial"/>
              </w:rPr>
            </w:pPr>
            <w:r w:rsidRPr="006A77F2">
              <w:rPr>
                <w:rFonts w:eastAsia="Calibri" w:cs="Arial"/>
                <w:iCs/>
              </w:rPr>
              <w:t>Olanzapine</w:t>
            </w:r>
          </w:p>
        </w:tc>
        <w:tc>
          <w:tcPr>
            <w:tcW w:w="2086" w:type="dxa"/>
          </w:tcPr>
          <w:p w14:paraId="794BD93C" w14:textId="77777777" w:rsidR="00FE6511" w:rsidRPr="006A77F2" w:rsidRDefault="00FE6511" w:rsidP="006D19F4">
            <w:pPr>
              <w:rPr>
                <w:rFonts w:cs="Arial"/>
                <w:sz w:val="22"/>
                <w:szCs w:val="22"/>
              </w:rPr>
            </w:pPr>
            <w:r w:rsidRPr="006A77F2">
              <w:rPr>
                <w:rFonts w:eastAsia="Calibri" w:cs="Arial"/>
                <w:iCs/>
                <w:sz w:val="22"/>
                <w:szCs w:val="22"/>
              </w:rPr>
              <w:t>Metabolism of olanzapine is reduced.</w:t>
            </w:r>
          </w:p>
        </w:tc>
        <w:tc>
          <w:tcPr>
            <w:tcW w:w="2797" w:type="dxa"/>
          </w:tcPr>
          <w:p w14:paraId="6DD9DBD7" w14:textId="77777777" w:rsidR="00FE6511" w:rsidRPr="006A77F2" w:rsidRDefault="00FE6511" w:rsidP="006D19F4">
            <w:pPr>
              <w:rPr>
                <w:rFonts w:cs="Arial"/>
                <w:sz w:val="22"/>
                <w:szCs w:val="22"/>
              </w:rPr>
            </w:pPr>
            <w:r w:rsidRPr="006A77F2">
              <w:rPr>
                <w:rFonts w:eastAsia="Calibri" w:cs="Arial"/>
                <w:iCs/>
                <w:sz w:val="22"/>
                <w:szCs w:val="22"/>
              </w:rPr>
              <w:t>Increased risk of adverse events of olanzapine (e.g. dizziness, sedation, hypotension).</w:t>
            </w:r>
          </w:p>
        </w:tc>
        <w:tc>
          <w:tcPr>
            <w:tcW w:w="5110" w:type="dxa"/>
          </w:tcPr>
          <w:p w14:paraId="59D3A97C" w14:textId="750E08DB"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r w:rsidRPr="006A77F2">
              <w:rPr>
                <w:rFonts w:eastAsia="Calibri" w:cs="Arial"/>
                <w:iCs/>
                <w:sz w:val="22"/>
                <w:szCs w:val="22"/>
              </w:rPr>
              <w:t>Ensure the service provider who prescribes olanzapine to any individual supplied with varenicline</w:t>
            </w:r>
            <w:r w:rsidRPr="006A77F2" w:rsidDel="004E00F6">
              <w:rPr>
                <w:rFonts w:eastAsia="Calibri" w:cs="Arial"/>
                <w:iCs/>
                <w:sz w:val="22"/>
                <w:szCs w:val="22"/>
              </w:rPr>
              <w:t xml:space="preserve"> </w:t>
            </w:r>
            <w:r w:rsidRPr="006A77F2">
              <w:rPr>
                <w:rFonts w:eastAsia="Calibri" w:cs="Arial"/>
                <w:iCs/>
                <w:sz w:val="22"/>
                <w:szCs w:val="22"/>
              </w:rPr>
              <w:t xml:space="preserve">under this PGD </w:t>
            </w:r>
            <w:r w:rsidR="00E31A0B" w:rsidRPr="006A77F2">
              <w:rPr>
                <w:rFonts w:eastAsia="Calibri" w:cs="Arial"/>
                <w:iCs/>
                <w:sz w:val="22"/>
                <w:szCs w:val="22"/>
              </w:rPr>
              <w:t>is</w:t>
            </w:r>
            <w:r w:rsidRPr="006A77F2">
              <w:rPr>
                <w:rFonts w:eastAsia="Calibri" w:cs="Arial"/>
                <w:iCs/>
                <w:sz w:val="22"/>
                <w:szCs w:val="22"/>
              </w:rPr>
              <w:t xml:space="preserve"> aware of the individual’s intention to stop smoking </w:t>
            </w:r>
            <w:r w:rsidRPr="006A77F2">
              <w:rPr>
                <w:rFonts w:eastAsia="Calibri" w:cs="Arial"/>
                <w:b/>
                <w:bCs/>
                <w:iCs/>
                <w:sz w:val="22"/>
                <w:szCs w:val="22"/>
              </w:rPr>
              <w:t>before</w:t>
            </w:r>
            <w:r w:rsidRPr="006A77F2">
              <w:rPr>
                <w:rFonts w:eastAsia="Calibri" w:cs="Arial"/>
                <w:iCs/>
                <w:sz w:val="22"/>
                <w:szCs w:val="22"/>
              </w:rPr>
              <w:t xml:space="preserve"> varenicline is supplied.</w:t>
            </w:r>
          </w:p>
        </w:tc>
        <w:tc>
          <w:tcPr>
            <w:tcW w:w="2086" w:type="dxa"/>
          </w:tcPr>
          <w:p w14:paraId="2819E6EB" w14:textId="77777777" w:rsidR="00FE6511" w:rsidRPr="006A77F2" w:rsidRDefault="00FE6511" w:rsidP="006D19F4">
            <w:pPr>
              <w:rPr>
                <w:rFonts w:cs="Arial"/>
                <w:sz w:val="22"/>
                <w:szCs w:val="22"/>
              </w:rPr>
            </w:pPr>
            <w:r w:rsidRPr="006A77F2">
              <w:rPr>
                <w:rFonts w:cs="Arial"/>
                <w:sz w:val="22"/>
                <w:szCs w:val="22"/>
              </w:rPr>
              <w:t>Prior to varenicline supply</w:t>
            </w:r>
          </w:p>
        </w:tc>
      </w:tr>
      <w:tr w:rsidR="00FE6511" w:rsidRPr="006A77F2" w14:paraId="627F2E91" w14:textId="77777777" w:rsidTr="006D19F4">
        <w:tc>
          <w:tcPr>
            <w:tcW w:w="1950" w:type="dxa"/>
          </w:tcPr>
          <w:p w14:paraId="52C49155" w14:textId="77777777" w:rsidR="00FE6511" w:rsidRPr="006A77F2" w:rsidRDefault="00FE6511" w:rsidP="006D19F4">
            <w:pPr>
              <w:rPr>
                <w:rFonts w:cs="Arial"/>
              </w:rPr>
            </w:pPr>
            <w:r w:rsidRPr="006A77F2">
              <w:rPr>
                <w:rFonts w:cs="Arial"/>
              </w:rPr>
              <w:t>Insulin</w:t>
            </w:r>
          </w:p>
        </w:tc>
        <w:tc>
          <w:tcPr>
            <w:tcW w:w="2086" w:type="dxa"/>
          </w:tcPr>
          <w:p w14:paraId="5A084A89" w14:textId="77777777" w:rsidR="00FE6511" w:rsidRPr="006A77F2" w:rsidRDefault="00FE6511" w:rsidP="006D19F4">
            <w:pPr>
              <w:rPr>
                <w:rFonts w:cs="Arial"/>
                <w:sz w:val="22"/>
                <w:szCs w:val="22"/>
              </w:rPr>
            </w:pPr>
            <w:r w:rsidRPr="006A77F2">
              <w:rPr>
                <w:rFonts w:eastAsia="Calibri" w:cs="Arial"/>
                <w:iCs/>
                <w:sz w:val="22"/>
                <w:szCs w:val="22"/>
              </w:rPr>
              <w:t>May affect insulin resistance and enhance insulin sensitivity.</w:t>
            </w:r>
          </w:p>
        </w:tc>
        <w:tc>
          <w:tcPr>
            <w:tcW w:w="2797" w:type="dxa"/>
          </w:tcPr>
          <w:p w14:paraId="0B204FC0" w14:textId="4C98487A" w:rsidR="00FE6511" w:rsidRPr="006A77F2" w:rsidRDefault="00FE6511" w:rsidP="006D19F4">
            <w:pPr>
              <w:rPr>
                <w:rFonts w:cs="Arial"/>
                <w:sz w:val="22"/>
                <w:szCs w:val="22"/>
              </w:rPr>
            </w:pPr>
            <w:r w:rsidRPr="006A77F2">
              <w:rPr>
                <w:rFonts w:eastAsia="Calibri" w:cs="Arial"/>
                <w:iCs/>
                <w:sz w:val="22"/>
                <w:szCs w:val="22"/>
              </w:rPr>
              <w:t xml:space="preserve">Increased risk of </w:t>
            </w:r>
            <w:hyperlink r:id="rId51" w:history="1">
              <w:r w:rsidR="006A77F2" w:rsidRPr="006A77F2">
                <w:rPr>
                  <w:rStyle w:val="Hyperlink"/>
                  <w:rFonts w:eastAsia="Calibri" w:cs="Arial"/>
                  <w:iCs/>
                  <w:sz w:val="22"/>
                  <w:szCs w:val="22"/>
                </w:rPr>
                <w:t>hypoglycaemia</w:t>
              </w:r>
            </w:hyperlink>
            <w:r w:rsidRPr="006A77F2">
              <w:rPr>
                <w:rStyle w:val="Hyperlink"/>
                <w:rFonts w:eastAsia="Calibri" w:cs="Arial"/>
                <w:iCs/>
                <w:sz w:val="22"/>
                <w:szCs w:val="22"/>
              </w:rPr>
              <w:t>.</w:t>
            </w:r>
          </w:p>
        </w:tc>
        <w:tc>
          <w:tcPr>
            <w:tcW w:w="5110" w:type="dxa"/>
          </w:tcPr>
          <w:p w14:paraId="71A03464" w14:textId="5DAF1D84" w:rsidR="00FE6511" w:rsidRPr="006A77F2" w:rsidRDefault="00FE6511" w:rsidP="006D19F4">
            <w:pPr>
              <w:widowControl w:val="0"/>
              <w:overflowPunct w:val="0"/>
              <w:autoSpaceDE w:val="0"/>
              <w:autoSpaceDN w:val="0"/>
              <w:adjustRightInd w:val="0"/>
              <w:textAlignment w:val="baseline"/>
              <w:rPr>
                <w:rFonts w:eastAsia="Calibri" w:cs="Arial"/>
                <w:iCs/>
                <w:sz w:val="22"/>
                <w:szCs w:val="22"/>
              </w:rPr>
            </w:pPr>
            <w:r w:rsidRPr="006A77F2">
              <w:rPr>
                <w:rFonts w:eastAsia="Calibri" w:cs="Arial"/>
                <w:iCs/>
                <w:sz w:val="22"/>
                <w:szCs w:val="22"/>
              </w:rPr>
              <w:t>Individuals on insulin may be supplied with varenicline</w:t>
            </w:r>
            <w:r w:rsidRPr="006A77F2" w:rsidDel="004E00F6">
              <w:rPr>
                <w:rFonts w:eastAsia="Calibri" w:cs="Arial"/>
                <w:iCs/>
                <w:sz w:val="22"/>
                <w:szCs w:val="22"/>
              </w:rPr>
              <w:t xml:space="preserve"> </w:t>
            </w:r>
            <w:r w:rsidRPr="006A77F2">
              <w:rPr>
                <w:rFonts w:eastAsia="Calibri" w:cs="Arial"/>
                <w:iCs/>
                <w:sz w:val="22"/>
                <w:szCs w:val="22"/>
              </w:rPr>
              <w:t xml:space="preserve">but must be advised to monitor their blood glucose levels closely and of the </w:t>
            </w:r>
            <w:hyperlink r:id="rId52" w:history="1">
              <w:r w:rsidRPr="006A77F2">
                <w:rPr>
                  <w:rStyle w:val="Hyperlink"/>
                  <w:rFonts w:eastAsia="Calibri" w:cs="Arial"/>
                  <w:iCs/>
                  <w:sz w:val="22"/>
                  <w:szCs w:val="22"/>
                </w:rPr>
                <w:t xml:space="preserve">symptoms of </w:t>
              </w:r>
              <w:r w:rsidR="006A77F2" w:rsidRPr="006A77F2">
                <w:rPr>
                  <w:rStyle w:val="Hyperlink"/>
                  <w:rFonts w:eastAsia="Calibri" w:cs="Arial"/>
                  <w:iCs/>
                  <w:sz w:val="22"/>
                  <w:szCs w:val="22"/>
                </w:rPr>
                <w:t>hypoglycaemia</w:t>
              </w:r>
            </w:hyperlink>
            <w:r w:rsidRPr="006A77F2">
              <w:rPr>
                <w:rFonts w:eastAsia="Calibri" w:cs="Arial"/>
                <w:iCs/>
                <w:sz w:val="22"/>
                <w:szCs w:val="22"/>
              </w:rPr>
              <w:t>. If the</w:t>
            </w:r>
            <w:r w:rsidR="00A06B56" w:rsidRPr="006A77F2">
              <w:rPr>
                <w:rFonts w:eastAsia="Calibri" w:cs="Arial"/>
                <w:iCs/>
                <w:sz w:val="22"/>
                <w:szCs w:val="22"/>
              </w:rPr>
              <w:t xml:space="preserve"> pharmacist or pharmacy technician </w:t>
            </w:r>
            <w:r w:rsidRPr="006A77F2">
              <w:rPr>
                <w:rFonts w:eastAsia="Calibri" w:cs="Arial"/>
                <w:iCs/>
                <w:sz w:val="22"/>
                <w:szCs w:val="22"/>
              </w:rPr>
              <w:t xml:space="preserve">has any doubts </w:t>
            </w:r>
            <w:r w:rsidR="00EA75A2" w:rsidRPr="006A77F2">
              <w:rPr>
                <w:rFonts w:eastAsia="Calibri" w:cs="Arial"/>
                <w:iCs/>
                <w:sz w:val="22"/>
                <w:szCs w:val="22"/>
              </w:rPr>
              <w:t>about</w:t>
            </w:r>
            <w:r w:rsidRPr="006A77F2">
              <w:rPr>
                <w:rFonts w:eastAsia="Calibri" w:cs="Arial"/>
                <w:iCs/>
                <w:sz w:val="22"/>
                <w:szCs w:val="22"/>
              </w:rPr>
              <w:t xml:space="preserve"> the ability of the individual to monitor their blood glucose levels, varenicline must not be supplied under this PGD and the individual should be referred to an </w:t>
            </w:r>
            <w:r w:rsidRPr="006A77F2">
              <w:rPr>
                <w:rFonts w:eastAsia="Calibri" w:cs="Arial"/>
                <w:iCs/>
                <w:sz w:val="22"/>
                <w:szCs w:val="22"/>
              </w:rPr>
              <w:lastRenderedPageBreak/>
              <w:t>appropriate care provider.</w:t>
            </w:r>
          </w:p>
        </w:tc>
        <w:tc>
          <w:tcPr>
            <w:tcW w:w="2086" w:type="dxa"/>
          </w:tcPr>
          <w:p w14:paraId="2A06D0A6" w14:textId="77777777" w:rsidR="00FE6511" w:rsidRPr="006A77F2" w:rsidRDefault="00FE6511" w:rsidP="006D19F4">
            <w:pPr>
              <w:rPr>
                <w:rFonts w:cs="Arial"/>
              </w:rPr>
            </w:pPr>
            <w:r w:rsidRPr="006A77F2">
              <w:rPr>
                <w:rFonts w:cs="Arial"/>
                <w:sz w:val="22"/>
                <w:szCs w:val="22"/>
              </w:rPr>
              <w:lastRenderedPageBreak/>
              <w:t>Prior to varenicline supply</w:t>
            </w:r>
          </w:p>
        </w:tc>
      </w:tr>
      <w:tr w:rsidR="00FE6511" w:rsidRPr="006A77F2" w14:paraId="4F3A19BD" w14:textId="77777777" w:rsidTr="006D19F4">
        <w:tc>
          <w:tcPr>
            <w:tcW w:w="1950" w:type="dxa"/>
          </w:tcPr>
          <w:p w14:paraId="442A6EB5" w14:textId="77777777" w:rsidR="00FE6511" w:rsidRPr="006A77F2" w:rsidRDefault="00FE6511" w:rsidP="006D19F4">
            <w:pPr>
              <w:rPr>
                <w:rFonts w:cs="Arial"/>
              </w:rPr>
            </w:pPr>
            <w:r w:rsidRPr="006A77F2">
              <w:rPr>
                <w:rFonts w:eastAsia="Calibri" w:cs="Arial"/>
                <w:iCs/>
              </w:rPr>
              <w:t>Theophylline or aminophylline</w:t>
            </w:r>
          </w:p>
        </w:tc>
        <w:tc>
          <w:tcPr>
            <w:tcW w:w="2086" w:type="dxa"/>
          </w:tcPr>
          <w:p w14:paraId="2AE5DD2A" w14:textId="77777777" w:rsidR="00FE6511" w:rsidRPr="006A77F2" w:rsidRDefault="00FE6511" w:rsidP="006D19F4">
            <w:pPr>
              <w:rPr>
                <w:rFonts w:cs="Arial"/>
                <w:b/>
                <w:bCs/>
                <w:sz w:val="22"/>
                <w:szCs w:val="22"/>
              </w:rPr>
            </w:pPr>
            <w:r w:rsidRPr="006A77F2">
              <w:rPr>
                <w:rFonts w:eastAsia="Calibri" w:cs="Arial"/>
                <w:iCs/>
                <w:sz w:val="22"/>
                <w:szCs w:val="22"/>
              </w:rPr>
              <w:t>Metabolism of theophylline and aminophylline are reduced.</w:t>
            </w:r>
          </w:p>
        </w:tc>
        <w:tc>
          <w:tcPr>
            <w:tcW w:w="2797" w:type="dxa"/>
          </w:tcPr>
          <w:p w14:paraId="4F624BB4" w14:textId="77777777" w:rsidR="00FE6511" w:rsidRPr="006A77F2" w:rsidRDefault="00FE6511" w:rsidP="006D19F4">
            <w:pPr>
              <w:rPr>
                <w:rFonts w:cs="Arial"/>
                <w:sz w:val="22"/>
                <w:szCs w:val="22"/>
              </w:rPr>
            </w:pPr>
            <w:r w:rsidRPr="006A77F2">
              <w:rPr>
                <w:rFonts w:eastAsia="Calibri" w:cs="Arial"/>
                <w:iCs/>
                <w:sz w:val="22"/>
                <w:szCs w:val="22"/>
              </w:rPr>
              <w:t xml:space="preserve">Could cause plasma theophylline levels to rise, possibly to toxic levels if the dose of theophylline/aminophylline is not adjusted. </w:t>
            </w:r>
          </w:p>
        </w:tc>
        <w:tc>
          <w:tcPr>
            <w:tcW w:w="5110" w:type="dxa"/>
          </w:tcPr>
          <w:p w14:paraId="08FF221E" w14:textId="56A7C475" w:rsidR="00FE6511" w:rsidRPr="006A77F2" w:rsidRDefault="00A06B56" w:rsidP="006D19F4">
            <w:pPr>
              <w:widowControl w:val="0"/>
              <w:overflowPunct w:val="0"/>
              <w:autoSpaceDE w:val="0"/>
              <w:autoSpaceDN w:val="0"/>
              <w:adjustRightInd w:val="0"/>
              <w:textAlignment w:val="baseline"/>
              <w:rPr>
                <w:rFonts w:eastAsia="Calibri" w:cs="Arial"/>
                <w:b/>
                <w:bCs/>
                <w:iCs/>
                <w:sz w:val="22"/>
                <w:szCs w:val="22"/>
              </w:rPr>
            </w:pPr>
            <w:r w:rsidRPr="006A77F2">
              <w:rPr>
                <w:rFonts w:eastAsia="Calibri" w:cs="Arial"/>
                <w:iCs/>
                <w:sz w:val="22"/>
                <w:szCs w:val="22"/>
              </w:rPr>
              <w:t xml:space="preserve">The pharmacist or pharmacy technician </w:t>
            </w:r>
            <w:r w:rsidR="00FE6511" w:rsidRPr="006A77F2">
              <w:rPr>
                <w:rFonts w:eastAsia="Calibri" w:cs="Arial"/>
                <w:iCs/>
                <w:sz w:val="22"/>
                <w:szCs w:val="22"/>
              </w:rPr>
              <w:t xml:space="preserve">must inform the individual’s prescriber of their intention to stop smoking and agree subsequent additional monitoring by the prescriber </w:t>
            </w:r>
            <w:r w:rsidR="00FE6511" w:rsidRPr="006A77F2">
              <w:rPr>
                <w:rFonts w:eastAsia="Calibri" w:cs="Arial"/>
                <w:b/>
                <w:iCs/>
                <w:sz w:val="22"/>
                <w:szCs w:val="22"/>
              </w:rPr>
              <w:t>before</w:t>
            </w:r>
            <w:r w:rsidR="00FE6511" w:rsidRPr="006A77F2">
              <w:rPr>
                <w:rFonts w:eastAsia="Calibri" w:cs="Arial"/>
                <w:iCs/>
                <w:sz w:val="22"/>
                <w:szCs w:val="22"/>
              </w:rPr>
              <w:t xml:space="preserve"> the individual is supplied with varenicline. </w:t>
            </w:r>
          </w:p>
          <w:p w14:paraId="3ECC97B0" w14:textId="77777777" w:rsidR="00FE6511" w:rsidRPr="006A77F2" w:rsidRDefault="00FE6511" w:rsidP="006D19F4">
            <w:pPr>
              <w:widowControl w:val="0"/>
              <w:overflowPunct w:val="0"/>
              <w:autoSpaceDE w:val="0"/>
              <w:autoSpaceDN w:val="0"/>
              <w:adjustRightInd w:val="0"/>
              <w:textAlignment w:val="baseline"/>
              <w:rPr>
                <w:rFonts w:eastAsia="Calibri" w:cs="Arial"/>
                <w:iCs/>
                <w:sz w:val="22"/>
                <w:szCs w:val="22"/>
              </w:rPr>
            </w:pPr>
          </w:p>
        </w:tc>
        <w:tc>
          <w:tcPr>
            <w:tcW w:w="2086" w:type="dxa"/>
          </w:tcPr>
          <w:p w14:paraId="49E41D05" w14:textId="77777777" w:rsidR="00FE6511" w:rsidRPr="006A77F2" w:rsidRDefault="00FE6511" w:rsidP="006D19F4">
            <w:pPr>
              <w:rPr>
                <w:rFonts w:cs="Arial"/>
              </w:rPr>
            </w:pPr>
            <w:r w:rsidRPr="006A77F2">
              <w:rPr>
                <w:rFonts w:cs="Arial"/>
                <w:sz w:val="22"/>
                <w:szCs w:val="22"/>
              </w:rPr>
              <w:t>Prior to varenicline supply</w:t>
            </w:r>
          </w:p>
        </w:tc>
      </w:tr>
      <w:tr w:rsidR="00FE6511" w:rsidRPr="006A77F2" w14:paraId="16A1A9AA" w14:textId="77777777" w:rsidTr="006D19F4">
        <w:tc>
          <w:tcPr>
            <w:tcW w:w="1950" w:type="dxa"/>
          </w:tcPr>
          <w:p w14:paraId="02FA4819" w14:textId="77777777" w:rsidR="00FE6511" w:rsidRPr="006A77F2" w:rsidRDefault="00FE6511" w:rsidP="006D19F4">
            <w:pPr>
              <w:rPr>
                <w:rFonts w:cs="Arial"/>
              </w:rPr>
            </w:pPr>
            <w:r w:rsidRPr="006A77F2">
              <w:rPr>
                <w:rFonts w:eastAsia="Calibri" w:cs="Arial"/>
                <w:iCs/>
              </w:rPr>
              <w:t>Warfarin</w:t>
            </w:r>
          </w:p>
        </w:tc>
        <w:tc>
          <w:tcPr>
            <w:tcW w:w="2086" w:type="dxa"/>
          </w:tcPr>
          <w:p w14:paraId="56AC91CA" w14:textId="77777777" w:rsidR="00FE6511" w:rsidRPr="006A77F2" w:rsidRDefault="00FE6511" w:rsidP="006D19F4">
            <w:pPr>
              <w:rPr>
                <w:rFonts w:cs="Arial"/>
                <w:sz w:val="22"/>
                <w:szCs w:val="22"/>
              </w:rPr>
            </w:pPr>
            <w:r w:rsidRPr="006A77F2">
              <w:rPr>
                <w:rFonts w:cs="Arial"/>
                <w:sz w:val="22"/>
                <w:szCs w:val="22"/>
              </w:rPr>
              <w:t xml:space="preserve">Metabolism of warfarin is reduced. </w:t>
            </w:r>
          </w:p>
        </w:tc>
        <w:tc>
          <w:tcPr>
            <w:tcW w:w="2797" w:type="dxa"/>
          </w:tcPr>
          <w:p w14:paraId="3561E0C1" w14:textId="77777777" w:rsidR="00FE6511" w:rsidRPr="006A77F2" w:rsidRDefault="00FE6511" w:rsidP="006D19F4">
            <w:pPr>
              <w:rPr>
                <w:rFonts w:cs="Arial"/>
                <w:sz w:val="22"/>
                <w:szCs w:val="22"/>
              </w:rPr>
            </w:pPr>
            <w:r w:rsidRPr="006A77F2">
              <w:rPr>
                <w:rFonts w:eastAsia="Calibri" w:cs="Arial"/>
                <w:iCs/>
                <w:sz w:val="22"/>
                <w:szCs w:val="22"/>
              </w:rPr>
              <w:t>Increased risk of adverse effects of warfarin (i.e. bleeding).</w:t>
            </w:r>
          </w:p>
        </w:tc>
        <w:tc>
          <w:tcPr>
            <w:tcW w:w="5110" w:type="dxa"/>
          </w:tcPr>
          <w:p w14:paraId="06F82BF3" w14:textId="5F7A0137" w:rsidR="00FE6511" w:rsidRPr="006A77F2" w:rsidRDefault="00FE6511" w:rsidP="006D19F4">
            <w:pPr>
              <w:widowControl w:val="0"/>
              <w:overflowPunct w:val="0"/>
              <w:autoSpaceDE w:val="0"/>
              <w:autoSpaceDN w:val="0"/>
              <w:adjustRightInd w:val="0"/>
              <w:textAlignment w:val="baseline"/>
              <w:rPr>
                <w:rFonts w:eastAsia="Calibri" w:cs="Arial"/>
                <w:iCs/>
                <w:sz w:val="22"/>
                <w:szCs w:val="22"/>
              </w:rPr>
            </w:pPr>
            <w:r w:rsidRPr="006A77F2">
              <w:rPr>
                <w:rFonts w:eastAsia="Calibri" w:cs="Arial"/>
                <w:iCs/>
                <w:sz w:val="22"/>
                <w:szCs w:val="22"/>
              </w:rPr>
              <w:t>Individuals on warfarin may be supplied with varenicline</w:t>
            </w:r>
            <w:r w:rsidRPr="006A77F2" w:rsidDel="004E00F6">
              <w:rPr>
                <w:rFonts w:eastAsia="Calibri" w:cs="Arial"/>
                <w:iCs/>
                <w:sz w:val="22"/>
                <w:szCs w:val="22"/>
              </w:rPr>
              <w:t xml:space="preserve"> </w:t>
            </w:r>
            <w:r w:rsidRPr="006A77F2">
              <w:rPr>
                <w:rFonts w:eastAsia="Calibri" w:cs="Arial"/>
                <w:iCs/>
                <w:sz w:val="22"/>
                <w:szCs w:val="22"/>
              </w:rPr>
              <w:t>but must advise the INR clinic of their intention to stop smoking using varenicline</w:t>
            </w:r>
            <w:r w:rsidRPr="006A77F2" w:rsidDel="004E00F6">
              <w:rPr>
                <w:rFonts w:eastAsia="Calibri" w:cs="Arial"/>
                <w:iCs/>
                <w:sz w:val="22"/>
                <w:szCs w:val="22"/>
              </w:rPr>
              <w:t>.</w:t>
            </w:r>
            <w:r w:rsidRPr="006A77F2">
              <w:rPr>
                <w:rFonts w:eastAsia="Calibri" w:cs="Arial"/>
                <w:iCs/>
                <w:sz w:val="22"/>
                <w:szCs w:val="22"/>
              </w:rPr>
              <w:t xml:space="preserve"> A blood test should be arranged with the clinic as per their instructions. The pharmacist </w:t>
            </w:r>
            <w:r w:rsidR="00733F97" w:rsidRPr="006A77F2">
              <w:rPr>
                <w:rFonts w:eastAsia="Calibri" w:cs="Arial"/>
                <w:iCs/>
                <w:sz w:val="22"/>
                <w:szCs w:val="22"/>
              </w:rPr>
              <w:t xml:space="preserve">or pharmacy technician </w:t>
            </w:r>
            <w:r w:rsidRPr="006A77F2">
              <w:rPr>
                <w:rFonts w:eastAsia="Calibri" w:cs="Arial"/>
                <w:iCs/>
                <w:sz w:val="22"/>
                <w:szCs w:val="22"/>
              </w:rPr>
              <w:t>should check the individual’s yellow book on every scheduled consultation ensuring that their INR is being checked regularly, and that it is within the individual’s normal range. If the individual is unwilling to disclose this information, varenicline must not be supplied under this PGD and the individual should be referred to an appropriate care provider.</w:t>
            </w:r>
          </w:p>
          <w:p w14:paraId="79BAC8F7" w14:textId="77777777" w:rsidR="00FE6511" w:rsidRPr="006A77F2" w:rsidRDefault="00FE6511" w:rsidP="006D19F4">
            <w:pPr>
              <w:widowControl w:val="0"/>
              <w:overflowPunct w:val="0"/>
              <w:autoSpaceDE w:val="0"/>
              <w:autoSpaceDN w:val="0"/>
              <w:adjustRightInd w:val="0"/>
              <w:textAlignment w:val="baseline"/>
              <w:rPr>
                <w:rFonts w:eastAsia="Calibri" w:cs="Arial"/>
                <w:iCs/>
                <w:sz w:val="22"/>
                <w:szCs w:val="22"/>
              </w:rPr>
            </w:pPr>
          </w:p>
        </w:tc>
        <w:tc>
          <w:tcPr>
            <w:tcW w:w="2086" w:type="dxa"/>
          </w:tcPr>
          <w:p w14:paraId="0DBC94B5" w14:textId="77777777" w:rsidR="00FE6511" w:rsidRPr="006A77F2" w:rsidRDefault="00FE6511" w:rsidP="006D19F4">
            <w:pPr>
              <w:rPr>
                <w:rFonts w:cs="Arial"/>
                <w:sz w:val="22"/>
                <w:szCs w:val="22"/>
              </w:rPr>
            </w:pPr>
            <w:r w:rsidRPr="006A77F2">
              <w:rPr>
                <w:rFonts w:cs="Arial"/>
                <w:sz w:val="22"/>
                <w:szCs w:val="22"/>
              </w:rPr>
              <w:lastRenderedPageBreak/>
              <w:t>Prior to varenicline supply</w:t>
            </w:r>
          </w:p>
        </w:tc>
      </w:tr>
      <w:tr w:rsidR="00FE6511" w:rsidRPr="006A77F2" w14:paraId="230C7ACC" w14:textId="77777777" w:rsidTr="006D19F4">
        <w:tc>
          <w:tcPr>
            <w:tcW w:w="1950" w:type="dxa"/>
          </w:tcPr>
          <w:p w14:paraId="52F6A44A" w14:textId="77777777" w:rsidR="00FE6511" w:rsidRPr="006A77F2" w:rsidRDefault="00FE6511" w:rsidP="006D19F4">
            <w:pPr>
              <w:rPr>
                <w:rFonts w:cs="Arial"/>
              </w:rPr>
            </w:pPr>
            <w:r w:rsidRPr="006A77F2">
              <w:rPr>
                <w:rFonts w:eastAsia="Calibri" w:cs="Arial"/>
                <w:iCs/>
              </w:rPr>
              <w:t>Erlotinib</w:t>
            </w:r>
          </w:p>
        </w:tc>
        <w:tc>
          <w:tcPr>
            <w:tcW w:w="2086" w:type="dxa"/>
          </w:tcPr>
          <w:p w14:paraId="5B099A4D" w14:textId="77777777" w:rsidR="00FE6511" w:rsidRPr="006A77F2" w:rsidRDefault="00FE6511" w:rsidP="006D19F4">
            <w:pPr>
              <w:rPr>
                <w:rFonts w:cs="Arial"/>
                <w:sz w:val="22"/>
                <w:szCs w:val="22"/>
              </w:rPr>
            </w:pPr>
            <w:r w:rsidRPr="006A77F2">
              <w:rPr>
                <w:rFonts w:eastAsia="Calibri" w:cs="Arial"/>
                <w:iCs/>
                <w:sz w:val="22"/>
                <w:szCs w:val="22"/>
              </w:rPr>
              <w:t>Metabolism of erlotinib is reduced.</w:t>
            </w:r>
          </w:p>
        </w:tc>
        <w:tc>
          <w:tcPr>
            <w:tcW w:w="2797" w:type="dxa"/>
          </w:tcPr>
          <w:p w14:paraId="1A7159A3" w14:textId="77777777" w:rsidR="00FE6511" w:rsidRPr="006A77F2" w:rsidRDefault="00FE6511" w:rsidP="006D19F4">
            <w:pPr>
              <w:rPr>
                <w:rFonts w:cs="Arial"/>
                <w:sz w:val="22"/>
                <w:szCs w:val="22"/>
              </w:rPr>
            </w:pPr>
            <w:r w:rsidRPr="006A77F2">
              <w:rPr>
                <w:rFonts w:cs="Arial"/>
                <w:sz w:val="22"/>
                <w:szCs w:val="22"/>
              </w:rPr>
              <w:t xml:space="preserve">Rapid dose reduction required upon smoking cessation. </w:t>
            </w:r>
          </w:p>
          <w:p w14:paraId="098877A4" w14:textId="77777777" w:rsidR="00FE6511" w:rsidRPr="006A77F2" w:rsidRDefault="00FE6511" w:rsidP="006D19F4">
            <w:pPr>
              <w:rPr>
                <w:rFonts w:cs="Arial"/>
                <w:sz w:val="22"/>
                <w:szCs w:val="22"/>
              </w:rPr>
            </w:pPr>
          </w:p>
          <w:p w14:paraId="5362959C" w14:textId="77777777" w:rsidR="00FE6511" w:rsidRPr="006A77F2" w:rsidRDefault="00FE6511" w:rsidP="006D19F4">
            <w:pPr>
              <w:rPr>
                <w:rFonts w:cs="Arial"/>
                <w:sz w:val="22"/>
                <w:szCs w:val="22"/>
              </w:rPr>
            </w:pPr>
          </w:p>
        </w:tc>
        <w:tc>
          <w:tcPr>
            <w:tcW w:w="5110" w:type="dxa"/>
          </w:tcPr>
          <w:p w14:paraId="08126302" w14:textId="5327FEA8" w:rsidR="00FE6511" w:rsidRPr="006A77F2" w:rsidRDefault="00FE6511" w:rsidP="006D19F4">
            <w:pPr>
              <w:widowControl w:val="0"/>
              <w:overflowPunct w:val="0"/>
              <w:autoSpaceDE w:val="0"/>
              <w:autoSpaceDN w:val="0"/>
              <w:adjustRightInd w:val="0"/>
              <w:textAlignment w:val="baseline"/>
              <w:rPr>
                <w:rFonts w:eastAsia="Calibri" w:cs="Arial"/>
                <w:iCs/>
                <w:sz w:val="22"/>
                <w:szCs w:val="22"/>
              </w:rPr>
            </w:pPr>
            <w:r w:rsidRPr="006A77F2">
              <w:rPr>
                <w:rFonts w:eastAsia="Calibri" w:cs="Arial"/>
                <w:iCs/>
                <w:sz w:val="22"/>
                <w:szCs w:val="22"/>
              </w:rPr>
              <w:t xml:space="preserve">Ensure the service provider who prescribes erlotinib to any individual supplied with varenicline under this PGD </w:t>
            </w:r>
            <w:r w:rsidR="00B378BC" w:rsidRPr="006A77F2">
              <w:rPr>
                <w:rFonts w:eastAsia="Calibri" w:cs="Arial"/>
                <w:iCs/>
                <w:sz w:val="22"/>
                <w:szCs w:val="22"/>
              </w:rPr>
              <w:t xml:space="preserve">is </w:t>
            </w:r>
            <w:r w:rsidRPr="006A77F2">
              <w:rPr>
                <w:rFonts w:eastAsia="Calibri" w:cs="Arial"/>
                <w:iCs/>
                <w:sz w:val="22"/>
                <w:szCs w:val="22"/>
              </w:rPr>
              <w:t xml:space="preserve">aware of the individual’s intention to have tobacco dependence treatment and the dose is adjusted accordingly </w:t>
            </w:r>
            <w:r w:rsidRPr="006A77F2">
              <w:rPr>
                <w:rFonts w:eastAsia="Calibri" w:cs="Arial"/>
                <w:b/>
                <w:iCs/>
                <w:sz w:val="22"/>
                <w:szCs w:val="22"/>
              </w:rPr>
              <w:t>before</w:t>
            </w:r>
            <w:r w:rsidRPr="006A77F2">
              <w:rPr>
                <w:rFonts w:eastAsia="Calibri" w:cs="Arial"/>
                <w:iCs/>
                <w:sz w:val="22"/>
                <w:szCs w:val="22"/>
              </w:rPr>
              <w:t xml:space="preserve"> varenicline is supplied.  </w:t>
            </w:r>
          </w:p>
        </w:tc>
        <w:tc>
          <w:tcPr>
            <w:tcW w:w="2086" w:type="dxa"/>
          </w:tcPr>
          <w:p w14:paraId="446CF554" w14:textId="77777777" w:rsidR="00FE6511" w:rsidRPr="006A77F2" w:rsidRDefault="00FE6511" w:rsidP="006D19F4">
            <w:pPr>
              <w:rPr>
                <w:rFonts w:cs="Arial"/>
                <w:sz w:val="22"/>
                <w:szCs w:val="22"/>
              </w:rPr>
            </w:pPr>
            <w:r w:rsidRPr="006A77F2">
              <w:rPr>
                <w:rFonts w:cs="Arial"/>
                <w:sz w:val="22"/>
                <w:szCs w:val="22"/>
              </w:rPr>
              <w:t>Prior to varenicline supply</w:t>
            </w:r>
          </w:p>
        </w:tc>
      </w:tr>
      <w:tr w:rsidR="00FE6511" w:rsidRPr="006A77F2" w14:paraId="30A19D98" w14:textId="77777777" w:rsidTr="006D19F4">
        <w:tc>
          <w:tcPr>
            <w:tcW w:w="1950" w:type="dxa"/>
          </w:tcPr>
          <w:p w14:paraId="30CFB170" w14:textId="77777777" w:rsidR="00FE6511" w:rsidRPr="006A77F2" w:rsidRDefault="00FE6511" w:rsidP="006D19F4">
            <w:pPr>
              <w:rPr>
                <w:rFonts w:cs="Arial"/>
              </w:rPr>
            </w:pPr>
            <w:proofErr w:type="spellStart"/>
            <w:r w:rsidRPr="006A77F2">
              <w:rPr>
                <w:rFonts w:eastAsia="Calibri" w:cs="Arial"/>
                <w:iCs/>
              </w:rPr>
              <w:t>Riociguat</w:t>
            </w:r>
            <w:proofErr w:type="spellEnd"/>
          </w:p>
        </w:tc>
        <w:tc>
          <w:tcPr>
            <w:tcW w:w="2086" w:type="dxa"/>
          </w:tcPr>
          <w:p w14:paraId="2AD6DA8C" w14:textId="77777777" w:rsidR="00FE6511" w:rsidRPr="006A77F2" w:rsidRDefault="00FE6511" w:rsidP="006D19F4">
            <w:pPr>
              <w:rPr>
                <w:rFonts w:cs="Arial"/>
                <w:sz w:val="22"/>
                <w:szCs w:val="22"/>
              </w:rPr>
            </w:pPr>
            <w:r w:rsidRPr="006A77F2">
              <w:rPr>
                <w:rFonts w:eastAsia="Calibri" w:cs="Arial"/>
                <w:iCs/>
                <w:sz w:val="22"/>
                <w:szCs w:val="22"/>
              </w:rPr>
              <w:t xml:space="preserve">Metabolism of </w:t>
            </w:r>
            <w:proofErr w:type="spellStart"/>
            <w:r w:rsidRPr="006A77F2">
              <w:rPr>
                <w:rFonts w:eastAsia="Calibri" w:cs="Arial"/>
                <w:iCs/>
                <w:sz w:val="22"/>
                <w:szCs w:val="22"/>
              </w:rPr>
              <w:t>riociguat</w:t>
            </w:r>
            <w:proofErr w:type="spellEnd"/>
            <w:r w:rsidRPr="006A77F2">
              <w:rPr>
                <w:rFonts w:eastAsia="Calibri" w:cs="Arial"/>
                <w:iCs/>
                <w:sz w:val="22"/>
                <w:szCs w:val="22"/>
              </w:rPr>
              <w:t xml:space="preserve"> is reduced. </w:t>
            </w:r>
          </w:p>
        </w:tc>
        <w:tc>
          <w:tcPr>
            <w:tcW w:w="2797" w:type="dxa"/>
          </w:tcPr>
          <w:p w14:paraId="0F8B03EE" w14:textId="77777777" w:rsidR="00FE6511" w:rsidRPr="006A77F2" w:rsidRDefault="00FE6511" w:rsidP="006D19F4">
            <w:pPr>
              <w:rPr>
                <w:rFonts w:cs="Arial"/>
                <w:sz w:val="22"/>
                <w:szCs w:val="22"/>
              </w:rPr>
            </w:pPr>
            <w:r w:rsidRPr="006A77F2">
              <w:rPr>
                <w:rFonts w:eastAsia="Calibri" w:cs="Arial"/>
                <w:iCs/>
                <w:sz w:val="22"/>
                <w:szCs w:val="22"/>
              </w:rPr>
              <w:t xml:space="preserve">Increased risk of adverse effects of </w:t>
            </w:r>
            <w:proofErr w:type="spellStart"/>
            <w:r w:rsidRPr="006A77F2">
              <w:rPr>
                <w:rFonts w:eastAsia="Calibri" w:cs="Arial"/>
                <w:iCs/>
                <w:sz w:val="22"/>
                <w:szCs w:val="22"/>
              </w:rPr>
              <w:t>riociguat</w:t>
            </w:r>
            <w:proofErr w:type="spellEnd"/>
            <w:r w:rsidRPr="006A77F2">
              <w:rPr>
                <w:rFonts w:eastAsia="Calibri" w:cs="Arial"/>
                <w:iCs/>
                <w:sz w:val="22"/>
                <w:szCs w:val="22"/>
              </w:rPr>
              <w:t xml:space="preserve"> (e.g. dizziness, headache, nausea, diarrhoea).</w:t>
            </w:r>
          </w:p>
        </w:tc>
        <w:tc>
          <w:tcPr>
            <w:tcW w:w="5110" w:type="dxa"/>
          </w:tcPr>
          <w:p w14:paraId="6322777B" w14:textId="382088AC" w:rsidR="00FE6511" w:rsidRPr="006A77F2" w:rsidRDefault="00FE6511" w:rsidP="006D19F4">
            <w:pPr>
              <w:widowControl w:val="0"/>
              <w:overflowPunct w:val="0"/>
              <w:autoSpaceDE w:val="0"/>
              <w:autoSpaceDN w:val="0"/>
              <w:adjustRightInd w:val="0"/>
              <w:textAlignment w:val="baseline"/>
              <w:rPr>
                <w:rFonts w:eastAsia="Calibri" w:cs="Arial"/>
                <w:iCs/>
                <w:kern w:val="2"/>
                <w:sz w:val="22"/>
                <w:szCs w:val="22"/>
              </w:rPr>
            </w:pPr>
            <w:r w:rsidRPr="006A77F2">
              <w:rPr>
                <w:rFonts w:eastAsia="Calibri" w:cs="Arial"/>
                <w:iCs/>
                <w:kern w:val="2"/>
                <w:sz w:val="22"/>
                <w:szCs w:val="22"/>
              </w:rPr>
              <w:t xml:space="preserve">Ensure the service provider who prescribes </w:t>
            </w:r>
            <w:proofErr w:type="spellStart"/>
            <w:r w:rsidRPr="006A77F2">
              <w:rPr>
                <w:rFonts w:eastAsia="Calibri" w:cs="Arial"/>
                <w:iCs/>
                <w:kern w:val="2"/>
                <w:sz w:val="22"/>
                <w:szCs w:val="22"/>
              </w:rPr>
              <w:t>riociguat</w:t>
            </w:r>
            <w:proofErr w:type="spellEnd"/>
            <w:r w:rsidRPr="006A77F2">
              <w:rPr>
                <w:rFonts w:eastAsia="Calibri" w:cs="Arial"/>
                <w:iCs/>
                <w:kern w:val="2"/>
                <w:sz w:val="22"/>
                <w:szCs w:val="22"/>
              </w:rPr>
              <w:t xml:space="preserve"> to any individual supplied with </w:t>
            </w:r>
            <w:r w:rsidRPr="006A77F2">
              <w:rPr>
                <w:rFonts w:eastAsia="Calibri" w:cs="Arial"/>
                <w:iCs/>
                <w:sz w:val="22"/>
                <w:szCs w:val="22"/>
              </w:rPr>
              <w:t>varenicline</w:t>
            </w:r>
            <w:r w:rsidRPr="006A77F2">
              <w:rPr>
                <w:rFonts w:eastAsia="Calibri" w:cs="Arial"/>
                <w:iCs/>
                <w:kern w:val="2"/>
                <w:sz w:val="22"/>
                <w:szCs w:val="22"/>
              </w:rPr>
              <w:t xml:space="preserve"> under this PGD </w:t>
            </w:r>
            <w:r w:rsidR="00C868C7" w:rsidRPr="006A77F2">
              <w:rPr>
                <w:rFonts w:eastAsia="Calibri" w:cs="Arial"/>
                <w:iCs/>
                <w:kern w:val="2"/>
                <w:sz w:val="22"/>
                <w:szCs w:val="22"/>
              </w:rPr>
              <w:t xml:space="preserve">is </w:t>
            </w:r>
            <w:r w:rsidRPr="006A77F2">
              <w:rPr>
                <w:rFonts w:eastAsia="Calibri" w:cs="Arial"/>
                <w:iCs/>
                <w:kern w:val="2"/>
                <w:sz w:val="22"/>
                <w:szCs w:val="22"/>
              </w:rPr>
              <w:t xml:space="preserve">aware of the individual’s intention to stop smoking and the dose is adjusted accordingly </w:t>
            </w:r>
            <w:r w:rsidRPr="006A77F2">
              <w:rPr>
                <w:rFonts w:eastAsia="Calibri" w:cs="Arial"/>
                <w:b/>
                <w:bCs/>
                <w:iCs/>
                <w:kern w:val="2"/>
                <w:sz w:val="22"/>
                <w:szCs w:val="22"/>
              </w:rPr>
              <w:t>before</w:t>
            </w:r>
            <w:r w:rsidRPr="006A77F2">
              <w:rPr>
                <w:rFonts w:eastAsia="Calibri" w:cs="Arial"/>
                <w:iCs/>
                <w:kern w:val="2"/>
                <w:sz w:val="22"/>
                <w:szCs w:val="22"/>
              </w:rPr>
              <w:t xml:space="preserve"> </w:t>
            </w:r>
            <w:r w:rsidRPr="006A77F2">
              <w:rPr>
                <w:rFonts w:eastAsia="Calibri" w:cs="Arial"/>
                <w:iCs/>
                <w:sz w:val="22"/>
                <w:szCs w:val="22"/>
              </w:rPr>
              <w:t>varenicline</w:t>
            </w:r>
            <w:r w:rsidRPr="006A77F2">
              <w:rPr>
                <w:rFonts w:eastAsia="Calibri" w:cs="Arial"/>
                <w:iCs/>
                <w:kern w:val="2"/>
                <w:sz w:val="22"/>
                <w:szCs w:val="22"/>
              </w:rPr>
              <w:t xml:space="preserve"> is supplied.  </w:t>
            </w:r>
          </w:p>
        </w:tc>
        <w:tc>
          <w:tcPr>
            <w:tcW w:w="2086" w:type="dxa"/>
          </w:tcPr>
          <w:p w14:paraId="3C4EA876" w14:textId="77777777" w:rsidR="00FE6511" w:rsidRPr="006A77F2" w:rsidRDefault="00FE6511" w:rsidP="006D19F4">
            <w:pPr>
              <w:rPr>
                <w:rFonts w:cs="Arial"/>
                <w:sz w:val="22"/>
                <w:szCs w:val="22"/>
              </w:rPr>
            </w:pPr>
            <w:r w:rsidRPr="006A77F2">
              <w:rPr>
                <w:rFonts w:cs="Arial"/>
                <w:sz w:val="22"/>
                <w:szCs w:val="22"/>
              </w:rPr>
              <w:t>Prior to varenicline supply</w:t>
            </w:r>
          </w:p>
        </w:tc>
      </w:tr>
    </w:tbl>
    <w:p w14:paraId="70E273E0" w14:textId="77777777" w:rsidR="00FE6511" w:rsidRPr="006A77F2" w:rsidRDefault="00FE6511" w:rsidP="00FE6511">
      <w:pPr>
        <w:widowControl w:val="0"/>
        <w:overflowPunct w:val="0"/>
        <w:autoSpaceDE w:val="0"/>
        <w:autoSpaceDN w:val="0"/>
        <w:adjustRightInd w:val="0"/>
        <w:textAlignment w:val="baseline"/>
        <w:rPr>
          <w:rFonts w:eastAsia="Calibri" w:cs="Arial"/>
          <w:iCs/>
        </w:rPr>
      </w:pPr>
    </w:p>
    <w:p w14:paraId="038DB9E6" w14:textId="77777777" w:rsidR="00BD3BBE" w:rsidRPr="006A77F2" w:rsidRDefault="00BD3BBE">
      <w:pPr>
        <w:spacing w:after="0" w:line="240" w:lineRule="auto"/>
        <w:textboxTightWrap w:val="none"/>
        <w:rPr>
          <w:rFonts w:cs="Arial"/>
          <w:b/>
          <w:bCs/>
          <w:sz w:val="22"/>
          <w:szCs w:val="22"/>
        </w:rPr>
      </w:pPr>
      <w:r w:rsidRPr="006A77F2">
        <w:rPr>
          <w:rFonts w:cs="Arial"/>
          <w:b/>
          <w:bCs/>
          <w:sz w:val="22"/>
          <w:szCs w:val="22"/>
        </w:rPr>
        <w:br w:type="page"/>
      </w:r>
    </w:p>
    <w:p w14:paraId="3A843AE8" w14:textId="66B9DE30" w:rsidR="00FE6511" w:rsidRPr="006A77F2" w:rsidRDefault="00FE6511" w:rsidP="00FE6511">
      <w:pPr>
        <w:rPr>
          <w:rFonts w:cs="Arial"/>
          <w:b/>
          <w:bCs/>
          <w:sz w:val="22"/>
          <w:szCs w:val="22"/>
        </w:rPr>
      </w:pPr>
      <w:r w:rsidRPr="006A77F2">
        <w:rPr>
          <w:rFonts w:cs="Arial"/>
          <w:b/>
          <w:bCs/>
          <w:sz w:val="22"/>
          <w:szCs w:val="22"/>
        </w:rPr>
        <w:lastRenderedPageBreak/>
        <w:t>MODERATE RISK:</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091"/>
        <w:gridCol w:w="2744"/>
        <w:gridCol w:w="4831"/>
        <w:gridCol w:w="2092"/>
      </w:tblGrid>
      <w:tr w:rsidR="00FE6511" w:rsidRPr="006A77F2" w14:paraId="4A8194D8" w14:textId="77777777" w:rsidTr="006D19F4">
        <w:tc>
          <w:tcPr>
            <w:tcW w:w="1980" w:type="dxa"/>
          </w:tcPr>
          <w:p w14:paraId="7DD4AAB9" w14:textId="77777777" w:rsidR="00FE6511" w:rsidRPr="006A77F2" w:rsidRDefault="00FE6511" w:rsidP="006D19F4">
            <w:pPr>
              <w:rPr>
                <w:rFonts w:cs="Arial"/>
                <w:b/>
                <w:bCs/>
                <w:sz w:val="22"/>
                <w:szCs w:val="22"/>
              </w:rPr>
            </w:pPr>
            <w:r w:rsidRPr="006A77F2">
              <w:rPr>
                <w:rFonts w:cs="Arial"/>
                <w:b/>
                <w:bCs/>
                <w:sz w:val="22"/>
                <w:szCs w:val="22"/>
              </w:rPr>
              <w:t>Medication</w:t>
            </w:r>
          </w:p>
        </w:tc>
        <w:tc>
          <w:tcPr>
            <w:tcW w:w="2126" w:type="dxa"/>
          </w:tcPr>
          <w:p w14:paraId="62A6703E" w14:textId="77777777" w:rsidR="00FE6511" w:rsidRPr="006A77F2" w:rsidRDefault="00FE6511" w:rsidP="006D19F4">
            <w:pPr>
              <w:rPr>
                <w:rFonts w:cs="Arial"/>
                <w:b/>
                <w:bCs/>
                <w:sz w:val="22"/>
                <w:szCs w:val="22"/>
              </w:rPr>
            </w:pPr>
            <w:r w:rsidRPr="006A77F2">
              <w:rPr>
                <w:rFonts w:cs="Arial"/>
                <w:b/>
                <w:bCs/>
                <w:sz w:val="22"/>
                <w:szCs w:val="22"/>
              </w:rPr>
              <w:t>Impact of smoking cessation</w:t>
            </w:r>
          </w:p>
        </w:tc>
        <w:tc>
          <w:tcPr>
            <w:tcW w:w="2806" w:type="dxa"/>
          </w:tcPr>
          <w:p w14:paraId="262CF03D" w14:textId="77777777" w:rsidR="00FE6511" w:rsidRPr="006A77F2" w:rsidRDefault="00FE6511" w:rsidP="006D19F4">
            <w:pPr>
              <w:rPr>
                <w:rFonts w:cs="Arial"/>
                <w:b/>
                <w:bCs/>
                <w:sz w:val="22"/>
                <w:szCs w:val="22"/>
              </w:rPr>
            </w:pPr>
            <w:r w:rsidRPr="006A77F2">
              <w:rPr>
                <w:rFonts w:cs="Arial"/>
                <w:b/>
                <w:bCs/>
                <w:sz w:val="22"/>
                <w:szCs w:val="22"/>
              </w:rPr>
              <w:t>Possible adverse effects</w:t>
            </w:r>
          </w:p>
        </w:tc>
        <w:tc>
          <w:tcPr>
            <w:tcW w:w="4990" w:type="dxa"/>
          </w:tcPr>
          <w:p w14:paraId="2509155A" w14:textId="77777777" w:rsidR="00FE6511" w:rsidRPr="006A77F2" w:rsidRDefault="00FE6511" w:rsidP="006D19F4">
            <w:pPr>
              <w:rPr>
                <w:rFonts w:cs="Arial"/>
                <w:b/>
                <w:bCs/>
                <w:sz w:val="22"/>
                <w:szCs w:val="22"/>
              </w:rPr>
            </w:pPr>
            <w:r w:rsidRPr="006A77F2">
              <w:rPr>
                <w:rFonts w:cs="Arial"/>
                <w:b/>
                <w:bCs/>
                <w:sz w:val="22"/>
                <w:szCs w:val="22"/>
              </w:rPr>
              <w:t>Action</w:t>
            </w:r>
          </w:p>
        </w:tc>
        <w:tc>
          <w:tcPr>
            <w:tcW w:w="2127" w:type="dxa"/>
          </w:tcPr>
          <w:p w14:paraId="6884D238" w14:textId="77777777" w:rsidR="00FE6511" w:rsidRPr="006A77F2" w:rsidRDefault="00FE6511" w:rsidP="006D19F4">
            <w:pPr>
              <w:rPr>
                <w:rFonts w:cs="Arial"/>
                <w:b/>
                <w:bCs/>
                <w:sz w:val="22"/>
                <w:szCs w:val="22"/>
              </w:rPr>
            </w:pPr>
            <w:r w:rsidRPr="006A77F2">
              <w:rPr>
                <w:rFonts w:cs="Arial"/>
                <w:b/>
                <w:bCs/>
                <w:sz w:val="22"/>
                <w:szCs w:val="22"/>
              </w:rPr>
              <w:t>When to implement action</w:t>
            </w:r>
          </w:p>
        </w:tc>
      </w:tr>
      <w:tr w:rsidR="00FE6511" w:rsidRPr="006A77F2" w14:paraId="5D4F9AD8" w14:textId="77777777" w:rsidTr="006D19F4">
        <w:tc>
          <w:tcPr>
            <w:tcW w:w="1980" w:type="dxa"/>
          </w:tcPr>
          <w:p w14:paraId="68380EE3"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Chlorpromazine</w:t>
            </w:r>
          </w:p>
        </w:tc>
        <w:tc>
          <w:tcPr>
            <w:tcW w:w="2126" w:type="dxa"/>
            <w:vMerge w:val="restart"/>
          </w:tcPr>
          <w:p w14:paraId="49A0144C" w14:textId="77777777" w:rsidR="00FE6511" w:rsidRPr="006A77F2" w:rsidRDefault="00FE6511" w:rsidP="006D19F4">
            <w:pPr>
              <w:jc w:val="center"/>
              <w:rPr>
                <w:rFonts w:cs="Arial"/>
                <w:sz w:val="22"/>
                <w:szCs w:val="22"/>
              </w:rPr>
            </w:pPr>
          </w:p>
          <w:p w14:paraId="1D378ECA" w14:textId="77777777" w:rsidR="00FE6511" w:rsidRPr="006A77F2" w:rsidRDefault="00FE6511" w:rsidP="006D19F4">
            <w:pPr>
              <w:rPr>
                <w:rFonts w:cs="Arial"/>
                <w:sz w:val="22"/>
                <w:szCs w:val="22"/>
              </w:rPr>
            </w:pPr>
          </w:p>
          <w:p w14:paraId="776D936D" w14:textId="77777777" w:rsidR="00FE6511" w:rsidRPr="006A77F2" w:rsidRDefault="00FE6511" w:rsidP="006D19F4">
            <w:pPr>
              <w:jc w:val="center"/>
              <w:rPr>
                <w:rFonts w:cs="Arial"/>
                <w:sz w:val="22"/>
                <w:szCs w:val="22"/>
              </w:rPr>
            </w:pPr>
          </w:p>
          <w:p w14:paraId="41BDB7B4" w14:textId="77777777" w:rsidR="00FE6511" w:rsidRPr="006A77F2" w:rsidRDefault="00FE6511" w:rsidP="006D19F4">
            <w:pPr>
              <w:rPr>
                <w:rFonts w:cs="Arial"/>
                <w:sz w:val="22"/>
                <w:szCs w:val="22"/>
              </w:rPr>
            </w:pPr>
            <w:r w:rsidRPr="006A77F2">
              <w:rPr>
                <w:rFonts w:cs="Arial"/>
                <w:sz w:val="22"/>
                <w:szCs w:val="22"/>
              </w:rPr>
              <w:t>Metabolism of medication is reduced</w:t>
            </w:r>
          </w:p>
        </w:tc>
        <w:tc>
          <w:tcPr>
            <w:tcW w:w="2806" w:type="dxa"/>
            <w:vMerge w:val="restart"/>
          </w:tcPr>
          <w:p w14:paraId="263D5F04" w14:textId="77777777" w:rsidR="00FE6511" w:rsidRPr="006A77F2" w:rsidRDefault="00FE6511" w:rsidP="006D19F4">
            <w:pPr>
              <w:rPr>
                <w:rFonts w:cs="Arial"/>
                <w:sz w:val="22"/>
                <w:szCs w:val="22"/>
              </w:rPr>
            </w:pPr>
          </w:p>
          <w:p w14:paraId="1B72E224" w14:textId="77777777" w:rsidR="00FE6511" w:rsidRPr="006A77F2" w:rsidRDefault="00FE6511" w:rsidP="006D19F4">
            <w:pPr>
              <w:rPr>
                <w:rFonts w:cs="Arial"/>
                <w:sz w:val="22"/>
                <w:szCs w:val="22"/>
              </w:rPr>
            </w:pPr>
          </w:p>
          <w:p w14:paraId="215A2FB5" w14:textId="77777777" w:rsidR="00FE6511" w:rsidRPr="006A77F2" w:rsidRDefault="00FE6511" w:rsidP="006D19F4">
            <w:pPr>
              <w:rPr>
                <w:rFonts w:cs="Arial"/>
                <w:sz w:val="22"/>
                <w:szCs w:val="22"/>
              </w:rPr>
            </w:pPr>
          </w:p>
          <w:p w14:paraId="1BE5082D" w14:textId="77777777" w:rsidR="00FE6511" w:rsidRPr="006A77F2" w:rsidRDefault="00FE6511" w:rsidP="006D19F4">
            <w:pPr>
              <w:rPr>
                <w:rFonts w:cs="Arial"/>
                <w:sz w:val="22"/>
                <w:szCs w:val="22"/>
              </w:rPr>
            </w:pPr>
            <w:r w:rsidRPr="006A77F2">
              <w:rPr>
                <w:rFonts w:cs="Arial"/>
                <w:sz w:val="22"/>
                <w:szCs w:val="22"/>
              </w:rPr>
              <w:t>Increased risk of adverse effects (see below for further information)</w:t>
            </w:r>
          </w:p>
          <w:p w14:paraId="3C775C85" w14:textId="77777777" w:rsidR="00FE6511" w:rsidRPr="006A77F2" w:rsidRDefault="00FE6511" w:rsidP="006D19F4">
            <w:pPr>
              <w:rPr>
                <w:rFonts w:cs="Arial"/>
                <w:sz w:val="22"/>
                <w:szCs w:val="22"/>
              </w:rPr>
            </w:pPr>
          </w:p>
        </w:tc>
        <w:tc>
          <w:tcPr>
            <w:tcW w:w="4990" w:type="dxa"/>
            <w:vMerge w:val="restart"/>
          </w:tcPr>
          <w:p w14:paraId="4A2540AB"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r w:rsidRPr="006A77F2">
              <w:rPr>
                <w:rFonts w:eastAsia="Calibri" w:cs="Arial"/>
                <w:iCs/>
                <w:sz w:val="22"/>
                <w:szCs w:val="22"/>
              </w:rPr>
              <w:t xml:space="preserve">Individuals taking any of the following medicines should be informed of the increased risk of adverse effects when stopping smoking. </w:t>
            </w:r>
          </w:p>
          <w:p w14:paraId="122EBE9C"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p w14:paraId="26531C06" w14:textId="111EBE1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r w:rsidRPr="006A77F2">
              <w:rPr>
                <w:rFonts w:eastAsia="Calibri" w:cs="Arial"/>
                <w:iCs/>
                <w:sz w:val="22"/>
                <w:szCs w:val="22"/>
              </w:rPr>
              <w:t>Ensure the service provider who prescribes any of these interacting medicines to any individual supplied with varenicline</w:t>
            </w:r>
            <w:r w:rsidRPr="006A77F2" w:rsidDel="004E00F6">
              <w:rPr>
                <w:rFonts w:eastAsia="Calibri" w:cs="Arial"/>
                <w:iCs/>
                <w:sz w:val="22"/>
                <w:szCs w:val="22"/>
              </w:rPr>
              <w:t xml:space="preserve"> </w:t>
            </w:r>
            <w:r w:rsidRPr="006A77F2">
              <w:rPr>
                <w:rFonts w:eastAsia="Calibri" w:cs="Arial"/>
                <w:iCs/>
                <w:sz w:val="22"/>
                <w:szCs w:val="22"/>
              </w:rPr>
              <w:t xml:space="preserve">under this PGD </w:t>
            </w:r>
            <w:r w:rsidR="00DF0AE5" w:rsidRPr="006A77F2">
              <w:rPr>
                <w:rFonts w:eastAsia="Calibri" w:cs="Arial"/>
                <w:iCs/>
                <w:sz w:val="22"/>
                <w:szCs w:val="22"/>
              </w:rPr>
              <w:t xml:space="preserve">is </w:t>
            </w:r>
            <w:r w:rsidRPr="006A77F2">
              <w:rPr>
                <w:rFonts w:eastAsia="Calibri" w:cs="Arial"/>
                <w:iCs/>
                <w:sz w:val="22"/>
                <w:szCs w:val="22"/>
              </w:rPr>
              <w:t>aware of the individual’s intention to stop smoking and the dose is adjusted accordingly prior to stopping smoking, (if required).</w:t>
            </w:r>
          </w:p>
        </w:tc>
        <w:tc>
          <w:tcPr>
            <w:tcW w:w="2127" w:type="dxa"/>
            <w:vMerge w:val="restart"/>
          </w:tcPr>
          <w:p w14:paraId="5D66D23E" w14:textId="77777777" w:rsidR="00FE6511" w:rsidRPr="006A77F2" w:rsidRDefault="00FE6511" w:rsidP="006D19F4">
            <w:pPr>
              <w:rPr>
                <w:rFonts w:cs="Arial"/>
                <w:sz w:val="22"/>
                <w:szCs w:val="22"/>
              </w:rPr>
            </w:pPr>
          </w:p>
          <w:p w14:paraId="4C9C79FA" w14:textId="77777777" w:rsidR="00FE6511" w:rsidRPr="006A77F2" w:rsidRDefault="00FE6511" w:rsidP="006D19F4">
            <w:pPr>
              <w:rPr>
                <w:rFonts w:cs="Arial"/>
                <w:sz w:val="22"/>
                <w:szCs w:val="22"/>
              </w:rPr>
            </w:pPr>
          </w:p>
          <w:p w14:paraId="2A00436A" w14:textId="77777777" w:rsidR="00FE6511" w:rsidRPr="006A77F2" w:rsidRDefault="00FE6511" w:rsidP="006D19F4">
            <w:pPr>
              <w:rPr>
                <w:rFonts w:cs="Arial"/>
                <w:sz w:val="22"/>
                <w:szCs w:val="22"/>
              </w:rPr>
            </w:pPr>
          </w:p>
          <w:p w14:paraId="6726F9F2" w14:textId="77777777" w:rsidR="00FE6511" w:rsidRPr="006A77F2" w:rsidRDefault="00FE6511" w:rsidP="006D19F4">
            <w:pPr>
              <w:rPr>
                <w:rFonts w:cs="Arial"/>
                <w:sz w:val="22"/>
                <w:szCs w:val="22"/>
              </w:rPr>
            </w:pPr>
            <w:r w:rsidRPr="006A77F2">
              <w:rPr>
                <w:rFonts w:cs="Arial"/>
                <w:sz w:val="22"/>
                <w:szCs w:val="22"/>
              </w:rPr>
              <w:t>Prior to varenicline supply</w:t>
            </w:r>
          </w:p>
        </w:tc>
      </w:tr>
      <w:tr w:rsidR="00FE6511" w:rsidRPr="006A77F2" w14:paraId="66DB3DEC" w14:textId="77777777" w:rsidTr="006D19F4">
        <w:tc>
          <w:tcPr>
            <w:tcW w:w="1980" w:type="dxa"/>
          </w:tcPr>
          <w:p w14:paraId="51F439D1" w14:textId="77777777" w:rsidR="00FE6511" w:rsidRPr="006A77F2" w:rsidRDefault="00FE6511" w:rsidP="006D19F4">
            <w:pPr>
              <w:pStyle w:val="ListParagraph"/>
              <w:widowControl w:val="0"/>
              <w:overflowPunct w:val="0"/>
              <w:autoSpaceDE w:val="0"/>
              <w:autoSpaceDN w:val="0"/>
              <w:adjustRightInd w:val="0"/>
              <w:textAlignment w:val="baseline"/>
              <w:rPr>
                <w:rFonts w:cs="Arial"/>
                <w:iCs/>
                <w:color w:val="FF0000"/>
              </w:rPr>
            </w:pPr>
            <w:r w:rsidRPr="006A77F2">
              <w:rPr>
                <w:rFonts w:cs="Arial"/>
                <w:iCs/>
              </w:rPr>
              <w:t>Flecainide</w:t>
            </w:r>
          </w:p>
        </w:tc>
        <w:tc>
          <w:tcPr>
            <w:tcW w:w="2126" w:type="dxa"/>
            <w:vMerge/>
          </w:tcPr>
          <w:p w14:paraId="215AEF9A" w14:textId="77777777" w:rsidR="00FE6511" w:rsidRPr="006A77F2" w:rsidRDefault="00FE6511" w:rsidP="006D19F4">
            <w:pPr>
              <w:rPr>
                <w:rFonts w:cs="Arial"/>
                <w:sz w:val="22"/>
                <w:szCs w:val="22"/>
              </w:rPr>
            </w:pPr>
          </w:p>
        </w:tc>
        <w:tc>
          <w:tcPr>
            <w:tcW w:w="2806" w:type="dxa"/>
            <w:vMerge/>
          </w:tcPr>
          <w:p w14:paraId="38A6B745" w14:textId="77777777" w:rsidR="00FE6511" w:rsidRPr="006A77F2" w:rsidRDefault="00FE6511" w:rsidP="006D19F4">
            <w:pPr>
              <w:rPr>
                <w:rFonts w:cs="Arial"/>
                <w:sz w:val="22"/>
                <w:szCs w:val="22"/>
              </w:rPr>
            </w:pPr>
          </w:p>
        </w:tc>
        <w:tc>
          <w:tcPr>
            <w:tcW w:w="4990" w:type="dxa"/>
            <w:vMerge/>
          </w:tcPr>
          <w:p w14:paraId="6ED1A11D"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7B1EC793" w14:textId="77777777" w:rsidR="00FE6511" w:rsidRPr="006A77F2" w:rsidRDefault="00FE6511" w:rsidP="006D19F4">
            <w:pPr>
              <w:rPr>
                <w:rFonts w:cs="Arial"/>
                <w:sz w:val="22"/>
                <w:szCs w:val="22"/>
              </w:rPr>
            </w:pPr>
          </w:p>
        </w:tc>
      </w:tr>
      <w:tr w:rsidR="00FE6511" w:rsidRPr="006A77F2" w14:paraId="6EEA21A8" w14:textId="77777777" w:rsidTr="006D19F4">
        <w:tc>
          <w:tcPr>
            <w:tcW w:w="1980" w:type="dxa"/>
          </w:tcPr>
          <w:p w14:paraId="03E379C1"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Fluvoxamine</w:t>
            </w:r>
          </w:p>
        </w:tc>
        <w:tc>
          <w:tcPr>
            <w:tcW w:w="2126" w:type="dxa"/>
            <w:vMerge/>
          </w:tcPr>
          <w:p w14:paraId="48C28D9F" w14:textId="77777777" w:rsidR="00FE6511" w:rsidRPr="006A77F2" w:rsidRDefault="00FE6511" w:rsidP="006D19F4">
            <w:pPr>
              <w:rPr>
                <w:rFonts w:cs="Arial"/>
                <w:sz w:val="22"/>
                <w:szCs w:val="22"/>
              </w:rPr>
            </w:pPr>
          </w:p>
        </w:tc>
        <w:tc>
          <w:tcPr>
            <w:tcW w:w="2806" w:type="dxa"/>
            <w:vMerge/>
          </w:tcPr>
          <w:p w14:paraId="6ABFE28D" w14:textId="77777777" w:rsidR="00FE6511" w:rsidRPr="006A77F2" w:rsidRDefault="00FE6511" w:rsidP="006D19F4">
            <w:pPr>
              <w:rPr>
                <w:rFonts w:cs="Arial"/>
                <w:sz w:val="22"/>
                <w:szCs w:val="22"/>
              </w:rPr>
            </w:pPr>
          </w:p>
        </w:tc>
        <w:tc>
          <w:tcPr>
            <w:tcW w:w="4990" w:type="dxa"/>
            <w:vMerge/>
          </w:tcPr>
          <w:p w14:paraId="5E633A99"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1FCBF7B2" w14:textId="77777777" w:rsidR="00FE6511" w:rsidRPr="006A77F2" w:rsidRDefault="00FE6511" w:rsidP="006D19F4">
            <w:pPr>
              <w:rPr>
                <w:rFonts w:cs="Arial"/>
                <w:sz w:val="22"/>
                <w:szCs w:val="22"/>
              </w:rPr>
            </w:pPr>
          </w:p>
        </w:tc>
      </w:tr>
      <w:tr w:rsidR="00FE6511" w:rsidRPr="006A77F2" w14:paraId="5B1F1391" w14:textId="77777777" w:rsidTr="006D19F4">
        <w:tc>
          <w:tcPr>
            <w:tcW w:w="1980" w:type="dxa"/>
          </w:tcPr>
          <w:p w14:paraId="271A1A80"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Haloperidol</w:t>
            </w:r>
          </w:p>
        </w:tc>
        <w:tc>
          <w:tcPr>
            <w:tcW w:w="2126" w:type="dxa"/>
            <w:vMerge/>
          </w:tcPr>
          <w:p w14:paraId="2F776CB4" w14:textId="77777777" w:rsidR="00FE6511" w:rsidRPr="006A77F2" w:rsidRDefault="00FE6511" w:rsidP="006D19F4">
            <w:pPr>
              <w:rPr>
                <w:rFonts w:cs="Arial"/>
                <w:sz w:val="22"/>
                <w:szCs w:val="22"/>
              </w:rPr>
            </w:pPr>
          </w:p>
        </w:tc>
        <w:tc>
          <w:tcPr>
            <w:tcW w:w="2806" w:type="dxa"/>
            <w:vMerge/>
          </w:tcPr>
          <w:p w14:paraId="139204D1" w14:textId="77777777" w:rsidR="00FE6511" w:rsidRPr="006A77F2" w:rsidRDefault="00FE6511" w:rsidP="006D19F4">
            <w:pPr>
              <w:rPr>
                <w:rFonts w:cs="Arial"/>
                <w:sz w:val="22"/>
                <w:szCs w:val="22"/>
              </w:rPr>
            </w:pPr>
          </w:p>
        </w:tc>
        <w:tc>
          <w:tcPr>
            <w:tcW w:w="4990" w:type="dxa"/>
            <w:vMerge/>
          </w:tcPr>
          <w:p w14:paraId="63CF8E14"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2C8A9266" w14:textId="77777777" w:rsidR="00FE6511" w:rsidRPr="006A77F2" w:rsidRDefault="00FE6511" w:rsidP="006D19F4">
            <w:pPr>
              <w:rPr>
                <w:rFonts w:cs="Arial"/>
                <w:sz w:val="22"/>
                <w:szCs w:val="22"/>
              </w:rPr>
            </w:pPr>
          </w:p>
        </w:tc>
      </w:tr>
      <w:tr w:rsidR="00FE6511" w:rsidRPr="006A77F2" w14:paraId="33EBC667" w14:textId="77777777" w:rsidTr="006D19F4">
        <w:tc>
          <w:tcPr>
            <w:tcW w:w="1980" w:type="dxa"/>
          </w:tcPr>
          <w:p w14:paraId="523E8A93"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Methadone</w:t>
            </w:r>
          </w:p>
        </w:tc>
        <w:tc>
          <w:tcPr>
            <w:tcW w:w="2126" w:type="dxa"/>
            <w:vMerge/>
          </w:tcPr>
          <w:p w14:paraId="44570EA1" w14:textId="77777777" w:rsidR="00FE6511" w:rsidRPr="006A77F2" w:rsidRDefault="00FE6511" w:rsidP="006D19F4">
            <w:pPr>
              <w:rPr>
                <w:rFonts w:cs="Arial"/>
                <w:sz w:val="22"/>
                <w:szCs w:val="22"/>
              </w:rPr>
            </w:pPr>
          </w:p>
        </w:tc>
        <w:tc>
          <w:tcPr>
            <w:tcW w:w="2806" w:type="dxa"/>
            <w:vMerge/>
          </w:tcPr>
          <w:p w14:paraId="5AD91F89" w14:textId="77777777" w:rsidR="00FE6511" w:rsidRPr="006A77F2" w:rsidRDefault="00FE6511" w:rsidP="006D19F4">
            <w:pPr>
              <w:rPr>
                <w:rFonts w:cs="Arial"/>
                <w:sz w:val="22"/>
                <w:szCs w:val="22"/>
              </w:rPr>
            </w:pPr>
          </w:p>
        </w:tc>
        <w:tc>
          <w:tcPr>
            <w:tcW w:w="4990" w:type="dxa"/>
            <w:vMerge/>
          </w:tcPr>
          <w:p w14:paraId="569BBDEF"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2FD25AA2" w14:textId="77777777" w:rsidR="00FE6511" w:rsidRPr="006A77F2" w:rsidRDefault="00FE6511" w:rsidP="006D19F4">
            <w:pPr>
              <w:rPr>
                <w:rFonts w:cs="Arial"/>
                <w:sz w:val="22"/>
                <w:szCs w:val="22"/>
              </w:rPr>
            </w:pPr>
          </w:p>
        </w:tc>
      </w:tr>
      <w:tr w:rsidR="00FE6511" w:rsidRPr="006A77F2" w14:paraId="0500A27B" w14:textId="77777777" w:rsidTr="006D19F4">
        <w:tc>
          <w:tcPr>
            <w:tcW w:w="1980" w:type="dxa"/>
          </w:tcPr>
          <w:p w14:paraId="7727372E" w14:textId="77777777" w:rsidR="00FE6511" w:rsidRPr="006A77F2" w:rsidRDefault="00FE6511" w:rsidP="006D19F4">
            <w:pPr>
              <w:pStyle w:val="ListParagraph"/>
              <w:widowControl w:val="0"/>
              <w:overflowPunct w:val="0"/>
              <w:autoSpaceDE w:val="0"/>
              <w:autoSpaceDN w:val="0"/>
              <w:adjustRightInd w:val="0"/>
              <w:textAlignment w:val="baseline"/>
              <w:rPr>
                <w:rFonts w:cs="Arial"/>
                <w:iCs/>
                <w:color w:val="FF0000"/>
              </w:rPr>
            </w:pPr>
            <w:r w:rsidRPr="006A77F2">
              <w:rPr>
                <w:rFonts w:cs="Arial"/>
                <w:iCs/>
              </w:rPr>
              <w:t>Mexiletine</w:t>
            </w:r>
          </w:p>
        </w:tc>
        <w:tc>
          <w:tcPr>
            <w:tcW w:w="2126" w:type="dxa"/>
            <w:vMerge/>
          </w:tcPr>
          <w:p w14:paraId="367CD0C7" w14:textId="77777777" w:rsidR="00FE6511" w:rsidRPr="006A77F2" w:rsidRDefault="00FE6511" w:rsidP="006D19F4">
            <w:pPr>
              <w:rPr>
                <w:rFonts w:cs="Arial"/>
                <w:sz w:val="22"/>
                <w:szCs w:val="22"/>
              </w:rPr>
            </w:pPr>
          </w:p>
        </w:tc>
        <w:tc>
          <w:tcPr>
            <w:tcW w:w="2806" w:type="dxa"/>
            <w:vMerge/>
          </w:tcPr>
          <w:p w14:paraId="6D623FE0" w14:textId="77777777" w:rsidR="00FE6511" w:rsidRPr="006A77F2" w:rsidRDefault="00FE6511" w:rsidP="006D19F4">
            <w:pPr>
              <w:rPr>
                <w:rFonts w:cs="Arial"/>
                <w:sz w:val="22"/>
                <w:szCs w:val="22"/>
              </w:rPr>
            </w:pPr>
          </w:p>
        </w:tc>
        <w:tc>
          <w:tcPr>
            <w:tcW w:w="4990" w:type="dxa"/>
            <w:vMerge/>
          </w:tcPr>
          <w:p w14:paraId="6D396F8E"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4F798C1A" w14:textId="77777777" w:rsidR="00FE6511" w:rsidRPr="006A77F2" w:rsidRDefault="00FE6511" w:rsidP="006D19F4">
            <w:pPr>
              <w:rPr>
                <w:rFonts w:cs="Arial"/>
                <w:sz w:val="22"/>
                <w:szCs w:val="22"/>
              </w:rPr>
            </w:pPr>
          </w:p>
        </w:tc>
      </w:tr>
      <w:tr w:rsidR="00FE6511" w:rsidRPr="006A77F2" w14:paraId="27C29134" w14:textId="77777777" w:rsidTr="006D19F4">
        <w:tc>
          <w:tcPr>
            <w:tcW w:w="1980" w:type="dxa"/>
          </w:tcPr>
          <w:p w14:paraId="046604C8"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Melatonin</w:t>
            </w:r>
          </w:p>
        </w:tc>
        <w:tc>
          <w:tcPr>
            <w:tcW w:w="2126" w:type="dxa"/>
            <w:vMerge/>
          </w:tcPr>
          <w:p w14:paraId="58D213B1" w14:textId="77777777" w:rsidR="00FE6511" w:rsidRPr="006A77F2" w:rsidRDefault="00FE6511" w:rsidP="006D19F4">
            <w:pPr>
              <w:rPr>
                <w:rFonts w:cs="Arial"/>
                <w:sz w:val="22"/>
                <w:szCs w:val="22"/>
              </w:rPr>
            </w:pPr>
          </w:p>
        </w:tc>
        <w:tc>
          <w:tcPr>
            <w:tcW w:w="2806" w:type="dxa"/>
            <w:vMerge/>
          </w:tcPr>
          <w:p w14:paraId="0E4A5F7F" w14:textId="77777777" w:rsidR="00FE6511" w:rsidRPr="006A77F2" w:rsidRDefault="00FE6511" w:rsidP="006D19F4">
            <w:pPr>
              <w:rPr>
                <w:rFonts w:cs="Arial"/>
                <w:sz w:val="22"/>
                <w:szCs w:val="22"/>
              </w:rPr>
            </w:pPr>
          </w:p>
        </w:tc>
        <w:tc>
          <w:tcPr>
            <w:tcW w:w="4990" w:type="dxa"/>
            <w:vMerge/>
          </w:tcPr>
          <w:p w14:paraId="563E37B8"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2BEC6A9B" w14:textId="77777777" w:rsidR="00FE6511" w:rsidRPr="006A77F2" w:rsidRDefault="00FE6511" w:rsidP="006D19F4">
            <w:pPr>
              <w:rPr>
                <w:rFonts w:cs="Arial"/>
                <w:sz w:val="22"/>
                <w:szCs w:val="22"/>
              </w:rPr>
            </w:pPr>
          </w:p>
        </w:tc>
      </w:tr>
      <w:tr w:rsidR="00FE6511" w:rsidRPr="006A77F2" w14:paraId="398357F7" w14:textId="77777777" w:rsidTr="006D19F4">
        <w:tc>
          <w:tcPr>
            <w:tcW w:w="1980" w:type="dxa"/>
          </w:tcPr>
          <w:p w14:paraId="6E494A02"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proofErr w:type="spellStart"/>
            <w:r w:rsidRPr="006A77F2">
              <w:rPr>
                <w:rFonts w:cs="Arial"/>
                <w:iCs/>
              </w:rPr>
              <w:t>Riluzole</w:t>
            </w:r>
            <w:proofErr w:type="spellEnd"/>
          </w:p>
        </w:tc>
        <w:tc>
          <w:tcPr>
            <w:tcW w:w="2126" w:type="dxa"/>
            <w:vMerge/>
          </w:tcPr>
          <w:p w14:paraId="0CA931EE" w14:textId="77777777" w:rsidR="00FE6511" w:rsidRPr="006A77F2" w:rsidRDefault="00FE6511" w:rsidP="006D19F4">
            <w:pPr>
              <w:rPr>
                <w:rFonts w:cs="Arial"/>
                <w:sz w:val="22"/>
                <w:szCs w:val="22"/>
              </w:rPr>
            </w:pPr>
          </w:p>
        </w:tc>
        <w:tc>
          <w:tcPr>
            <w:tcW w:w="2806" w:type="dxa"/>
            <w:vMerge/>
          </w:tcPr>
          <w:p w14:paraId="51ED2D09" w14:textId="77777777" w:rsidR="00FE6511" w:rsidRPr="006A77F2" w:rsidRDefault="00FE6511" w:rsidP="006D19F4">
            <w:pPr>
              <w:rPr>
                <w:rFonts w:cs="Arial"/>
                <w:sz w:val="22"/>
                <w:szCs w:val="22"/>
              </w:rPr>
            </w:pPr>
          </w:p>
        </w:tc>
        <w:tc>
          <w:tcPr>
            <w:tcW w:w="4990" w:type="dxa"/>
            <w:vMerge/>
          </w:tcPr>
          <w:p w14:paraId="12E5873E"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0A820841" w14:textId="77777777" w:rsidR="00FE6511" w:rsidRPr="006A77F2" w:rsidRDefault="00FE6511" w:rsidP="006D19F4">
            <w:pPr>
              <w:rPr>
                <w:rFonts w:cs="Arial"/>
                <w:sz w:val="22"/>
                <w:szCs w:val="22"/>
              </w:rPr>
            </w:pPr>
          </w:p>
        </w:tc>
      </w:tr>
      <w:tr w:rsidR="00FE6511" w:rsidRPr="006A77F2" w14:paraId="5DA43378" w14:textId="77777777" w:rsidTr="006D19F4">
        <w:tc>
          <w:tcPr>
            <w:tcW w:w="1980" w:type="dxa"/>
          </w:tcPr>
          <w:p w14:paraId="7ED27AF7" w14:textId="77777777" w:rsidR="00FE6511" w:rsidRPr="006A77F2" w:rsidRDefault="00FE6511" w:rsidP="006D19F4">
            <w:pPr>
              <w:pStyle w:val="ListParagraph"/>
              <w:widowControl w:val="0"/>
              <w:overflowPunct w:val="0"/>
              <w:autoSpaceDE w:val="0"/>
              <w:autoSpaceDN w:val="0"/>
              <w:adjustRightInd w:val="0"/>
              <w:textAlignment w:val="baseline"/>
              <w:rPr>
                <w:rFonts w:cs="Arial"/>
                <w:iCs/>
              </w:rPr>
            </w:pPr>
            <w:r w:rsidRPr="006A77F2">
              <w:rPr>
                <w:rFonts w:cs="Arial"/>
                <w:iCs/>
              </w:rPr>
              <w:t>Ropinirole</w:t>
            </w:r>
          </w:p>
        </w:tc>
        <w:tc>
          <w:tcPr>
            <w:tcW w:w="2126" w:type="dxa"/>
            <w:vMerge/>
          </w:tcPr>
          <w:p w14:paraId="6BC44692" w14:textId="77777777" w:rsidR="00FE6511" w:rsidRPr="006A77F2" w:rsidRDefault="00FE6511" w:rsidP="006D19F4">
            <w:pPr>
              <w:rPr>
                <w:rFonts w:cs="Arial"/>
                <w:sz w:val="22"/>
                <w:szCs w:val="22"/>
              </w:rPr>
            </w:pPr>
          </w:p>
        </w:tc>
        <w:tc>
          <w:tcPr>
            <w:tcW w:w="2806" w:type="dxa"/>
            <w:vMerge/>
          </w:tcPr>
          <w:p w14:paraId="63D43E28" w14:textId="77777777" w:rsidR="00FE6511" w:rsidRPr="006A77F2" w:rsidRDefault="00FE6511" w:rsidP="006D19F4">
            <w:pPr>
              <w:rPr>
                <w:rFonts w:cs="Arial"/>
                <w:sz w:val="22"/>
                <w:szCs w:val="22"/>
              </w:rPr>
            </w:pPr>
          </w:p>
        </w:tc>
        <w:tc>
          <w:tcPr>
            <w:tcW w:w="4990" w:type="dxa"/>
            <w:vMerge/>
          </w:tcPr>
          <w:p w14:paraId="60616CC1" w14:textId="77777777" w:rsidR="00FE6511" w:rsidRPr="006A77F2" w:rsidRDefault="00FE6511" w:rsidP="006D19F4">
            <w:pPr>
              <w:widowControl w:val="0"/>
              <w:overflowPunct w:val="0"/>
              <w:autoSpaceDE w:val="0"/>
              <w:autoSpaceDN w:val="0"/>
              <w:adjustRightInd w:val="0"/>
              <w:spacing w:line="259" w:lineRule="auto"/>
              <w:textAlignment w:val="baseline"/>
              <w:rPr>
                <w:rFonts w:eastAsia="Calibri" w:cs="Arial"/>
                <w:iCs/>
                <w:sz w:val="22"/>
                <w:szCs w:val="22"/>
              </w:rPr>
            </w:pPr>
          </w:p>
        </w:tc>
        <w:tc>
          <w:tcPr>
            <w:tcW w:w="2127" w:type="dxa"/>
            <w:vMerge/>
          </w:tcPr>
          <w:p w14:paraId="14961B5B" w14:textId="77777777" w:rsidR="00FE6511" w:rsidRPr="006A77F2" w:rsidRDefault="00FE6511" w:rsidP="006D19F4">
            <w:pPr>
              <w:rPr>
                <w:rFonts w:cs="Arial"/>
                <w:sz w:val="22"/>
                <w:szCs w:val="22"/>
              </w:rPr>
            </w:pPr>
          </w:p>
        </w:tc>
      </w:tr>
    </w:tbl>
    <w:p w14:paraId="7F577262" w14:textId="77777777" w:rsidR="00FE6511" w:rsidRPr="006A77F2" w:rsidRDefault="00FE6511" w:rsidP="00FE6511">
      <w:pPr>
        <w:rPr>
          <w:rFonts w:cs="Arial"/>
          <w:b/>
          <w:bCs/>
          <w:iCs/>
        </w:rPr>
      </w:pPr>
      <w:r w:rsidRPr="006A77F2">
        <w:rPr>
          <w:rFonts w:cs="Arial"/>
          <w:b/>
          <w:bCs/>
          <w:iCs/>
        </w:rPr>
        <w:t>Useful information:</w:t>
      </w:r>
    </w:p>
    <w:p w14:paraId="58CC1A1A" w14:textId="77777777" w:rsidR="00FE6511" w:rsidRPr="006A77F2" w:rsidRDefault="00FE6511" w:rsidP="00FE6511">
      <w:pPr>
        <w:pStyle w:val="ListParagraph"/>
        <w:numPr>
          <w:ilvl w:val="0"/>
          <w:numId w:val="29"/>
        </w:numPr>
        <w:spacing w:after="0" w:line="240" w:lineRule="auto"/>
        <w:contextualSpacing/>
        <w:textboxTightWrap w:val="none"/>
        <w:rPr>
          <w:rStyle w:val="Hyperlink"/>
          <w:rFonts w:cs="Arial"/>
          <w:iCs/>
          <w:sz w:val="22"/>
          <w:szCs w:val="22"/>
        </w:rPr>
      </w:pPr>
      <w:hyperlink r:id="rId53" w:history="1">
        <w:r w:rsidRPr="006A77F2">
          <w:rPr>
            <w:rStyle w:val="Hyperlink"/>
            <w:rFonts w:cs="Arial"/>
            <w:iCs/>
            <w:sz w:val="22"/>
            <w:szCs w:val="22"/>
          </w:rPr>
          <w:t>Managing specific interactions with smoking</w:t>
        </w:r>
      </w:hyperlink>
    </w:p>
    <w:p w14:paraId="29124511" w14:textId="77777777" w:rsidR="00FE6511" w:rsidRPr="00497DD2" w:rsidRDefault="00FE6511" w:rsidP="00FE6511">
      <w:pPr>
        <w:pStyle w:val="ListParagraph"/>
        <w:numPr>
          <w:ilvl w:val="0"/>
          <w:numId w:val="29"/>
        </w:numPr>
        <w:spacing w:after="0" w:line="240" w:lineRule="auto"/>
        <w:contextualSpacing/>
        <w:textboxTightWrap w:val="none"/>
        <w:rPr>
          <w:rStyle w:val="Hyperlink"/>
          <w:rFonts w:cs="Arial"/>
          <w:iCs/>
          <w:color w:val="auto"/>
          <w:sz w:val="22"/>
          <w:szCs w:val="22"/>
          <w:u w:val="none"/>
        </w:rPr>
      </w:pPr>
      <w:r w:rsidRPr="00497DD2">
        <w:rPr>
          <w:rStyle w:val="Hyperlink"/>
          <w:rFonts w:cs="Arial"/>
          <w:iCs/>
          <w:color w:val="auto"/>
          <w:sz w:val="22"/>
          <w:szCs w:val="22"/>
          <w:u w:val="none"/>
        </w:rPr>
        <w:t>Individual drug Summary of Product Characteristics (SPC): accessible via:</w:t>
      </w:r>
    </w:p>
    <w:p w14:paraId="3CF06D0D" w14:textId="77777777" w:rsidR="00FE6511" w:rsidRPr="006A77F2" w:rsidRDefault="00FE6511" w:rsidP="00FE6511">
      <w:pPr>
        <w:pStyle w:val="ListParagraph"/>
        <w:numPr>
          <w:ilvl w:val="1"/>
          <w:numId w:val="21"/>
        </w:numPr>
        <w:spacing w:after="0" w:line="240" w:lineRule="auto"/>
        <w:contextualSpacing/>
        <w:textboxTightWrap w:val="none"/>
        <w:rPr>
          <w:rStyle w:val="Hyperlink"/>
          <w:rFonts w:cs="Arial"/>
          <w:iCs/>
          <w:sz w:val="22"/>
          <w:szCs w:val="22"/>
        </w:rPr>
      </w:pPr>
      <w:hyperlink r:id="rId54" w:history="1">
        <w:r w:rsidRPr="006A77F2">
          <w:rPr>
            <w:rStyle w:val="Hyperlink"/>
            <w:rFonts w:cs="Arial"/>
            <w:iCs/>
            <w:sz w:val="22"/>
            <w:szCs w:val="22"/>
          </w:rPr>
          <w:t>Electronic medicines compendium</w:t>
        </w:r>
      </w:hyperlink>
    </w:p>
    <w:p w14:paraId="1FCF5702" w14:textId="4967D0F2" w:rsidR="00FE6511" w:rsidRPr="00142DA9" w:rsidRDefault="00FE6511" w:rsidP="00142DA9">
      <w:pPr>
        <w:pStyle w:val="ListParagraph"/>
        <w:numPr>
          <w:ilvl w:val="1"/>
          <w:numId w:val="21"/>
        </w:numPr>
        <w:spacing w:after="0" w:line="240" w:lineRule="auto"/>
        <w:contextualSpacing/>
        <w:textboxTightWrap w:val="none"/>
        <w:rPr>
          <w:rFonts w:asciiTheme="minorHAnsi" w:hAnsiTheme="minorHAnsi" w:cs="Arial"/>
          <w:iCs/>
          <w:color w:val="003087" w:themeColor="accent1"/>
          <w:sz w:val="22"/>
          <w:szCs w:val="22"/>
          <w:u w:val="single"/>
        </w:rPr>
      </w:pPr>
      <w:hyperlink r:id="rId55" w:history="1">
        <w:r w:rsidRPr="006A77F2">
          <w:rPr>
            <w:rStyle w:val="Hyperlink"/>
            <w:rFonts w:cs="Arial"/>
            <w:iCs/>
            <w:sz w:val="22"/>
            <w:szCs w:val="22"/>
          </w:rPr>
          <w:t>MHRA</w:t>
        </w:r>
      </w:hyperlink>
      <w:r w:rsidRPr="006A77F2">
        <w:rPr>
          <w:rStyle w:val="Hyperlink"/>
          <w:rFonts w:cs="Arial"/>
          <w:iCs/>
          <w:sz w:val="22"/>
          <w:szCs w:val="22"/>
        </w:rPr>
        <w:t xml:space="preserve"> </w:t>
      </w:r>
      <w:bookmarkEnd w:id="0"/>
      <w:bookmarkEnd w:id="1"/>
      <w:bookmarkEnd w:id="2"/>
    </w:p>
    <w:sectPr w:rsidR="00FE6511" w:rsidRPr="00142DA9" w:rsidSect="00FE6511">
      <w:pgSz w:w="16838" w:h="11906" w:orient="landscape"/>
      <w:pgMar w:top="1021" w:right="1021" w:bottom="1021" w:left="102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A577" w14:textId="77777777" w:rsidR="007B6C52" w:rsidRPr="006A77F2" w:rsidRDefault="007B6C52" w:rsidP="000C24AF">
      <w:pPr>
        <w:spacing w:after="0"/>
      </w:pPr>
      <w:r w:rsidRPr="006A77F2">
        <w:separator/>
      </w:r>
    </w:p>
  </w:endnote>
  <w:endnote w:type="continuationSeparator" w:id="0">
    <w:p w14:paraId="1AFE98D5" w14:textId="77777777" w:rsidR="007B6C52" w:rsidRPr="006A77F2" w:rsidRDefault="007B6C52" w:rsidP="000C24AF">
      <w:pPr>
        <w:spacing w:after="0"/>
      </w:pPr>
      <w:r w:rsidRPr="006A77F2">
        <w:continuationSeparator/>
      </w:r>
    </w:p>
  </w:endnote>
  <w:endnote w:type="continuationNotice" w:id="1">
    <w:p w14:paraId="2D07FDCC" w14:textId="77777777" w:rsidR="007B6C52" w:rsidRPr="006A77F2" w:rsidRDefault="007B6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620025"/>
      <w:docPartObj>
        <w:docPartGallery w:val="Page Numbers (Bottom of Page)"/>
        <w:docPartUnique/>
      </w:docPartObj>
    </w:sdtPr>
    <w:sdtEndPr/>
    <w:sdtContent>
      <w:p w14:paraId="27646EA8" w14:textId="77777777" w:rsidR="002014BF" w:rsidRDefault="002014BF" w:rsidP="002014BF">
        <w:pPr>
          <w:pStyle w:val="Footer"/>
          <w:jc w:val="center"/>
        </w:pPr>
        <w:r>
          <w:fldChar w:fldCharType="begin"/>
        </w:r>
        <w:r>
          <w:instrText>PAGE   \* MERGEFORMAT</w:instrText>
        </w:r>
        <w:r>
          <w:fldChar w:fldCharType="separate"/>
        </w:r>
        <w:r>
          <w:t>1</w:t>
        </w:r>
        <w:r>
          <w:fldChar w:fldCharType="end"/>
        </w:r>
      </w:p>
      <w:p w14:paraId="52F5F6F3" w14:textId="6C3A5CD1" w:rsidR="002014BF" w:rsidRPr="00160A01" w:rsidRDefault="002014BF" w:rsidP="002014BF">
        <w:pPr>
          <w:pStyle w:val="Footer"/>
          <w:rPr>
            <w:sz w:val="22"/>
          </w:rPr>
        </w:pPr>
        <w:r w:rsidRPr="007F5DBC">
          <w:rPr>
            <w:sz w:val="24"/>
          </w:rPr>
          <w:t xml:space="preserve">Publication reference: </w:t>
        </w:r>
        <w:r w:rsidRPr="00AB67D9">
          <w:rPr>
            <w:sz w:val="24"/>
          </w:rPr>
          <w:t>P</w:t>
        </w:r>
        <w:r>
          <w:rPr>
            <w:sz w:val="24"/>
          </w:rPr>
          <w:t>RN02195</w:t>
        </w:r>
        <w:r>
          <w:rPr>
            <w:sz w:val="24"/>
          </w:rPr>
          <w:tab/>
        </w:r>
        <w:r w:rsidRPr="3C164792">
          <w:rPr>
            <w:sz w:val="22"/>
          </w:rPr>
          <w:t xml:space="preserve">Valid from: </w:t>
        </w:r>
        <w:r w:rsidRPr="0070762E">
          <w:rPr>
            <w:sz w:val="22"/>
            <w:highlight w:val="yellow"/>
          </w:rPr>
          <w:t>x</w:t>
        </w:r>
        <w:r w:rsidR="0070762E" w:rsidRPr="0070762E">
          <w:rPr>
            <w:sz w:val="22"/>
            <w:highlight w:val="yellow"/>
          </w:rPr>
          <w:t xml:space="preserve">x xxx </w:t>
        </w:r>
        <w:proofErr w:type="spellStart"/>
        <w:r w:rsidR="0070762E" w:rsidRPr="0070762E">
          <w:rPr>
            <w:sz w:val="22"/>
            <w:highlight w:val="yellow"/>
          </w:rPr>
          <w:t>xxxx</w:t>
        </w:r>
        <w:proofErr w:type="spellEnd"/>
      </w:p>
      <w:p w14:paraId="410FB2E7" w14:textId="295143CF" w:rsidR="002014BF" w:rsidRPr="0038530A" w:rsidRDefault="002014BF" w:rsidP="002014BF">
        <w:pPr>
          <w:pStyle w:val="Footer"/>
          <w:tabs>
            <w:tab w:val="left" w:pos="5850"/>
          </w:tabs>
          <w:rPr>
            <w:sz w:val="22"/>
          </w:rPr>
        </w:pPr>
        <w:r w:rsidRPr="0038530A">
          <w:rPr>
            <w:sz w:val="22"/>
          </w:rPr>
          <w:t xml:space="preserve">Version: </w:t>
        </w:r>
        <w:r>
          <w:rPr>
            <w:sz w:val="22"/>
          </w:rPr>
          <w:t>1.0</w:t>
        </w:r>
        <w:r>
          <w:rPr>
            <w:sz w:val="22"/>
          </w:rPr>
          <w:tab/>
        </w:r>
        <w:r>
          <w:rPr>
            <w:sz w:val="22"/>
          </w:rPr>
          <w:tab/>
        </w:r>
        <w:r w:rsidRPr="00160A01">
          <w:rPr>
            <w:sz w:val="22"/>
          </w:rPr>
          <w:t xml:space="preserve">Review date: </w:t>
        </w:r>
        <w:r>
          <w:rPr>
            <w:sz w:val="22"/>
          </w:rPr>
          <w:t>30 April 2027</w:t>
        </w:r>
      </w:p>
      <w:p w14:paraId="5C5D06D7" w14:textId="53EB5283" w:rsidR="00FE6511" w:rsidRPr="002014BF" w:rsidRDefault="002014BF" w:rsidP="002014BF">
        <w:pPr>
          <w:pStyle w:val="Footer"/>
        </w:pPr>
        <w:r>
          <w:rPr>
            <w:sz w:val="24"/>
          </w:rPr>
          <w:tab/>
        </w:r>
        <w:r>
          <w:rPr>
            <w:sz w:val="24"/>
          </w:rPr>
          <w:tab/>
        </w:r>
        <w:r w:rsidRPr="00160A01">
          <w:rPr>
            <w:sz w:val="22"/>
          </w:rPr>
          <w:t>Expiry date:</w:t>
        </w:r>
        <w:r>
          <w:rPr>
            <w:sz w:val="22"/>
          </w:rPr>
          <w:t xml:space="preserve"> 31 October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8877E" w14:textId="77777777" w:rsidR="007B6C52" w:rsidRPr="006A77F2" w:rsidRDefault="007B6C52" w:rsidP="000C24AF">
      <w:pPr>
        <w:spacing w:after="0"/>
      </w:pPr>
      <w:r w:rsidRPr="006A77F2">
        <w:separator/>
      </w:r>
    </w:p>
  </w:footnote>
  <w:footnote w:type="continuationSeparator" w:id="0">
    <w:p w14:paraId="1246E44F" w14:textId="77777777" w:rsidR="007B6C52" w:rsidRPr="006A77F2" w:rsidRDefault="007B6C52" w:rsidP="000C24AF">
      <w:pPr>
        <w:spacing w:after="0"/>
      </w:pPr>
      <w:r w:rsidRPr="006A77F2">
        <w:continuationSeparator/>
      </w:r>
    </w:p>
  </w:footnote>
  <w:footnote w:type="continuationNotice" w:id="1">
    <w:p w14:paraId="65D81A9A" w14:textId="77777777" w:rsidR="007B6C52" w:rsidRPr="006A77F2" w:rsidRDefault="007B6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65"/>
    </w:tblGrid>
    <w:tr w:rsidR="00AD6621" w:rsidRPr="006A77F2" w14:paraId="394788C8" w14:textId="77777777" w:rsidTr="006D19F4">
      <w:trPr>
        <w:trHeight w:val="642"/>
      </w:trPr>
      <w:sdt>
        <w:sdtPr>
          <w:rPr>
            <w:color w:val="231F20" w:themeColor="background1"/>
          </w:rPr>
          <w:alias w:val="Protective Marking"/>
          <w:tag w:val="Protective Marking"/>
          <w:id w:val="-562941664"/>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0" w:type="auto"/>
            </w:tcPr>
            <w:p w14:paraId="6A145428" w14:textId="77777777" w:rsidR="00AD6621" w:rsidRPr="006A77F2" w:rsidRDefault="00AD6621" w:rsidP="00AD6621">
              <w:pPr>
                <w:pStyle w:val="Classification"/>
              </w:pPr>
              <w:r w:rsidRPr="006A77F2">
                <w:rPr>
                  <w:color w:val="231F20" w:themeColor="background1"/>
                </w:rPr>
                <w:t>Classification: Official</w:t>
              </w:r>
            </w:p>
          </w:tc>
        </w:sdtContent>
      </w:sdt>
      <w:tc>
        <w:tcPr>
          <w:tcW w:w="2465" w:type="dxa"/>
        </w:tcPr>
        <w:p w14:paraId="28ED78FF" w14:textId="77777777" w:rsidR="00AD6621" w:rsidRPr="006A77F2" w:rsidRDefault="00AD6621" w:rsidP="00AD6621">
          <w:pPr>
            <w:pStyle w:val="Classification"/>
            <w:rPr>
              <w:color w:val="231F20" w:themeColor="background1"/>
            </w:rPr>
          </w:pPr>
        </w:p>
      </w:tc>
    </w:tr>
  </w:tbl>
  <w:p w14:paraId="085738B3" w14:textId="77777777" w:rsidR="00AD6621" w:rsidRPr="006A77F2" w:rsidRDefault="00AD6621" w:rsidP="00AD6621">
    <w:pPr>
      <w:pStyle w:val="Header"/>
      <w:pBdr>
        <w:bottom w:val="none" w:sz="0" w:space="0" w:color="auto"/>
      </w:pBdr>
    </w:pPr>
    <w:r w:rsidRPr="006A77F2">
      <w:rPr>
        <w:rFonts w:asciiTheme="minorHAnsi" w:hAnsiTheme="minorHAnsi"/>
        <w:b/>
        <w:bCs/>
        <w:noProof/>
        <w:lang w:eastAsia="en-GB"/>
      </w:rPr>
      <w:drawing>
        <wp:anchor distT="0" distB="0" distL="114300" distR="114300" simplePos="0" relativeHeight="251658240" behindDoc="1" locked="0" layoutInCell="1" allowOverlap="1" wp14:anchorId="1526EEEA" wp14:editId="11A85037">
          <wp:simplePos x="0" y="0"/>
          <wp:positionH relativeFrom="page">
            <wp:align>right</wp:align>
          </wp:positionH>
          <wp:positionV relativeFrom="page">
            <wp:posOffset>-131445</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1359747066" name="Picture 1359747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AF8514D" w14:textId="4C6216DF" w:rsidR="00FE6511" w:rsidRPr="006A77F2" w:rsidRDefault="00FE6511" w:rsidP="00DE112F">
    <w:pPr>
      <w:pStyle w:val="Header"/>
      <w:pBdr>
        <w:bottom w:val="none" w:sz="0" w:space="0" w:color="auto"/>
      </w:pBdr>
      <w:jc w:val="center"/>
    </w:pPr>
  </w:p>
  <w:p w14:paraId="3FF51FE2" w14:textId="77777777" w:rsidR="00AD6621" w:rsidRPr="006A77F2" w:rsidRDefault="00AD6621" w:rsidP="00DE112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A5D"/>
    <w:multiLevelType w:val="hybridMultilevel"/>
    <w:tmpl w:val="7A208EEA"/>
    <w:lvl w:ilvl="0" w:tplc="4498F5EC">
      <w:start w:val="1"/>
      <w:numFmt w:val="bullet"/>
      <w:lvlText w:val="o"/>
      <w:lvlJc w:val="left"/>
      <w:pPr>
        <w:ind w:left="1041" w:hanging="360"/>
      </w:pPr>
      <w:rPr>
        <w:rFonts w:ascii="Courier New" w:hAnsi="Courier New" w:cs="Courier New" w:hint="default"/>
        <w:b w:val="0"/>
        <w:bCs w:val="0"/>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64010"/>
    <w:multiLevelType w:val="hybridMultilevel"/>
    <w:tmpl w:val="E37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C2550"/>
    <w:multiLevelType w:val="hybridMultilevel"/>
    <w:tmpl w:val="A1885D80"/>
    <w:lvl w:ilvl="0" w:tplc="9EF46AC6">
      <w:start w:val="15"/>
      <w:numFmt w:val="bullet"/>
      <w:lvlText w:val="-"/>
      <w:lvlJc w:val="left"/>
      <w:pPr>
        <w:ind w:left="720" w:hanging="360"/>
      </w:pPr>
      <w:rPr>
        <w:rFonts w:ascii="Arial" w:eastAsiaTheme="minorHAnsi" w:hAnsi="Arial" w:cs="Arial" w:hint="default"/>
        <w:color w:val="231F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36A"/>
    <w:multiLevelType w:val="hybridMultilevel"/>
    <w:tmpl w:val="F5F09FE4"/>
    <w:lvl w:ilvl="0" w:tplc="08090003">
      <w:start w:val="1"/>
      <w:numFmt w:val="bullet"/>
      <w:lvlText w:val="o"/>
      <w:lvlJc w:val="left"/>
      <w:pPr>
        <w:ind w:left="1041" w:hanging="360"/>
      </w:pPr>
      <w:rPr>
        <w:rFonts w:ascii="Courier New" w:hAnsi="Courier New" w:cs="Courier New"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15:restartNumberingAfterBreak="0">
    <w:nsid w:val="097507CB"/>
    <w:multiLevelType w:val="hybridMultilevel"/>
    <w:tmpl w:val="04D00B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9B33FC"/>
    <w:multiLevelType w:val="hybridMultilevel"/>
    <w:tmpl w:val="14BE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049E8"/>
    <w:multiLevelType w:val="hybridMultilevel"/>
    <w:tmpl w:val="FB0A45BC"/>
    <w:lvl w:ilvl="0" w:tplc="AA16BB06">
      <w:start w:val="1"/>
      <w:numFmt w:val="bullet"/>
      <w:lvlText w:val=""/>
      <w:lvlJc w:val="left"/>
      <w:pPr>
        <w:ind w:left="1080" w:hanging="360"/>
      </w:pPr>
      <w:rPr>
        <w:rFonts w:ascii="Symbol" w:hAnsi="Symbol"/>
      </w:rPr>
    </w:lvl>
    <w:lvl w:ilvl="1" w:tplc="55B695BC">
      <w:start w:val="1"/>
      <w:numFmt w:val="bullet"/>
      <w:lvlText w:val=""/>
      <w:lvlJc w:val="left"/>
      <w:pPr>
        <w:ind w:left="1080" w:hanging="360"/>
      </w:pPr>
      <w:rPr>
        <w:rFonts w:ascii="Symbol" w:hAnsi="Symbol"/>
      </w:rPr>
    </w:lvl>
    <w:lvl w:ilvl="2" w:tplc="F9141CB4">
      <w:start w:val="1"/>
      <w:numFmt w:val="bullet"/>
      <w:lvlText w:val=""/>
      <w:lvlJc w:val="left"/>
      <w:pPr>
        <w:ind w:left="1080" w:hanging="360"/>
      </w:pPr>
      <w:rPr>
        <w:rFonts w:ascii="Symbol" w:hAnsi="Symbol"/>
      </w:rPr>
    </w:lvl>
    <w:lvl w:ilvl="3" w:tplc="9E7C941A">
      <w:start w:val="1"/>
      <w:numFmt w:val="bullet"/>
      <w:lvlText w:val=""/>
      <w:lvlJc w:val="left"/>
      <w:pPr>
        <w:ind w:left="1080" w:hanging="360"/>
      </w:pPr>
      <w:rPr>
        <w:rFonts w:ascii="Symbol" w:hAnsi="Symbol"/>
      </w:rPr>
    </w:lvl>
    <w:lvl w:ilvl="4" w:tplc="2A7EADE4">
      <w:start w:val="1"/>
      <w:numFmt w:val="bullet"/>
      <w:lvlText w:val=""/>
      <w:lvlJc w:val="left"/>
      <w:pPr>
        <w:ind w:left="1080" w:hanging="360"/>
      </w:pPr>
      <w:rPr>
        <w:rFonts w:ascii="Symbol" w:hAnsi="Symbol"/>
      </w:rPr>
    </w:lvl>
    <w:lvl w:ilvl="5" w:tplc="86A023F4">
      <w:start w:val="1"/>
      <w:numFmt w:val="bullet"/>
      <w:lvlText w:val=""/>
      <w:lvlJc w:val="left"/>
      <w:pPr>
        <w:ind w:left="1080" w:hanging="360"/>
      </w:pPr>
      <w:rPr>
        <w:rFonts w:ascii="Symbol" w:hAnsi="Symbol"/>
      </w:rPr>
    </w:lvl>
    <w:lvl w:ilvl="6" w:tplc="A020916E">
      <w:start w:val="1"/>
      <w:numFmt w:val="bullet"/>
      <w:lvlText w:val=""/>
      <w:lvlJc w:val="left"/>
      <w:pPr>
        <w:ind w:left="1080" w:hanging="360"/>
      </w:pPr>
      <w:rPr>
        <w:rFonts w:ascii="Symbol" w:hAnsi="Symbol"/>
      </w:rPr>
    </w:lvl>
    <w:lvl w:ilvl="7" w:tplc="BE8A3B7A">
      <w:start w:val="1"/>
      <w:numFmt w:val="bullet"/>
      <w:lvlText w:val=""/>
      <w:lvlJc w:val="left"/>
      <w:pPr>
        <w:ind w:left="1080" w:hanging="360"/>
      </w:pPr>
      <w:rPr>
        <w:rFonts w:ascii="Symbol" w:hAnsi="Symbol"/>
      </w:rPr>
    </w:lvl>
    <w:lvl w:ilvl="8" w:tplc="0BD68E0E">
      <w:start w:val="1"/>
      <w:numFmt w:val="bullet"/>
      <w:lvlText w:val=""/>
      <w:lvlJc w:val="left"/>
      <w:pPr>
        <w:ind w:left="1080" w:hanging="360"/>
      </w:pPr>
      <w:rPr>
        <w:rFonts w:ascii="Symbol" w:hAnsi="Symbol"/>
      </w:rPr>
    </w:lvl>
  </w:abstractNum>
  <w:abstractNum w:abstractNumId="9" w15:restartNumberingAfterBreak="0">
    <w:nsid w:val="183F623B"/>
    <w:multiLevelType w:val="hybridMultilevel"/>
    <w:tmpl w:val="D61C73A0"/>
    <w:lvl w:ilvl="0" w:tplc="2D1CF6A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101B39"/>
    <w:multiLevelType w:val="hybridMultilevel"/>
    <w:tmpl w:val="570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03E5A"/>
    <w:multiLevelType w:val="hybridMultilevel"/>
    <w:tmpl w:val="A2BED272"/>
    <w:lvl w:ilvl="0" w:tplc="4CE2FA86">
      <w:numFmt w:val="bullet"/>
      <w:lvlText w:val="-"/>
      <w:lvlJc w:val="left"/>
      <w:pPr>
        <w:ind w:left="720" w:hanging="360"/>
      </w:pPr>
      <w:rPr>
        <w:rFonts w:ascii="Arial" w:eastAsia="Aptos" w:hAnsi="Arial" w:cs="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D3BF2"/>
    <w:multiLevelType w:val="hybridMultilevel"/>
    <w:tmpl w:val="EC36752E"/>
    <w:lvl w:ilvl="0" w:tplc="33324D16">
      <w:start w:val="1"/>
      <w:numFmt w:val="bullet"/>
      <w:lvlText w:val=""/>
      <w:lvlJc w:val="left"/>
      <w:pPr>
        <w:ind w:left="398" w:hanging="360"/>
      </w:pPr>
      <w:rPr>
        <w:rFonts w:ascii="Symbol" w:hAnsi="Symbol" w:hint="default"/>
        <w:b/>
        <w:bCs/>
      </w:rPr>
    </w:lvl>
    <w:lvl w:ilvl="1" w:tplc="08090003" w:tentative="1">
      <w:start w:val="1"/>
      <w:numFmt w:val="bullet"/>
      <w:lvlText w:val="o"/>
      <w:lvlJc w:val="left"/>
      <w:pPr>
        <w:ind w:left="-1042" w:hanging="360"/>
      </w:pPr>
      <w:rPr>
        <w:rFonts w:ascii="Courier New" w:hAnsi="Courier New" w:cs="Courier New" w:hint="default"/>
      </w:rPr>
    </w:lvl>
    <w:lvl w:ilvl="2" w:tplc="08090005" w:tentative="1">
      <w:start w:val="1"/>
      <w:numFmt w:val="bullet"/>
      <w:lvlText w:val=""/>
      <w:lvlJc w:val="left"/>
      <w:pPr>
        <w:ind w:left="-322" w:hanging="360"/>
      </w:pPr>
      <w:rPr>
        <w:rFonts w:ascii="Wingdings" w:hAnsi="Wingdings" w:hint="default"/>
      </w:rPr>
    </w:lvl>
    <w:lvl w:ilvl="3" w:tplc="08090001" w:tentative="1">
      <w:start w:val="1"/>
      <w:numFmt w:val="bullet"/>
      <w:lvlText w:val=""/>
      <w:lvlJc w:val="left"/>
      <w:pPr>
        <w:ind w:left="398" w:hanging="360"/>
      </w:pPr>
      <w:rPr>
        <w:rFonts w:ascii="Symbol" w:hAnsi="Symbol" w:hint="default"/>
      </w:rPr>
    </w:lvl>
    <w:lvl w:ilvl="4" w:tplc="08090003" w:tentative="1">
      <w:start w:val="1"/>
      <w:numFmt w:val="bullet"/>
      <w:lvlText w:val="o"/>
      <w:lvlJc w:val="left"/>
      <w:pPr>
        <w:ind w:left="1118" w:hanging="360"/>
      </w:pPr>
      <w:rPr>
        <w:rFonts w:ascii="Courier New" w:hAnsi="Courier New" w:cs="Courier New" w:hint="default"/>
      </w:rPr>
    </w:lvl>
    <w:lvl w:ilvl="5" w:tplc="08090005" w:tentative="1">
      <w:start w:val="1"/>
      <w:numFmt w:val="bullet"/>
      <w:lvlText w:val=""/>
      <w:lvlJc w:val="left"/>
      <w:pPr>
        <w:ind w:left="1838" w:hanging="360"/>
      </w:pPr>
      <w:rPr>
        <w:rFonts w:ascii="Wingdings" w:hAnsi="Wingdings" w:hint="default"/>
      </w:rPr>
    </w:lvl>
    <w:lvl w:ilvl="6" w:tplc="08090001" w:tentative="1">
      <w:start w:val="1"/>
      <w:numFmt w:val="bullet"/>
      <w:lvlText w:val=""/>
      <w:lvlJc w:val="left"/>
      <w:pPr>
        <w:ind w:left="2558" w:hanging="360"/>
      </w:pPr>
      <w:rPr>
        <w:rFonts w:ascii="Symbol" w:hAnsi="Symbol" w:hint="default"/>
      </w:rPr>
    </w:lvl>
    <w:lvl w:ilvl="7" w:tplc="08090003" w:tentative="1">
      <w:start w:val="1"/>
      <w:numFmt w:val="bullet"/>
      <w:lvlText w:val="o"/>
      <w:lvlJc w:val="left"/>
      <w:pPr>
        <w:ind w:left="3278" w:hanging="360"/>
      </w:pPr>
      <w:rPr>
        <w:rFonts w:ascii="Courier New" w:hAnsi="Courier New" w:cs="Courier New" w:hint="default"/>
      </w:rPr>
    </w:lvl>
    <w:lvl w:ilvl="8" w:tplc="08090005" w:tentative="1">
      <w:start w:val="1"/>
      <w:numFmt w:val="bullet"/>
      <w:lvlText w:val=""/>
      <w:lvlJc w:val="left"/>
      <w:pPr>
        <w:ind w:left="3998" w:hanging="360"/>
      </w:pPr>
      <w:rPr>
        <w:rFonts w:ascii="Wingdings" w:hAnsi="Wingdings" w:hint="default"/>
      </w:rPr>
    </w:lvl>
  </w:abstractNum>
  <w:abstractNum w:abstractNumId="1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FE2A08"/>
    <w:multiLevelType w:val="hybridMultilevel"/>
    <w:tmpl w:val="9530EC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972A7A6">
      <w:start w:val="1"/>
      <w:numFmt w:val="bullet"/>
      <w:lvlText w:val=""/>
      <w:lvlJc w:val="left"/>
      <w:pPr>
        <w:ind w:left="2520" w:hanging="360"/>
      </w:pPr>
      <w:rPr>
        <w:rFonts w:ascii="Symbol" w:hAnsi="Symbol" w:hint="default"/>
        <w:b/>
        <w:bCs/>
        <w:color w:val="auto"/>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964D0A"/>
    <w:multiLevelType w:val="hybridMultilevel"/>
    <w:tmpl w:val="FDBCB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622A3A"/>
    <w:multiLevelType w:val="hybridMultilevel"/>
    <w:tmpl w:val="9C34E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478E8"/>
    <w:multiLevelType w:val="hybridMultilevel"/>
    <w:tmpl w:val="2BD26690"/>
    <w:lvl w:ilvl="0" w:tplc="703E9C8E">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A6E6E"/>
    <w:multiLevelType w:val="hybridMultilevel"/>
    <w:tmpl w:val="C0CA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1268F6"/>
    <w:multiLevelType w:val="hybridMultilevel"/>
    <w:tmpl w:val="B56A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2222D"/>
    <w:multiLevelType w:val="hybridMultilevel"/>
    <w:tmpl w:val="958CA768"/>
    <w:lvl w:ilvl="0" w:tplc="C080975C">
      <w:start w:val="1"/>
      <w:numFmt w:val="bullet"/>
      <w:lvlText w:val=""/>
      <w:lvlJc w:val="left"/>
      <w:pPr>
        <w:ind w:left="1360" w:hanging="360"/>
      </w:pPr>
      <w:rPr>
        <w:rFonts w:ascii="Symbol" w:hAnsi="Symbol"/>
      </w:rPr>
    </w:lvl>
    <w:lvl w:ilvl="1" w:tplc="4246DE24">
      <w:start w:val="1"/>
      <w:numFmt w:val="bullet"/>
      <w:lvlText w:val=""/>
      <w:lvlJc w:val="left"/>
      <w:pPr>
        <w:ind w:left="1360" w:hanging="360"/>
      </w:pPr>
      <w:rPr>
        <w:rFonts w:ascii="Symbol" w:hAnsi="Symbol"/>
      </w:rPr>
    </w:lvl>
    <w:lvl w:ilvl="2" w:tplc="AE9C2D4E">
      <w:start w:val="1"/>
      <w:numFmt w:val="bullet"/>
      <w:lvlText w:val=""/>
      <w:lvlJc w:val="left"/>
      <w:pPr>
        <w:ind w:left="1360" w:hanging="360"/>
      </w:pPr>
      <w:rPr>
        <w:rFonts w:ascii="Symbol" w:hAnsi="Symbol"/>
      </w:rPr>
    </w:lvl>
    <w:lvl w:ilvl="3" w:tplc="5672BEFE">
      <w:start w:val="1"/>
      <w:numFmt w:val="bullet"/>
      <w:lvlText w:val=""/>
      <w:lvlJc w:val="left"/>
      <w:pPr>
        <w:ind w:left="1360" w:hanging="360"/>
      </w:pPr>
      <w:rPr>
        <w:rFonts w:ascii="Symbol" w:hAnsi="Symbol"/>
      </w:rPr>
    </w:lvl>
    <w:lvl w:ilvl="4" w:tplc="97728558">
      <w:start w:val="1"/>
      <w:numFmt w:val="bullet"/>
      <w:lvlText w:val=""/>
      <w:lvlJc w:val="left"/>
      <w:pPr>
        <w:ind w:left="1360" w:hanging="360"/>
      </w:pPr>
      <w:rPr>
        <w:rFonts w:ascii="Symbol" w:hAnsi="Symbol"/>
      </w:rPr>
    </w:lvl>
    <w:lvl w:ilvl="5" w:tplc="F1CCD498">
      <w:start w:val="1"/>
      <w:numFmt w:val="bullet"/>
      <w:lvlText w:val=""/>
      <w:lvlJc w:val="left"/>
      <w:pPr>
        <w:ind w:left="1360" w:hanging="360"/>
      </w:pPr>
      <w:rPr>
        <w:rFonts w:ascii="Symbol" w:hAnsi="Symbol"/>
      </w:rPr>
    </w:lvl>
    <w:lvl w:ilvl="6" w:tplc="796A4B96">
      <w:start w:val="1"/>
      <w:numFmt w:val="bullet"/>
      <w:lvlText w:val=""/>
      <w:lvlJc w:val="left"/>
      <w:pPr>
        <w:ind w:left="1360" w:hanging="360"/>
      </w:pPr>
      <w:rPr>
        <w:rFonts w:ascii="Symbol" w:hAnsi="Symbol"/>
      </w:rPr>
    </w:lvl>
    <w:lvl w:ilvl="7" w:tplc="39E6AF04">
      <w:start w:val="1"/>
      <w:numFmt w:val="bullet"/>
      <w:lvlText w:val=""/>
      <w:lvlJc w:val="left"/>
      <w:pPr>
        <w:ind w:left="1360" w:hanging="360"/>
      </w:pPr>
      <w:rPr>
        <w:rFonts w:ascii="Symbol" w:hAnsi="Symbol"/>
      </w:rPr>
    </w:lvl>
    <w:lvl w:ilvl="8" w:tplc="D2104D92">
      <w:start w:val="1"/>
      <w:numFmt w:val="bullet"/>
      <w:lvlText w:val=""/>
      <w:lvlJc w:val="left"/>
      <w:pPr>
        <w:ind w:left="1360" w:hanging="360"/>
      </w:pPr>
      <w:rPr>
        <w:rFonts w:ascii="Symbol" w:hAnsi="Symbol"/>
      </w:rPr>
    </w:lvl>
  </w:abstractNum>
  <w:abstractNum w:abstractNumId="28" w15:restartNumberingAfterBreak="0">
    <w:nsid w:val="59D16292"/>
    <w:multiLevelType w:val="hybridMultilevel"/>
    <w:tmpl w:val="FD08C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30" w15:restartNumberingAfterBreak="0">
    <w:nsid w:val="5B7550A8"/>
    <w:multiLevelType w:val="hybridMultilevel"/>
    <w:tmpl w:val="26CE33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7881BB9"/>
    <w:multiLevelType w:val="hybridMultilevel"/>
    <w:tmpl w:val="80D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155A2"/>
    <w:multiLevelType w:val="multilevel"/>
    <w:tmpl w:val="FFBC5CA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192D80"/>
    <w:multiLevelType w:val="hybridMultilevel"/>
    <w:tmpl w:val="6232B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21977"/>
    <w:multiLevelType w:val="hybridMultilevel"/>
    <w:tmpl w:val="5748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133B3"/>
    <w:multiLevelType w:val="hybridMultilevel"/>
    <w:tmpl w:val="1122C6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8" w15:restartNumberingAfterBreak="0">
    <w:nsid w:val="78BE70D9"/>
    <w:multiLevelType w:val="hybridMultilevel"/>
    <w:tmpl w:val="32289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1"/>
  </w:num>
  <w:num w:numId="2" w16cid:durableId="1394693074">
    <w:abstractNumId w:val="21"/>
  </w:num>
  <w:num w:numId="3" w16cid:durableId="570964709">
    <w:abstractNumId w:val="14"/>
  </w:num>
  <w:num w:numId="4" w16cid:durableId="665942341">
    <w:abstractNumId w:val="33"/>
  </w:num>
  <w:num w:numId="5" w16cid:durableId="519971510">
    <w:abstractNumId w:val="25"/>
  </w:num>
  <w:num w:numId="6" w16cid:durableId="491676303">
    <w:abstractNumId w:val="11"/>
  </w:num>
  <w:num w:numId="7" w16cid:durableId="1449928546">
    <w:abstractNumId w:val="20"/>
  </w:num>
  <w:num w:numId="8" w16cid:durableId="1301619992">
    <w:abstractNumId w:val="6"/>
  </w:num>
  <w:num w:numId="9" w16cid:durableId="2078892941">
    <w:abstractNumId w:val="24"/>
  </w:num>
  <w:num w:numId="10" w16cid:durableId="837308867">
    <w:abstractNumId w:val="13"/>
  </w:num>
  <w:num w:numId="11" w16cid:durableId="80757311">
    <w:abstractNumId w:val="2"/>
  </w:num>
  <w:num w:numId="12" w16cid:durableId="1690257150">
    <w:abstractNumId w:val="38"/>
  </w:num>
  <w:num w:numId="13" w16cid:durableId="749274161">
    <w:abstractNumId w:val="7"/>
  </w:num>
  <w:num w:numId="14" w16cid:durableId="1623532141">
    <w:abstractNumId w:val="17"/>
  </w:num>
  <w:num w:numId="15" w16cid:durableId="1418748346">
    <w:abstractNumId w:val="18"/>
  </w:num>
  <w:num w:numId="16" w16cid:durableId="199127887">
    <w:abstractNumId w:val="16"/>
  </w:num>
  <w:num w:numId="17" w16cid:durableId="1064446358">
    <w:abstractNumId w:val="37"/>
  </w:num>
  <w:num w:numId="18" w16cid:durableId="939147730">
    <w:abstractNumId w:val="29"/>
  </w:num>
  <w:num w:numId="19" w16cid:durableId="1213737089">
    <w:abstractNumId w:val="4"/>
  </w:num>
  <w:num w:numId="20" w16cid:durableId="1533805205">
    <w:abstractNumId w:val="34"/>
  </w:num>
  <w:num w:numId="21" w16cid:durableId="365496206">
    <w:abstractNumId w:val="12"/>
  </w:num>
  <w:num w:numId="22" w16cid:durableId="449325872">
    <w:abstractNumId w:val="5"/>
  </w:num>
  <w:num w:numId="23" w16cid:durableId="2042513202">
    <w:abstractNumId w:val="28"/>
  </w:num>
  <w:num w:numId="24" w16cid:durableId="1798184905">
    <w:abstractNumId w:val="9"/>
  </w:num>
  <w:num w:numId="25" w16cid:durableId="1457216084">
    <w:abstractNumId w:val="36"/>
  </w:num>
  <w:num w:numId="26" w16cid:durableId="602080541">
    <w:abstractNumId w:val="15"/>
  </w:num>
  <w:num w:numId="27" w16cid:durableId="1662004712">
    <w:abstractNumId w:val="0"/>
  </w:num>
  <w:num w:numId="28" w16cid:durableId="357464217">
    <w:abstractNumId w:val="31"/>
  </w:num>
  <w:num w:numId="29" w16cid:durableId="1725786260">
    <w:abstractNumId w:val="35"/>
  </w:num>
  <w:num w:numId="30" w16cid:durableId="202792795">
    <w:abstractNumId w:val="32"/>
  </w:num>
  <w:num w:numId="31" w16cid:durableId="1887712801">
    <w:abstractNumId w:val="30"/>
  </w:num>
  <w:num w:numId="32" w16cid:durableId="1724791052">
    <w:abstractNumId w:val="23"/>
  </w:num>
  <w:num w:numId="33" w16cid:durableId="2006202540">
    <w:abstractNumId w:val="3"/>
  </w:num>
  <w:num w:numId="34" w16cid:durableId="1287275178">
    <w:abstractNumId w:val="22"/>
  </w:num>
  <w:num w:numId="35" w16cid:durableId="682518519">
    <w:abstractNumId w:val="19"/>
  </w:num>
  <w:num w:numId="36" w16cid:durableId="392772963">
    <w:abstractNumId w:val="27"/>
  </w:num>
  <w:num w:numId="37" w16cid:durableId="1269629593">
    <w:abstractNumId w:val="26"/>
  </w:num>
  <w:num w:numId="38" w16cid:durableId="1122454019">
    <w:abstractNumId w:val="10"/>
  </w:num>
  <w:num w:numId="39" w16cid:durableId="71535445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C7"/>
    <w:rsid w:val="00000CBC"/>
    <w:rsid w:val="00002095"/>
    <w:rsid w:val="0000385F"/>
    <w:rsid w:val="0000416F"/>
    <w:rsid w:val="000106A5"/>
    <w:rsid w:val="000108B8"/>
    <w:rsid w:val="0001164C"/>
    <w:rsid w:val="0001164D"/>
    <w:rsid w:val="00012E8F"/>
    <w:rsid w:val="000131D4"/>
    <w:rsid w:val="00016619"/>
    <w:rsid w:val="00016EB1"/>
    <w:rsid w:val="00017F6E"/>
    <w:rsid w:val="000203BF"/>
    <w:rsid w:val="0002206A"/>
    <w:rsid w:val="00023E73"/>
    <w:rsid w:val="000247C6"/>
    <w:rsid w:val="00027EFC"/>
    <w:rsid w:val="00030367"/>
    <w:rsid w:val="0003185C"/>
    <w:rsid w:val="00031B0F"/>
    <w:rsid w:val="00031FD0"/>
    <w:rsid w:val="00033831"/>
    <w:rsid w:val="000357B4"/>
    <w:rsid w:val="00037188"/>
    <w:rsid w:val="00037279"/>
    <w:rsid w:val="00037587"/>
    <w:rsid w:val="00042B97"/>
    <w:rsid w:val="0004594C"/>
    <w:rsid w:val="000469CA"/>
    <w:rsid w:val="00046FF6"/>
    <w:rsid w:val="00047FE2"/>
    <w:rsid w:val="0005422B"/>
    <w:rsid w:val="00055630"/>
    <w:rsid w:val="000609B4"/>
    <w:rsid w:val="00061452"/>
    <w:rsid w:val="00061AC9"/>
    <w:rsid w:val="0006326D"/>
    <w:rsid w:val="00063FDA"/>
    <w:rsid w:val="00065B63"/>
    <w:rsid w:val="00066F1B"/>
    <w:rsid w:val="00072109"/>
    <w:rsid w:val="00072F34"/>
    <w:rsid w:val="0007300B"/>
    <w:rsid w:val="000733A2"/>
    <w:rsid w:val="00076E72"/>
    <w:rsid w:val="000801E0"/>
    <w:rsid w:val="00080C57"/>
    <w:rsid w:val="0008313C"/>
    <w:rsid w:val="00085A64"/>
    <w:rsid w:val="000863E2"/>
    <w:rsid w:val="000903EB"/>
    <w:rsid w:val="000907BD"/>
    <w:rsid w:val="000935A1"/>
    <w:rsid w:val="00094349"/>
    <w:rsid w:val="00095621"/>
    <w:rsid w:val="00096F53"/>
    <w:rsid w:val="00097BCD"/>
    <w:rsid w:val="000A231B"/>
    <w:rsid w:val="000A266D"/>
    <w:rsid w:val="000A57D4"/>
    <w:rsid w:val="000A64E4"/>
    <w:rsid w:val="000A7257"/>
    <w:rsid w:val="000A73FC"/>
    <w:rsid w:val="000B0AA5"/>
    <w:rsid w:val="000B154C"/>
    <w:rsid w:val="000B3541"/>
    <w:rsid w:val="000B48E0"/>
    <w:rsid w:val="000C0633"/>
    <w:rsid w:val="000C2447"/>
    <w:rsid w:val="000C24AF"/>
    <w:rsid w:val="000C455B"/>
    <w:rsid w:val="000C506E"/>
    <w:rsid w:val="000C6D44"/>
    <w:rsid w:val="000D133B"/>
    <w:rsid w:val="000D39C3"/>
    <w:rsid w:val="000D76F8"/>
    <w:rsid w:val="000E0965"/>
    <w:rsid w:val="000E1A7D"/>
    <w:rsid w:val="000E2EBE"/>
    <w:rsid w:val="000E52A3"/>
    <w:rsid w:val="000E56A9"/>
    <w:rsid w:val="000E570A"/>
    <w:rsid w:val="000F0A45"/>
    <w:rsid w:val="000F3D6D"/>
    <w:rsid w:val="000F4CA8"/>
    <w:rsid w:val="00101883"/>
    <w:rsid w:val="0010192E"/>
    <w:rsid w:val="00102B05"/>
    <w:rsid w:val="00103F4D"/>
    <w:rsid w:val="00104C3E"/>
    <w:rsid w:val="0010592F"/>
    <w:rsid w:val="00106447"/>
    <w:rsid w:val="00113EEC"/>
    <w:rsid w:val="00115028"/>
    <w:rsid w:val="001163E1"/>
    <w:rsid w:val="001213FC"/>
    <w:rsid w:val="00121A3A"/>
    <w:rsid w:val="00127C11"/>
    <w:rsid w:val="00134E6A"/>
    <w:rsid w:val="00135984"/>
    <w:rsid w:val="00136BE6"/>
    <w:rsid w:val="00142DA9"/>
    <w:rsid w:val="00144B0D"/>
    <w:rsid w:val="00145E1E"/>
    <w:rsid w:val="00146F04"/>
    <w:rsid w:val="00150DCC"/>
    <w:rsid w:val="001545F4"/>
    <w:rsid w:val="00160441"/>
    <w:rsid w:val="00160CED"/>
    <w:rsid w:val="00162D50"/>
    <w:rsid w:val="001657E3"/>
    <w:rsid w:val="001666D1"/>
    <w:rsid w:val="001704CD"/>
    <w:rsid w:val="001716E5"/>
    <w:rsid w:val="00172562"/>
    <w:rsid w:val="00175B96"/>
    <w:rsid w:val="00185DD1"/>
    <w:rsid w:val="001860CC"/>
    <w:rsid w:val="001860DA"/>
    <w:rsid w:val="001865E7"/>
    <w:rsid w:val="00187439"/>
    <w:rsid w:val="00194255"/>
    <w:rsid w:val="0019462E"/>
    <w:rsid w:val="00196294"/>
    <w:rsid w:val="001969A8"/>
    <w:rsid w:val="00196FB9"/>
    <w:rsid w:val="001A0142"/>
    <w:rsid w:val="001A01DF"/>
    <w:rsid w:val="001A4186"/>
    <w:rsid w:val="001A4273"/>
    <w:rsid w:val="001B0790"/>
    <w:rsid w:val="001B0DEF"/>
    <w:rsid w:val="001B0E23"/>
    <w:rsid w:val="001B1CCD"/>
    <w:rsid w:val="001B2415"/>
    <w:rsid w:val="001B6195"/>
    <w:rsid w:val="001B69FC"/>
    <w:rsid w:val="001B74CC"/>
    <w:rsid w:val="001B79C7"/>
    <w:rsid w:val="001B7BB2"/>
    <w:rsid w:val="001C046C"/>
    <w:rsid w:val="001C30AF"/>
    <w:rsid w:val="001C355D"/>
    <w:rsid w:val="001C3565"/>
    <w:rsid w:val="001C4D90"/>
    <w:rsid w:val="001C6201"/>
    <w:rsid w:val="001C6937"/>
    <w:rsid w:val="001D1066"/>
    <w:rsid w:val="001D1247"/>
    <w:rsid w:val="001D1A00"/>
    <w:rsid w:val="001D21C1"/>
    <w:rsid w:val="001D243C"/>
    <w:rsid w:val="001D4A11"/>
    <w:rsid w:val="001D54FB"/>
    <w:rsid w:val="001D6F1F"/>
    <w:rsid w:val="001D7F4C"/>
    <w:rsid w:val="001E004E"/>
    <w:rsid w:val="001E1436"/>
    <w:rsid w:val="001E27F8"/>
    <w:rsid w:val="001E3ED7"/>
    <w:rsid w:val="001E4A5B"/>
    <w:rsid w:val="001F2680"/>
    <w:rsid w:val="001F3126"/>
    <w:rsid w:val="001F4D23"/>
    <w:rsid w:val="002014BF"/>
    <w:rsid w:val="002033FC"/>
    <w:rsid w:val="00203E10"/>
    <w:rsid w:val="002047FF"/>
    <w:rsid w:val="00204CF8"/>
    <w:rsid w:val="00210895"/>
    <w:rsid w:val="00213084"/>
    <w:rsid w:val="0021695F"/>
    <w:rsid w:val="0022134A"/>
    <w:rsid w:val="002221C5"/>
    <w:rsid w:val="0022596F"/>
    <w:rsid w:val="0022780D"/>
    <w:rsid w:val="002301BB"/>
    <w:rsid w:val="00230EDA"/>
    <w:rsid w:val="00231684"/>
    <w:rsid w:val="00231BBF"/>
    <w:rsid w:val="0023360B"/>
    <w:rsid w:val="00233E82"/>
    <w:rsid w:val="00235C73"/>
    <w:rsid w:val="00240B6E"/>
    <w:rsid w:val="002418ED"/>
    <w:rsid w:val="00242DE2"/>
    <w:rsid w:val="002435A7"/>
    <w:rsid w:val="0024418E"/>
    <w:rsid w:val="00244296"/>
    <w:rsid w:val="00244F78"/>
    <w:rsid w:val="00244FCC"/>
    <w:rsid w:val="00245865"/>
    <w:rsid w:val="00246075"/>
    <w:rsid w:val="00247264"/>
    <w:rsid w:val="0025151B"/>
    <w:rsid w:val="00251B94"/>
    <w:rsid w:val="0025372B"/>
    <w:rsid w:val="002554E1"/>
    <w:rsid w:val="00255511"/>
    <w:rsid w:val="002559A2"/>
    <w:rsid w:val="00260C8A"/>
    <w:rsid w:val="0026499C"/>
    <w:rsid w:val="00264D16"/>
    <w:rsid w:val="00270DAD"/>
    <w:rsid w:val="00271DFD"/>
    <w:rsid w:val="00273A22"/>
    <w:rsid w:val="00274025"/>
    <w:rsid w:val="00276EAB"/>
    <w:rsid w:val="0028181B"/>
    <w:rsid w:val="00282708"/>
    <w:rsid w:val="002834BB"/>
    <w:rsid w:val="00284F02"/>
    <w:rsid w:val="002855F7"/>
    <w:rsid w:val="00286E07"/>
    <w:rsid w:val="00294488"/>
    <w:rsid w:val="0029797A"/>
    <w:rsid w:val="002A00BA"/>
    <w:rsid w:val="002A3F48"/>
    <w:rsid w:val="002A45CD"/>
    <w:rsid w:val="002A6BD6"/>
    <w:rsid w:val="002A6EDC"/>
    <w:rsid w:val="002B24BD"/>
    <w:rsid w:val="002B25A1"/>
    <w:rsid w:val="002B2F6E"/>
    <w:rsid w:val="002B3BFD"/>
    <w:rsid w:val="002B4133"/>
    <w:rsid w:val="002B4ACD"/>
    <w:rsid w:val="002B4F4F"/>
    <w:rsid w:val="002B52C5"/>
    <w:rsid w:val="002B6D5E"/>
    <w:rsid w:val="002C0151"/>
    <w:rsid w:val="002C07F7"/>
    <w:rsid w:val="002C0816"/>
    <w:rsid w:val="002C0C01"/>
    <w:rsid w:val="002C1851"/>
    <w:rsid w:val="002C1AFA"/>
    <w:rsid w:val="002C2B41"/>
    <w:rsid w:val="002C5C2F"/>
    <w:rsid w:val="002D2777"/>
    <w:rsid w:val="002D2CF8"/>
    <w:rsid w:val="002E2942"/>
    <w:rsid w:val="002F131C"/>
    <w:rsid w:val="002F2EE6"/>
    <w:rsid w:val="002F5114"/>
    <w:rsid w:val="002F7B8F"/>
    <w:rsid w:val="00305AFC"/>
    <w:rsid w:val="0031030C"/>
    <w:rsid w:val="003211EA"/>
    <w:rsid w:val="003215E1"/>
    <w:rsid w:val="00324896"/>
    <w:rsid w:val="00324AF0"/>
    <w:rsid w:val="00324C26"/>
    <w:rsid w:val="00325E0B"/>
    <w:rsid w:val="00326B5C"/>
    <w:rsid w:val="00331305"/>
    <w:rsid w:val="00333507"/>
    <w:rsid w:val="0033715E"/>
    <w:rsid w:val="00340F1D"/>
    <w:rsid w:val="0034239E"/>
    <w:rsid w:val="00342FF1"/>
    <w:rsid w:val="00343581"/>
    <w:rsid w:val="0034439B"/>
    <w:rsid w:val="003444C7"/>
    <w:rsid w:val="003453A4"/>
    <w:rsid w:val="0034560E"/>
    <w:rsid w:val="00346CDC"/>
    <w:rsid w:val="00353431"/>
    <w:rsid w:val="0035386A"/>
    <w:rsid w:val="0035464A"/>
    <w:rsid w:val="0035637A"/>
    <w:rsid w:val="00363CBD"/>
    <w:rsid w:val="00364052"/>
    <w:rsid w:val="0037033E"/>
    <w:rsid w:val="0037051C"/>
    <w:rsid w:val="0037334B"/>
    <w:rsid w:val="00374B6D"/>
    <w:rsid w:val="00375B55"/>
    <w:rsid w:val="0038459A"/>
    <w:rsid w:val="00384F98"/>
    <w:rsid w:val="00384FA1"/>
    <w:rsid w:val="0039210D"/>
    <w:rsid w:val="00394D64"/>
    <w:rsid w:val="003A1BF1"/>
    <w:rsid w:val="003A30E3"/>
    <w:rsid w:val="003A4B22"/>
    <w:rsid w:val="003A66CB"/>
    <w:rsid w:val="003A70D9"/>
    <w:rsid w:val="003B2686"/>
    <w:rsid w:val="003B42E6"/>
    <w:rsid w:val="003B50DC"/>
    <w:rsid w:val="003B6BB4"/>
    <w:rsid w:val="003B6BC2"/>
    <w:rsid w:val="003C1101"/>
    <w:rsid w:val="003C4DD3"/>
    <w:rsid w:val="003C7E10"/>
    <w:rsid w:val="003D01CD"/>
    <w:rsid w:val="003D2D4D"/>
    <w:rsid w:val="003D3A42"/>
    <w:rsid w:val="003D3A81"/>
    <w:rsid w:val="003D3C14"/>
    <w:rsid w:val="003D6943"/>
    <w:rsid w:val="003D7385"/>
    <w:rsid w:val="003D7DA1"/>
    <w:rsid w:val="003E21F2"/>
    <w:rsid w:val="003E23F9"/>
    <w:rsid w:val="003E41F5"/>
    <w:rsid w:val="003E4D87"/>
    <w:rsid w:val="003E7A46"/>
    <w:rsid w:val="003E7EAA"/>
    <w:rsid w:val="003F3717"/>
    <w:rsid w:val="003F64F2"/>
    <w:rsid w:val="003F6F13"/>
    <w:rsid w:val="003F7B0C"/>
    <w:rsid w:val="004068EC"/>
    <w:rsid w:val="00410880"/>
    <w:rsid w:val="00410DE9"/>
    <w:rsid w:val="00411D1D"/>
    <w:rsid w:val="00420E7F"/>
    <w:rsid w:val="00423FAF"/>
    <w:rsid w:val="00426380"/>
    <w:rsid w:val="00427636"/>
    <w:rsid w:val="00427906"/>
    <w:rsid w:val="00427AFC"/>
    <w:rsid w:val="00430131"/>
    <w:rsid w:val="004352E3"/>
    <w:rsid w:val="00443088"/>
    <w:rsid w:val="004435C7"/>
    <w:rsid w:val="00446D64"/>
    <w:rsid w:val="00450F9C"/>
    <w:rsid w:val="00455A3F"/>
    <w:rsid w:val="00457581"/>
    <w:rsid w:val="00457A97"/>
    <w:rsid w:val="00461C51"/>
    <w:rsid w:val="00465213"/>
    <w:rsid w:val="00470AEA"/>
    <w:rsid w:val="00471744"/>
    <w:rsid w:val="004719BC"/>
    <w:rsid w:val="00472D33"/>
    <w:rsid w:val="00475579"/>
    <w:rsid w:val="004764B4"/>
    <w:rsid w:val="004768A4"/>
    <w:rsid w:val="0047784A"/>
    <w:rsid w:val="00480309"/>
    <w:rsid w:val="00480421"/>
    <w:rsid w:val="00480E21"/>
    <w:rsid w:val="0048279C"/>
    <w:rsid w:val="00484943"/>
    <w:rsid w:val="00484ACD"/>
    <w:rsid w:val="004863C5"/>
    <w:rsid w:val="00486496"/>
    <w:rsid w:val="004867E1"/>
    <w:rsid w:val="00487039"/>
    <w:rsid w:val="00491977"/>
    <w:rsid w:val="004921B2"/>
    <w:rsid w:val="00493AEE"/>
    <w:rsid w:val="00497DD2"/>
    <w:rsid w:val="00497DE0"/>
    <w:rsid w:val="004A0A5A"/>
    <w:rsid w:val="004A2DF6"/>
    <w:rsid w:val="004A60E6"/>
    <w:rsid w:val="004A635B"/>
    <w:rsid w:val="004B6F1D"/>
    <w:rsid w:val="004C2AF2"/>
    <w:rsid w:val="004C3FFA"/>
    <w:rsid w:val="004C4D6D"/>
    <w:rsid w:val="004C72F3"/>
    <w:rsid w:val="004C79CA"/>
    <w:rsid w:val="004D050D"/>
    <w:rsid w:val="004D3394"/>
    <w:rsid w:val="004D460E"/>
    <w:rsid w:val="004D6820"/>
    <w:rsid w:val="004D6E27"/>
    <w:rsid w:val="004D763F"/>
    <w:rsid w:val="004E4BA3"/>
    <w:rsid w:val="004F0579"/>
    <w:rsid w:val="004F0A67"/>
    <w:rsid w:val="004F0F87"/>
    <w:rsid w:val="004F1337"/>
    <w:rsid w:val="004F1630"/>
    <w:rsid w:val="004F28CE"/>
    <w:rsid w:val="004F2C22"/>
    <w:rsid w:val="004F5078"/>
    <w:rsid w:val="004F6303"/>
    <w:rsid w:val="004F6547"/>
    <w:rsid w:val="005004E7"/>
    <w:rsid w:val="005014AF"/>
    <w:rsid w:val="00501AFD"/>
    <w:rsid w:val="00504200"/>
    <w:rsid w:val="00504A9F"/>
    <w:rsid w:val="00506653"/>
    <w:rsid w:val="00510F5F"/>
    <w:rsid w:val="00514558"/>
    <w:rsid w:val="005216A9"/>
    <w:rsid w:val="00523CE2"/>
    <w:rsid w:val="0052756A"/>
    <w:rsid w:val="00527590"/>
    <w:rsid w:val="00527C5D"/>
    <w:rsid w:val="00534180"/>
    <w:rsid w:val="00536241"/>
    <w:rsid w:val="00544C0C"/>
    <w:rsid w:val="00545028"/>
    <w:rsid w:val="00547D03"/>
    <w:rsid w:val="00553743"/>
    <w:rsid w:val="00553B35"/>
    <w:rsid w:val="00557A63"/>
    <w:rsid w:val="005619BD"/>
    <w:rsid w:val="00562216"/>
    <w:rsid w:val="00562975"/>
    <w:rsid w:val="005634F0"/>
    <w:rsid w:val="00565383"/>
    <w:rsid w:val="005673D1"/>
    <w:rsid w:val="005715AE"/>
    <w:rsid w:val="005722AB"/>
    <w:rsid w:val="00573AB0"/>
    <w:rsid w:val="00577078"/>
    <w:rsid w:val="005773D0"/>
    <w:rsid w:val="00577A42"/>
    <w:rsid w:val="00577EBF"/>
    <w:rsid w:val="0058121B"/>
    <w:rsid w:val="00581408"/>
    <w:rsid w:val="00582B48"/>
    <w:rsid w:val="005836D4"/>
    <w:rsid w:val="00584C8E"/>
    <w:rsid w:val="00584D6A"/>
    <w:rsid w:val="0058586F"/>
    <w:rsid w:val="00585A8E"/>
    <w:rsid w:val="00586708"/>
    <w:rsid w:val="00590D21"/>
    <w:rsid w:val="005921CE"/>
    <w:rsid w:val="00594C78"/>
    <w:rsid w:val="00596EF5"/>
    <w:rsid w:val="005A2905"/>
    <w:rsid w:val="005A3B89"/>
    <w:rsid w:val="005A40AA"/>
    <w:rsid w:val="005A5DEE"/>
    <w:rsid w:val="005B0820"/>
    <w:rsid w:val="005B1626"/>
    <w:rsid w:val="005B2CF3"/>
    <w:rsid w:val="005B3B21"/>
    <w:rsid w:val="005B6CD5"/>
    <w:rsid w:val="005B70D7"/>
    <w:rsid w:val="005C068C"/>
    <w:rsid w:val="005C2644"/>
    <w:rsid w:val="005C3B89"/>
    <w:rsid w:val="005C6127"/>
    <w:rsid w:val="005C689C"/>
    <w:rsid w:val="005C7C02"/>
    <w:rsid w:val="005D073D"/>
    <w:rsid w:val="005D1836"/>
    <w:rsid w:val="005D4E5A"/>
    <w:rsid w:val="005D61B4"/>
    <w:rsid w:val="005D6EF3"/>
    <w:rsid w:val="005E044E"/>
    <w:rsid w:val="005F0359"/>
    <w:rsid w:val="005F18F3"/>
    <w:rsid w:val="005F7DC4"/>
    <w:rsid w:val="0060011B"/>
    <w:rsid w:val="00601DBA"/>
    <w:rsid w:val="00603012"/>
    <w:rsid w:val="0060337D"/>
    <w:rsid w:val="00604DA7"/>
    <w:rsid w:val="00604DFF"/>
    <w:rsid w:val="0061013B"/>
    <w:rsid w:val="00612CA0"/>
    <w:rsid w:val="00613251"/>
    <w:rsid w:val="00614F79"/>
    <w:rsid w:val="00615584"/>
    <w:rsid w:val="00615B7F"/>
    <w:rsid w:val="00616166"/>
    <w:rsid w:val="00616632"/>
    <w:rsid w:val="006168A5"/>
    <w:rsid w:val="00616FAD"/>
    <w:rsid w:val="006210BC"/>
    <w:rsid w:val="0062230C"/>
    <w:rsid w:val="0062250D"/>
    <w:rsid w:val="00627056"/>
    <w:rsid w:val="006272CB"/>
    <w:rsid w:val="006308D9"/>
    <w:rsid w:val="00630AB4"/>
    <w:rsid w:val="00631500"/>
    <w:rsid w:val="00634AD5"/>
    <w:rsid w:val="0063502E"/>
    <w:rsid w:val="0063627F"/>
    <w:rsid w:val="006374B1"/>
    <w:rsid w:val="00640847"/>
    <w:rsid w:val="006411C9"/>
    <w:rsid w:val="0064149B"/>
    <w:rsid w:val="00642348"/>
    <w:rsid w:val="0064308B"/>
    <w:rsid w:val="00643B46"/>
    <w:rsid w:val="00644461"/>
    <w:rsid w:val="006459C7"/>
    <w:rsid w:val="0064741F"/>
    <w:rsid w:val="0065222D"/>
    <w:rsid w:val="00654EE0"/>
    <w:rsid w:val="00655AF0"/>
    <w:rsid w:val="006566C9"/>
    <w:rsid w:val="006566CF"/>
    <w:rsid w:val="0066002E"/>
    <w:rsid w:val="006628AA"/>
    <w:rsid w:val="00662C1B"/>
    <w:rsid w:val="00665AF9"/>
    <w:rsid w:val="00665B7D"/>
    <w:rsid w:val="006679DE"/>
    <w:rsid w:val="00671B7A"/>
    <w:rsid w:val="006749B2"/>
    <w:rsid w:val="00675E35"/>
    <w:rsid w:val="00676B15"/>
    <w:rsid w:val="006809C4"/>
    <w:rsid w:val="00684633"/>
    <w:rsid w:val="00684C60"/>
    <w:rsid w:val="00685C21"/>
    <w:rsid w:val="00685D9C"/>
    <w:rsid w:val="00692041"/>
    <w:rsid w:val="006922E1"/>
    <w:rsid w:val="00694747"/>
    <w:rsid w:val="00694FC4"/>
    <w:rsid w:val="00695BA8"/>
    <w:rsid w:val="006A1C71"/>
    <w:rsid w:val="006A2FE3"/>
    <w:rsid w:val="006A5E00"/>
    <w:rsid w:val="006A77F2"/>
    <w:rsid w:val="006B25B1"/>
    <w:rsid w:val="006B7768"/>
    <w:rsid w:val="006C4DFD"/>
    <w:rsid w:val="006C6221"/>
    <w:rsid w:val="006D02E8"/>
    <w:rsid w:val="006D06B5"/>
    <w:rsid w:val="006D0ABF"/>
    <w:rsid w:val="006D19F4"/>
    <w:rsid w:val="006D4316"/>
    <w:rsid w:val="006D5A05"/>
    <w:rsid w:val="006E0C21"/>
    <w:rsid w:val="006E2FE7"/>
    <w:rsid w:val="006E40FD"/>
    <w:rsid w:val="006F0F41"/>
    <w:rsid w:val="006F0FDE"/>
    <w:rsid w:val="006F33F2"/>
    <w:rsid w:val="006F37F0"/>
    <w:rsid w:val="006F3A26"/>
    <w:rsid w:val="006F3D88"/>
    <w:rsid w:val="006F45E1"/>
    <w:rsid w:val="006F56F6"/>
    <w:rsid w:val="00702B4D"/>
    <w:rsid w:val="0070690B"/>
    <w:rsid w:val="0070762E"/>
    <w:rsid w:val="00707A46"/>
    <w:rsid w:val="00710E40"/>
    <w:rsid w:val="007118C8"/>
    <w:rsid w:val="007133EA"/>
    <w:rsid w:val="00713CE4"/>
    <w:rsid w:val="0071497F"/>
    <w:rsid w:val="007156C2"/>
    <w:rsid w:val="00715D9D"/>
    <w:rsid w:val="00721436"/>
    <w:rsid w:val="00723898"/>
    <w:rsid w:val="00723A85"/>
    <w:rsid w:val="0072637C"/>
    <w:rsid w:val="00733715"/>
    <w:rsid w:val="00733F97"/>
    <w:rsid w:val="0073429A"/>
    <w:rsid w:val="00734E42"/>
    <w:rsid w:val="007367CA"/>
    <w:rsid w:val="00740573"/>
    <w:rsid w:val="00740590"/>
    <w:rsid w:val="00744115"/>
    <w:rsid w:val="00747AB3"/>
    <w:rsid w:val="00751FFF"/>
    <w:rsid w:val="00752399"/>
    <w:rsid w:val="00753953"/>
    <w:rsid w:val="00754962"/>
    <w:rsid w:val="007567D9"/>
    <w:rsid w:val="00761E45"/>
    <w:rsid w:val="007633C8"/>
    <w:rsid w:val="00763FA3"/>
    <w:rsid w:val="007663CB"/>
    <w:rsid w:val="0077061D"/>
    <w:rsid w:val="00770C19"/>
    <w:rsid w:val="00775763"/>
    <w:rsid w:val="00776A89"/>
    <w:rsid w:val="00776F49"/>
    <w:rsid w:val="00781A16"/>
    <w:rsid w:val="0078374B"/>
    <w:rsid w:val="007855CF"/>
    <w:rsid w:val="007879A6"/>
    <w:rsid w:val="007911AA"/>
    <w:rsid w:val="00791676"/>
    <w:rsid w:val="00792CC8"/>
    <w:rsid w:val="00793A8E"/>
    <w:rsid w:val="00796C00"/>
    <w:rsid w:val="00796E96"/>
    <w:rsid w:val="00796F45"/>
    <w:rsid w:val="0079721F"/>
    <w:rsid w:val="007A12D5"/>
    <w:rsid w:val="007A1D0E"/>
    <w:rsid w:val="007A5703"/>
    <w:rsid w:val="007B12D9"/>
    <w:rsid w:val="007B4173"/>
    <w:rsid w:val="007B4370"/>
    <w:rsid w:val="007B4C9B"/>
    <w:rsid w:val="007B6C52"/>
    <w:rsid w:val="007C040A"/>
    <w:rsid w:val="007C1572"/>
    <w:rsid w:val="007C1B58"/>
    <w:rsid w:val="007C30D6"/>
    <w:rsid w:val="007C352E"/>
    <w:rsid w:val="007C597E"/>
    <w:rsid w:val="007C5EF9"/>
    <w:rsid w:val="007C600A"/>
    <w:rsid w:val="007C60B9"/>
    <w:rsid w:val="007D1AE2"/>
    <w:rsid w:val="007D36B7"/>
    <w:rsid w:val="007D6340"/>
    <w:rsid w:val="007E4138"/>
    <w:rsid w:val="007E53B8"/>
    <w:rsid w:val="007E67D2"/>
    <w:rsid w:val="007E6C52"/>
    <w:rsid w:val="007E6D61"/>
    <w:rsid w:val="007F20B4"/>
    <w:rsid w:val="007F32C5"/>
    <w:rsid w:val="007F5954"/>
    <w:rsid w:val="007F5DBC"/>
    <w:rsid w:val="008004F1"/>
    <w:rsid w:val="00801629"/>
    <w:rsid w:val="00802951"/>
    <w:rsid w:val="0080528C"/>
    <w:rsid w:val="00807108"/>
    <w:rsid w:val="00811505"/>
    <w:rsid w:val="00811876"/>
    <w:rsid w:val="0081544B"/>
    <w:rsid w:val="00817487"/>
    <w:rsid w:val="008216FB"/>
    <w:rsid w:val="00822065"/>
    <w:rsid w:val="00823067"/>
    <w:rsid w:val="00826350"/>
    <w:rsid w:val="00826577"/>
    <w:rsid w:val="00826A2C"/>
    <w:rsid w:val="008301F2"/>
    <w:rsid w:val="00833D93"/>
    <w:rsid w:val="00835EE0"/>
    <w:rsid w:val="00836372"/>
    <w:rsid w:val="00843F40"/>
    <w:rsid w:val="008454EB"/>
    <w:rsid w:val="00847F1A"/>
    <w:rsid w:val="00853A57"/>
    <w:rsid w:val="00855D19"/>
    <w:rsid w:val="00856061"/>
    <w:rsid w:val="008572AA"/>
    <w:rsid w:val="00860382"/>
    <w:rsid w:val="0086174B"/>
    <w:rsid w:val="00862436"/>
    <w:rsid w:val="008625E8"/>
    <w:rsid w:val="00864885"/>
    <w:rsid w:val="0087053C"/>
    <w:rsid w:val="00872635"/>
    <w:rsid w:val="00872762"/>
    <w:rsid w:val="008744B1"/>
    <w:rsid w:val="00874CA2"/>
    <w:rsid w:val="0087684A"/>
    <w:rsid w:val="00880D4A"/>
    <w:rsid w:val="0088149A"/>
    <w:rsid w:val="00885158"/>
    <w:rsid w:val="00891E3D"/>
    <w:rsid w:val="00897829"/>
    <w:rsid w:val="008A1452"/>
    <w:rsid w:val="008A2D3C"/>
    <w:rsid w:val="008A36B9"/>
    <w:rsid w:val="008A777C"/>
    <w:rsid w:val="008B1EAC"/>
    <w:rsid w:val="008B351C"/>
    <w:rsid w:val="008B5090"/>
    <w:rsid w:val="008C0669"/>
    <w:rsid w:val="008C09E0"/>
    <w:rsid w:val="008C1644"/>
    <w:rsid w:val="008C70C6"/>
    <w:rsid w:val="008C7524"/>
    <w:rsid w:val="008C7569"/>
    <w:rsid w:val="008D2816"/>
    <w:rsid w:val="008D36D2"/>
    <w:rsid w:val="008D3A3A"/>
    <w:rsid w:val="008D3DF0"/>
    <w:rsid w:val="008D50ED"/>
    <w:rsid w:val="008D5572"/>
    <w:rsid w:val="008D5953"/>
    <w:rsid w:val="008D6739"/>
    <w:rsid w:val="008D78D4"/>
    <w:rsid w:val="008E05C6"/>
    <w:rsid w:val="008E2296"/>
    <w:rsid w:val="008E2493"/>
    <w:rsid w:val="008E29EF"/>
    <w:rsid w:val="008E357C"/>
    <w:rsid w:val="008E3757"/>
    <w:rsid w:val="008E48E1"/>
    <w:rsid w:val="008E5FBF"/>
    <w:rsid w:val="008F3E5F"/>
    <w:rsid w:val="00900EDB"/>
    <w:rsid w:val="00900F26"/>
    <w:rsid w:val="0090358E"/>
    <w:rsid w:val="009039D1"/>
    <w:rsid w:val="00905552"/>
    <w:rsid w:val="0090688F"/>
    <w:rsid w:val="00907009"/>
    <w:rsid w:val="00917854"/>
    <w:rsid w:val="00922A12"/>
    <w:rsid w:val="00922AD1"/>
    <w:rsid w:val="009351D8"/>
    <w:rsid w:val="0094128E"/>
    <w:rsid w:val="00943EC5"/>
    <w:rsid w:val="00943FDD"/>
    <w:rsid w:val="0094503A"/>
    <w:rsid w:val="0095044D"/>
    <w:rsid w:val="00953064"/>
    <w:rsid w:val="0095508E"/>
    <w:rsid w:val="0096276A"/>
    <w:rsid w:val="00965EE4"/>
    <w:rsid w:val="00967DBD"/>
    <w:rsid w:val="00970A87"/>
    <w:rsid w:val="00970C89"/>
    <w:rsid w:val="009710A6"/>
    <w:rsid w:val="00971492"/>
    <w:rsid w:val="0097242F"/>
    <w:rsid w:val="0097353D"/>
    <w:rsid w:val="009804DF"/>
    <w:rsid w:val="00982DC7"/>
    <w:rsid w:val="00985445"/>
    <w:rsid w:val="00987163"/>
    <w:rsid w:val="00990E1C"/>
    <w:rsid w:val="00994A21"/>
    <w:rsid w:val="009A0001"/>
    <w:rsid w:val="009A0285"/>
    <w:rsid w:val="009A0BFC"/>
    <w:rsid w:val="009A196A"/>
    <w:rsid w:val="009A2CF5"/>
    <w:rsid w:val="009B0321"/>
    <w:rsid w:val="009B2126"/>
    <w:rsid w:val="009B47EA"/>
    <w:rsid w:val="009B597D"/>
    <w:rsid w:val="009B7582"/>
    <w:rsid w:val="009B76B9"/>
    <w:rsid w:val="009C27F0"/>
    <w:rsid w:val="009D04F0"/>
    <w:rsid w:val="009D24D4"/>
    <w:rsid w:val="009D2FFA"/>
    <w:rsid w:val="009E11C2"/>
    <w:rsid w:val="009E18B1"/>
    <w:rsid w:val="009E41D2"/>
    <w:rsid w:val="009E7B1C"/>
    <w:rsid w:val="009F09FD"/>
    <w:rsid w:val="009F1650"/>
    <w:rsid w:val="009F2F1D"/>
    <w:rsid w:val="009F4912"/>
    <w:rsid w:val="009F7412"/>
    <w:rsid w:val="00A00885"/>
    <w:rsid w:val="00A02CBE"/>
    <w:rsid w:val="00A02EEF"/>
    <w:rsid w:val="00A03469"/>
    <w:rsid w:val="00A043DA"/>
    <w:rsid w:val="00A06B56"/>
    <w:rsid w:val="00A115EF"/>
    <w:rsid w:val="00A124B9"/>
    <w:rsid w:val="00A20737"/>
    <w:rsid w:val="00A22DA0"/>
    <w:rsid w:val="00A24407"/>
    <w:rsid w:val="00A268E2"/>
    <w:rsid w:val="00A3569F"/>
    <w:rsid w:val="00A37438"/>
    <w:rsid w:val="00A41585"/>
    <w:rsid w:val="00A421D7"/>
    <w:rsid w:val="00A45D95"/>
    <w:rsid w:val="00A5391D"/>
    <w:rsid w:val="00A53E67"/>
    <w:rsid w:val="00A5503D"/>
    <w:rsid w:val="00A56EC7"/>
    <w:rsid w:val="00A60374"/>
    <w:rsid w:val="00A62EC5"/>
    <w:rsid w:val="00A646D7"/>
    <w:rsid w:val="00A64CFC"/>
    <w:rsid w:val="00A66950"/>
    <w:rsid w:val="00A679C6"/>
    <w:rsid w:val="00A71D52"/>
    <w:rsid w:val="00A75B7E"/>
    <w:rsid w:val="00A761A7"/>
    <w:rsid w:val="00A80800"/>
    <w:rsid w:val="00A812B3"/>
    <w:rsid w:val="00A82CFF"/>
    <w:rsid w:val="00A834A1"/>
    <w:rsid w:val="00A84030"/>
    <w:rsid w:val="00A8558F"/>
    <w:rsid w:val="00A876BC"/>
    <w:rsid w:val="00A87C40"/>
    <w:rsid w:val="00A9099F"/>
    <w:rsid w:val="00A93C40"/>
    <w:rsid w:val="00A97E1E"/>
    <w:rsid w:val="00AA1E46"/>
    <w:rsid w:val="00AA6985"/>
    <w:rsid w:val="00AB16C5"/>
    <w:rsid w:val="00AB291A"/>
    <w:rsid w:val="00AB2985"/>
    <w:rsid w:val="00AB3248"/>
    <w:rsid w:val="00AB4681"/>
    <w:rsid w:val="00AB731C"/>
    <w:rsid w:val="00AC103C"/>
    <w:rsid w:val="00AC1F84"/>
    <w:rsid w:val="00AC33EA"/>
    <w:rsid w:val="00AC6F47"/>
    <w:rsid w:val="00AC770D"/>
    <w:rsid w:val="00AC7958"/>
    <w:rsid w:val="00AC7C68"/>
    <w:rsid w:val="00AD0BE6"/>
    <w:rsid w:val="00AD2642"/>
    <w:rsid w:val="00AD2BD3"/>
    <w:rsid w:val="00AD3ADF"/>
    <w:rsid w:val="00AD42A9"/>
    <w:rsid w:val="00AD6621"/>
    <w:rsid w:val="00AE12E0"/>
    <w:rsid w:val="00AE2EAE"/>
    <w:rsid w:val="00AE3992"/>
    <w:rsid w:val="00AE45DB"/>
    <w:rsid w:val="00AE554A"/>
    <w:rsid w:val="00AE6B55"/>
    <w:rsid w:val="00AE7767"/>
    <w:rsid w:val="00AF52F2"/>
    <w:rsid w:val="00AF7217"/>
    <w:rsid w:val="00B01A0C"/>
    <w:rsid w:val="00B051B5"/>
    <w:rsid w:val="00B10AEE"/>
    <w:rsid w:val="00B11316"/>
    <w:rsid w:val="00B1252A"/>
    <w:rsid w:val="00B22208"/>
    <w:rsid w:val="00B23DE2"/>
    <w:rsid w:val="00B24442"/>
    <w:rsid w:val="00B274F6"/>
    <w:rsid w:val="00B31974"/>
    <w:rsid w:val="00B36537"/>
    <w:rsid w:val="00B378BC"/>
    <w:rsid w:val="00B37AD0"/>
    <w:rsid w:val="00B37F58"/>
    <w:rsid w:val="00B40749"/>
    <w:rsid w:val="00B41093"/>
    <w:rsid w:val="00B411C3"/>
    <w:rsid w:val="00B42FAF"/>
    <w:rsid w:val="00B44DD5"/>
    <w:rsid w:val="00B45C0F"/>
    <w:rsid w:val="00B46231"/>
    <w:rsid w:val="00B4782B"/>
    <w:rsid w:val="00B50B89"/>
    <w:rsid w:val="00B539E8"/>
    <w:rsid w:val="00B54458"/>
    <w:rsid w:val="00B55DF9"/>
    <w:rsid w:val="00B57496"/>
    <w:rsid w:val="00B57FB8"/>
    <w:rsid w:val="00B664DC"/>
    <w:rsid w:val="00B72132"/>
    <w:rsid w:val="00B738AB"/>
    <w:rsid w:val="00B73C8F"/>
    <w:rsid w:val="00B75969"/>
    <w:rsid w:val="00B77C41"/>
    <w:rsid w:val="00B81669"/>
    <w:rsid w:val="00B81C51"/>
    <w:rsid w:val="00B829C6"/>
    <w:rsid w:val="00B85950"/>
    <w:rsid w:val="00B859B0"/>
    <w:rsid w:val="00B907B5"/>
    <w:rsid w:val="00B93D2E"/>
    <w:rsid w:val="00B960A0"/>
    <w:rsid w:val="00B96947"/>
    <w:rsid w:val="00B976B8"/>
    <w:rsid w:val="00B97A7F"/>
    <w:rsid w:val="00BA091B"/>
    <w:rsid w:val="00BA1E13"/>
    <w:rsid w:val="00BA24D8"/>
    <w:rsid w:val="00BA430B"/>
    <w:rsid w:val="00BA66DF"/>
    <w:rsid w:val="00BA6DA0"/>
    <w:rsid w:val="00BB3C6D"/>
    <w:rsid w:val="00BB4335"/>
    <w:rsid w:val="00BB6FD2"/>
    <w:rsid w:val="00BC1556"/>
    <w:rsid w:val="00BC294E"/>
    <w:rsid w:val="00BC5259"/>
    <w:rsid w:val="00BC5961"/>
    <w:rsid w:val="00BC5F53"/>
    <w:rsid w:val="00BC7161"/>
    <w:rsid w:val="00BC7805"/>
    <w:rsid w:val="00BC78C6"/>
    <w:rsid w:val="00BC7D6D"/>
    <w:rsid w:val="00BD1745"/>
    <w:rsid w:val="00BD20BB"/>
    <w:rsid w:val="00BD3266"/>
    <w:rsid w:val="00BD3BBE"/>
    <w:rsid w:val="00BD4ACC"/>
    <w:rsid w:val="00BD5E8D"/>
    <w:rsid w:val="00BD670C"/>
    <w:rsid w:val="00BE0046"/>
    <w:rsid w:val="00BE61CF"/>
    <w:rsid w:val="00BE63C0"/>
    <w:rsid w:val="00BE6421"/>
    <w:rsid w:val="00BE6447"/>
    <w:rsid w:val="00BE6D7B"/>
    <w:rsid w:val="00BE7166"/>
    <w:rsid w:val="00BF0533"/>
    <w:rsid w:val="00BF096C"/>
    <w:rsid w:val="00BF3962"/>
    <w:rsid w:val="00BF4FDA"/>
    <w:rsid w:val="00BF65D8"/>
    <w:rsid w:val="00BF73C3"/>
    <w:rsid w:val="00BF74D6"/>
    <w:rsid w:val="00C017C8"/>
    <w:rsid w:val="00C01D97"/>
    <w:rsid w:val="00C021AB"/>
    <w:rsid w:val="00C02E9F"/>
    <w:rsid w:val="00C03D72"/>
    <w:rsid w:val="00C03E6A"/>
    <w:rsid w:val="00C068C9"/>
    <w:rsid w:val="00C070A5"/>
    <w:rsid w:val="00C07F6B"/>
    <w:rsid w:val="00C113B9"/>
    <w:rsid w:val="00C15176"/>
    <w:rsid w:val="00C15705"/>
    <w:rsid w:val="00C21B84"/>
    <w:rsid w:val="00C22392"/>
    <w:rsid w:val="00C243F9"/>
    <w:rsid w:val="00C2506B"/>
    <w:rsid w:val="00C31C0F"/>
    <w:rsid w:val="00C3536B"/>
    <w:rsid w:val="00C37063"/>
    <w:rsid w:val="00C3731C"/>
    <w:rsid w:val="00C40AAB"/>
    <w:rsid w:val="00C422B9"/>
    <w:rsid w:val="00C44D56"/>
    <w:rsid w:val="00C52947"/>
    <w:rsid w:val="00C53901"/>
    <w:rsid w:val="00C5674F"/>
    <w:rsid w:val="00C6213D"/>
    <w:rsid w:val="00C64A3C"/>
    <w:rsid w:val="00C67367"/>
    <w:rsid w:val="00C7283F"/>
    <w:rsid w:val="00C76602"/>
    <w:rsid w:val="00C76A6F"/>
    <w:rsid w:val="00C84421"/>
    <w:rsid w:val="00C846FE"/>
    <w:rsid w:val="00C85F4A"/>
    <w:rsid w:val="00C865EE"/>
    <w:rsid w:val="00C868C7"/>
    <w:rsid w:val="00C92413"/>
    <w:rsid w:val="00C94B36"/>
    <w:rsid w:val="00CA05D5"/>
    <w:rsid w:val="00CA0FAC"/>
    <w:rsid w:val="00CA2F09"/>
    <w:rsid w:val="00CA30CE"/>
    <w:rsid w:val="00CA3B0E"/>
    <w:rsid w:val="00CA3D50"/>
    <w:rsid w:val="00CA48C4"/>
    <w:rsid w:val="00CA4B05"/>
    <w:rsid w:val="00CA667A"/>
    <w:rsid w:val="00CA758D"/>
    <w:rsid w:val="00CB0CB0"/>
    <w:rsid w:val="00CB1697"/>
    <w:rsid w:val="00CB18E7"/>
    <w:rsid w:val="00CB255C"/>
    <w:rsid w:val="00CB3ED3"/>
    <w:rsid w:val="00CB3FEC"/>
    <w:rsid w:val="00CB5B76"/>
    <w:rsid w:val="00CC1C2D"/>
    <w:rsid w:val="00CC3312"/>
    <w:rsid w:val="00CC636A"/>
    <w:rsid w:val="00CC6A49"/>
    <w:rsid w:val="00CC7B1C"/>
    <w:rsid w:val="00CD20CA"/>
    <w:rsid w:val="00CD4316"/>
    <w:rsid w:val="00CE07F8"/>
    <w:rsid w:val="00CE086C"/>
    <w:rsid w:val="00CE13CD"/>
    <w:rsid w:val="00CE3365"/>
    <w:rsid w:val="00CE46DD"/>
    <w:rsid w:val="00CE4BB5"/>
    <w:rsid w:val="00CF24C3"/>
    <w:rsid w:val="00CF4C68"/>
    <w:rsid w:val="00CF7DA5"/>
    <w:rsid w:val="00D002FE"/>
    <w:rsid w:val="00D02030"/>
    <w:rsid w:val="00D031EC"/>
    <w:rsid w:val="00D05EE5"/>
    <w:rsid w:val="00D064C9"/>
    <w:rsid w:val="00D07531"/>
    <w:rsid w:val="00D07D73"/>
    <w:rsid w:val="00D14EB0"/>
    <w:rsid w:val="00D158E5"/>
    <w:rsid w:val="00D17858"/>
    <w:rsid w:val="00D2315A"/>
    <w:rsid w:val="00D23E41"/>
    <w:rsid w:val="00D30040"/>
    <w:rsid w:val="00D3270D"/>
    <w:rsid w:val="00D356F8"/>
    <w:rsid w:val="00D36FD0"/>
    <w:rsid w:val="00D37CD0"/>
    <w:rsid w:val="00D4124B"/>
    <w:rsid w:val="00D43C33"/>
    <w:rsid w:val="00D443F8"/>
    <w:rsid w:val="00D44F6E"/>
    <w:rsid w:val="00D50FF0"/>
    <w:rsid w:val="00D52DDD"/>
    <w:rsid w:val="00D54A35"/>
    <w:rsid w:val="00D61860"/>
    <w:rsid w:val="00D63EF8"/>
    <w:rsid w:val="00D65459"/>
    <w:rsid w:val="00D6640D"/>
    <w:rsid w:val="00D664D6"/>
    <w:rsid w:val="00D66537"/>
    <w:rsid w:val="00D672FC"/>
    <w:rsid w:val="00D6781D"/>
    <w:rsid w:val="00D67D55"/>
    <w:rsid w:val="00D71CC2"/>
    <w:rsid w:val="00D776E8"/>
    <w:rsid w:val="00D81216"/>
    <w:rsid w:val="00D8149B"/>
    <w:rsid w:val="00D81A63"/>
    <w:rsid w:val="00D83774"/>
    <w:rsid w:val="00D862AD"/>
    <w:rsid w:val="00D87599"/>
    <w:rsid w:val="00D87D43"/>
    <w:rsid w:val="00D90887"/>
    <w:rsid w:val="00D912C0"/>
    <w:rsid w:val="00D92BBC"/>
    <w:rsid w:val="00D93D0D"/>
    <w:rsid w:val="00DA0623"/>
    <w:rsid w:val="00DA24D0"/>
    <w:rsid w:val="00DA44A1"/>
    <w:rsid w:val="00DA589B"/>
    <w:rsid w:val="00DB1A8B"/>
    <w:rsid w:val="00DB4A54"/>
    <w:rsid w:val="00DB5BCE"/>
    <w:rsid w:val="00DC13CD"/>
    <w:rsid w:val="00DC6573"/>
    <w:rsid w:val="00DC7A9D"/>
    <w:rsid w:val="00DD1729"/>
    <w:rsid w:val="00DD3B24"/>
    <w:rsid w:val="00DD3DE7"/>
    <w:rsid w:val="00DD77F0"/>
    <w:rsid w:val="00DD7C30"/>
    <w:rsid w:val="00DE058D"/>
    <w:rsid w:val="00DE0B31"/>
    <w:rsid w:val="00DE112F"/>
    <w:rsid w:val="00DE123C"/>
    <w:rsid w:val="00DE3AB8"/>
    <w:rsid w:val="00DE511B"/>
    <w:rsid w:val="00DE59B9"/>
    <w:rsid w:val="00DF0AE5"/>
    <w:rsid w:val="00DF0E86"/>
    <w:rsid w:val="00DF4DBC"/>
    <w:rsid w:val="00DF5C2B"/>
    <w:rsid w:val="00E006E7"/>
    <w:rsid w:val="00E034FD"/>
    <w:rsid w:val="00E036FE"/>
    <w:rsid w:val="00E044E3"/>
    <w:rsid w:val="00E155B8"/>
    <w:rsid w:val="00E16626"/>
    <w:rsid w:val="00E17395"/>
    <w:rsid w:val="00E22F1C"/>
    <w:rsid w:val="00E23CC4"/>
    <w:rsid w:val="00E24AAE"/>
    <w:rsid w:val="00E27298"/>
    <w:rsid w:val="00E30C4A"/>
    <w:rsid w:val="00E314F9"/>
    <w:rsid w:val="00E31824"/>
    <w:rsid w:val="00E31A0B"/>
    <w:rsid w:val="00E327B2"/>
    <w:rsid w:val="00E379C5"/>
    <w:rsid w:val="00E40EBB"/>
    <w:rsid w:val="00E45C31"/>
    <w:rsid w:val="00E479A0"/>
    <w:rsid w:val="00E50C3A"/>
    <w:rsid w:val="00E510A5"/>
    <w:rsid w:val="00E5122E"/>
    <w:rsid w:val="00E51C47"/>
    <w:rsid w:val="00E5704B"/>
    <w:rsid w:val="00E6052E"/>
    <w:rsid w:val="00E60CDF"/>
    <w:rsid w:val="00E60D12"/>
    <w:rsid w:val="00E62F34"/>
    <w:rsid w:val="00E6499D"/>
    <w:rsid w:val="00E66174"/>
    <w:rsid w:val="00E732F9"/>
    <w:rsid w:val="00E73696"/>
    <w:rsid w:val="00E755ED"/>
    <w:rsid w:val="00E75E45"/>
    <w:rsid w:val="00E804FF"/>
    <w:rsid w:val="00E80C05"/>
    <w:rsid w:val="00E834CD"/>
    <w:rsid w:val="00E85295"/>
    <w:rsid w:val="00E87210"/>
    <w:rsid w:val="00E929D2"/>
    <w:rsid w:val="00E92AA8"/>
    <w:rsid w:val="00E9323B"/>
    <w:rsid w:val="00EA0D5B"/>
    <w:rsid w:val="00EA16A9"/>
    <w:rsid w:val="00EA46DE"/>
    <w:rsid w:val="00EA75A2"/>
    <w:rsid w:val="00EB1195"/>
    <w:rsid w:val="00EB3464"/>
    <w:rsid w:val="00EB4C88"/>
    <w:rsid w:val="00EB5400"/>
    <w:rsid w:val="00EB6372"/>
    <w:rsid w:val="00EC08DE"/>
    <w:rsid w:val="00EC304D"/>
    <w:rsid w:val="00EC37E3"/>
    <w:rsid w:val="00EC4347"/>
    <w:rsid w:val="00EC4742"/>
    <w:rsid w:val="00EC4C84"/>
    <w:rsid w:val="00EC4CF7"/>
    <w:rsid w:val="00EC5299"/>
    <w:rsid w:val="00EC7071"/>
    <w:rsid w:val="00ED0357"/>
    <w:rsid w:val="00ED2C5D"/>
    <w:rsid w:val="00ED3649"/>
    <w:rsid w:val="00ED3B80"/>
    <w:rsid w:val="00ED3B9D"/>
    <w:rsid w:val="00ED3D26"/>
    <w:rsid w:val="00ED7341"/>
    <w:rsid w:val="00EE0481"/>
    <w:rsid w:val="00EE1BA2"/>
    <w:rsid w:val="00EE3012"/>
    <w:rsid w:val="00EF034B"/>
    <w:rsid w:val="00F01FDC"/>
    <w:rsid w:val="00F026C5"/>
    <w:rsid w:val="00F06DC8"/>
    <w:rsid w:val="00F06F3B"/>
    <w:rsid w:val="00F13D85"/>
    <w:rsid w:val="00F17BA7"/>
    <w:rsid w:val="00F17F79"/>
    <w:rsid w:val="00F2235F"/>
    <w:rsid w:val="00F22E06"/>
    <w:rsid w:val="00F24717"/>
    <w:rsid w:val="00F25CC7"/>
    <w:rsid w:val="00F25D14"/>
    <w:rsid w:val="00F33365"/>
    <w:rsid w:val="00F33A57"/>
    <w:rsid w:val="00F40A20"/>
    <w:rsid w:val="00F4181A"/>
    <w:rsid w:val="00F42EB9"/>
    <w:rsid w:val="00F45AEE"/>
    <w:rsid w:val="00F46773"/>
    <w:rsid w:val="00F518EB"/>
    <w:rsid w:val="00F52325"/>
    <w:rsid w:val="00F523E6"/>
    <w:rsid w:val="00F5718C"/>
    <w:rsid w:val="00F609E1"/>
    <w:rsid w:val="00F61204"/>
    <w:rsid w:val="00F62F6D"/>
    <w:rsid w:val="00F64119"/>
    <w:rsid w:val="00F64AB1"/>
    <w:rsid w:val="00F721B3"/>
    <w:rsid w:val="00F7587F"/>
    <w:rsid w:val="00F76169"/>
    <w:rsid w:val="00F8486E"/>
    <w:rsid w:val="00F84F08"/>
    <w:rsid w:val="00F8709D"/>
    <w:rsid w:val="00F92721"/>
    <w:rsid w:val="00F94E17"/>
    <w:rsid w:val="00F9517B"/>
    <w:rsid w:val="00F96B08"/>
    <w:rsid w:val="00FA00FD"/>
    <w:rsid w:val="00FA1B4A"/>
    <w:rsid w:val="00FA30C8"/>
    <w:rsid w:val="00FA4212"/>
    <w:rsid w:val="00FA49B1"/>
    <w:rsid w:val="00FA78E6"/>
    <w:rsid w:val="00FB1C8E"/>
    <w:rsid w:val="00FB3D21"/>
    <w:rsid w:val="00FB4899"/>
    <w:rsid w:val="00FB4EB0"/>
    <w:rsid w:val="00FC0733"/>
    <w:rsid w:val="00FC0A01"/>
    <w:rsid w:val="00FC2653"/>
    <w:rsid w:val="00FC5F8D"/>
    <w:rsid w:val="00FC5FC9"/>
    <w:rsid w:val="00FC67A5"/>
    <w:rsid w:val="00FD23FF"/>
    <w:rsid w:val="00FD4A23"/>
    <w:rsid w:val="00FD4E9C"/>
    <w:rsid w:val="00FD7B96"/>
    <w:rsid w:val="00FE211E"/>
    <w:rsid w:val="00FE2535"/>
    <w:rsid w:val="00FE41A3"/>
    <w:rsid w:val="00FE59C4"/>
    <w:rsid w:val="00FE6511"/>
    <w:rsid w:val="00FF2748"/>
    <w:rsid w:val="00FF2A44"/>
    <w:rsid w:val="00FF5313"/>
    <w:rsid w:val="00FF5782"/>
    <w:rsid w:val="00FF6C4B"/>
    <w:rsid w:val="00FF720E"/>
    <w:rsid w:val="09A627CA"/>
    <w:rsid w:val="26116B1B"/>
    <w:rsid w:val="2BB3517F"/>
    <w:rsid w:val="3077D08D"/>
    <w:rsid w:val="4D30AF06"/>
    <w:rsid w:val="53C0BFA1"/>
    <w:rsid w:val="5FEA70BD"/>
    <w:rsid w:val="78EA8504"/>
    <w:rsid w:val="795723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9DB8A835-6FAF-4580-8170-2596E987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351C"/>
    <w:pPr>
      <w:keepNext/>
      <w:jc w:val="center"/>
      <w:outlineLvl w:val="0"/>
    </w:pPr>
    <w:rPr>
      <w:rFonts w:ascii="Arial" w:eastAsiaTheme="minorHAnsi" w:hAnsi="Arial" w:cstheme="minorBidi"/>
      <w:b/>
      <w:bCs/>
      <w:color w:val="005EB8" w:themeColor="text2"/>
      <w:kern w:val="28"/>
      <w:sz w:val="44"/>
      <w:szCs w:val="44"/>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351C"/>
    <w:rPr>
      <w:rFonts w:ascii="Arial" w:eastAsiaTheme="minorHAnsi" w:hAnsi="Arial" w:cstheme="minorBidi"/>
      <w:b/>
      <w:bCs/>
      <w:color w:val="005EB8" w:themeColor="text2"/>
      <w:kern w:val="28"/>
      <w:sz w:val="44"/>
      <w:szCs w:val="44"/>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EA16A9"/>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paragraph" w:customStyle="1" w:styleId="Frontpagedate">
    <w:name w:val="Front page date"/>
    <w:basedOn w:val="Normal"/>
    <w:rsid w:val="00AE7767"/>
    <w:pPr>
      <w:spacing w:after="240" w:line="240" w:lineRule="auto"/>
      <w:textboxTightWrap w:val="none"/>
    </w:pPr>
    <w:rPr>
      <w:rFonts w:cs="Arial"/>
      <w:color w:val="auto"/>
      <w:sz w:val="32"/>
      <w:szCs w:val="32"/>
      <w:lang w:val="en-US" w:eastAsia="en-GB"/>
    </w:rPr>
  </w:style>
  <w:style w:type="paragraph" w:styleId="NormalWeb">
    <w:name w:val="Normal (Web)"/>
    <w:basedOn w:val="Normal"/>
    <w:uiPriority w:val="99"/>
    <w:unhideWhenUsed/>
    <w:rsid w:val="00612CA0"/>
    <w:pPr>
      <w:spacing w:before="100" w:beforeAutospacing="1" w:after="100" w:afterAutospacing="1" w:line="240" w:lineRule="auto"/>
      <w:textboxTightWrap w:val="none"/>
    </w:pPr>
    <w:rPr>
      <w:rFonts w:ascii="Times New Roman" w:hAnsi="Times New Roman"/>
      <w:color w:val="auto"/>
      <w:lang w:eastAsia="en-GB"/>
    </w:rPr>
  </w:style>
  <w:style w:type="paragraph" w:customStyle="1" w:styleId="Question">
    <w:name w:val="Question"/>
    <w:basedOn w:val="Normal"/>
    <w:qFormat/>
    <w:rsid w:val="00612CA0"/>
    <w:pPr>
      <w:keepNext/>
      <w:numPr>
        <w:numId w:val="14"/>
      </w:numPr>
      <w:spacing w:after="120" w:line="240" w:lineRule="auto"/>
      <w:textboxTightWrap w:val="none"/>
    </w:pPr>
    <w:rPr>
      <w:b/>
      <w:color w:val="auto"/>
      <w:lang w:val="en-US"/>
    </w:rPr>
  </w:style>
  <w:style w:type="paragraph" w:customStyle="1" w:styleId="bulletindentosteo">
    <w:name w:val="bullet indent osteo"/>
    <w:basedOn w:val="Normal"/>
    <w:autoRedefine/>
    <w:rsid w:val="00EB5400"/>
    <w:pPr>
      <w:numPr>
        <w:numId w:val="17"/>
      </w:numPr>
      <w:spacing w:after="0" w:line="360" w:lineRule="auto"/>
      <w:textboxTightWrap w:val="none"/>
    </w:pPr>
    <w:rPr>
      <w:rFonts w:eastAsia="Calibri"/>
      <w:sz w:val="20"/>
      <w:szCs w:val="22"/>
    </w:rPr>
  </w:style>
  <w:style w:type="paragraph" w:customStyle="1" w:styleId="TableParagraph">
    <w:name w:val="Table Paragraph"/>
    <w:basedOn w:val="Normal"/>
    <w:uiPriority w:val="1"/>
    <w:qFormat/>
    <w:rsid w:val="0078374B"/>
    <w:pPr>
      <w:widowControl w:val="0"/>
      <w:spacing w:after="0" w:line="240" w:lineRule="auto"/>
      <w:textboxTightWrap w:val="none"/>
    </w:pPr>
    <w:rPr>
      <w:rFonts w:ascii="Calibri" w:eastAsia="Calibri" w:hAnsi="Calibri"/>
      <w:color w:val="auto"/>
      <w:sz w:val="22"/>
      <w:szCs w:val="22"/>
      <w:lang w:val="en-US"/>
    </w:rPr>
  </w:style>
  <w:style w:type="paragraph" w:customStyle="1" w:styleId="Bulletosteotable">
    <w:name w:val="Bullet osteo table"/>
    <w:basedOn w:val="Normal"/>
    <w:autoRedefine/>
    <w:rsid w:val="006628AA"/>
    <w:pPr>
      <w:numPr>
        <w:numId w:val="26"/>
      </w:numPr>
      <w:tabs>
        <w:tab w:val="left" w:pos="900"/>
      </w:tabs>
      <w:spacing w:after="0" w:line="360" w:lineRule="auto"/>
      <w:textboxTightWrap w:val="none"/>
    </w:pPr>
    <w:rPr>
      <w:rFonts w:cs="Arial"/>
      <w:bCs/>
      <w:color w:val="auto"/>
      <w:sz w:val="20"/>
      <w:szCs w:val="20"/>
      <w:lang w:eastAsia="en-GB"/>
    </w:rPr>
  </w:style>
  <w:style w:type="paragraph" w:customStyle="1" w:styleId="NICEnormal">
    <w:name w:val="NICE normal"/>
    <w:rsid w:val="00FE6511"/>
    <w:pPr>
      <w:spacing w:after="240" w:line="360" w:lineRule="auto"/>
    </w:pPr>
    <w:rPr>
      <w:rFonts w:ascii="Arial" w:hAnsi="Arial"/>
      <w:sz w:val="24"/>
      <w:szCs w:val="24"/>
      <w:lang w:val="en-US"/>
    </w:rPr>
  </w:style>
  <w:style w:type="paragraph" w:styleId="Revision">
    <w:name w:val="Revision"/>
    <w:hidden/>
    <w:uiPriority w:val="99"/>
    <w:semiHidden/>
    <w:rsid w:val="00DA24D0"/>
    <w:rPr>
      <w:rFonts w:ascii="Arial" w:hAnsi="Arial"/>
      <w:color w:val="000000"/>
      <w:sz w:val="24"/>
      <w:szCs w:val="24"/>
    </w:rPr>
  </w:style>
  <w:style w:type="character" w:customStyle="1" w:styleId="normaltextrun">
    <w:name w:val="normaltextrun"/>
    <w:basedOn w:val="DefaultParagraphFont"/>
    <w:rsid w:val="00F518EB"/>
  </w:style>
  <w:style w:type="character" w:customStyle="1" w:styleId="cf01">
    <w:name w:val="cf01"/>
    <w:basedOn w:val="DefaultParagraphFont"/>
    <w:rsid w:val="0026499C"/>
    <w:rPr>
      <w:rFonts w:ascii="Segoe UI" w:hAnsi="Segoe UI" w:cs="Segoe UI" w:hint="default"/>
      <w:color w:val="106B62"/>
      <w:sz w:val="18"/>
      <w:szCs w:val="18"/>
    </w:rPr>
  </w:style>
  <w:style w:type="character" w:customStyle="1" w:styleId="eop">
    <w:name w:val="eop"/>
    <w:basedOn w:val="DefaultParagraphFont"/>
    <w:rsid w:val="0047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8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s://www.nice.org.uk/guidance/mpg2/resources" TargetMode="External"/><Relationship Id="rId26" Type="http://schemas.openxmlformats.org/officeDocument/2006/relationships/hyperlink" Target="https://bnf.nice.org.uk/medicines-guidance/prescribing-in-renal-impairment/" TargetMode="External"/><Relationship Id="rId39" Type="http://schemas.openxmlformats.org/officeDocument/2006/relationships/hyperlink" Target="https://www.nice.org.uk/Guidance/MPG2" TargetMode="External"/><Relationship Id="rId21" Type="http://schemas.openxmlformats.org/officeDocument/2006/relationships/hyperlink" Target="https://www.nhs.uk/conditions/stevens-johnson-syndrome/" TargetMode="External"/><Relationship Id="rId34" Type="http://schemas.openxmlformats.org/officeDocument/2006/relationships/hyperlink" Target="http://yellowcard.mhra.gov.uk" TargetMode="External"/><Relationship Id="rId42" Type="http://schemas.openxmlformats.org/officeDocument/2006/relationships/hyperlink" Target="https://www.sps.nhs.uk/articles/managing-specific-interactions-with-smoking/" TargetMode="External"/><Relationship Id="rId47" Type="http://schemas.openxmlformats.org/officeDocument/2006/relationships/hyperlink" Target="https://www.ncsct.co.uk/publications/STP-inpatient-mental-health" TargetMode="External"/><Relationship Id="rId50" Type="http://schemas.openxmlformats.org/officeDocument/2006/relationships/footer" Target="footer1.xml"/><Relationship Id="rId55" Type="http://schemas.openxmlformats.org/officeDocument/2006/relationships/hyperlink" Target="https://products.mhra.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www.medicines.org.uk" TargetMode="External"/><Relationship Id="rId11" Type="http://schemas.openxmlformats.org/officeDocument/2006/relationships/image" Target="media/image1.emf"/><Relationship Id="rId24" Type="http://schemas.openxmlformats.org/officeDocument/2006/relationships/hyperlink" Target="https://www.nhs.uk/conditions/heart-attack/symptoms/" TargetMode="External"/><Relationship Id="rId32" Type="http://schemas.openxmlformats.org/officeDocument/2006/relationships/hyperlink" Target="http://www.medicines.org.uk" TargetMode="External"/><Relationship Id="rId37" Type="http://schemas.openxmlformats.org/officeDocument/2006/relationships/hyperlink" Target="http://www.medicines.org.uk/" TargetMode="External"/><Relationship Id="rId40" Type="http://schemas.openxmlformats.org/officeDocument/2006/relationships/hyperlink" Target="https://www.nice.org.uk/guidance/ta123" TargetMode="External"/><Relationship Id="rId45" Type="http://schemas.openxmlformats.org/officeDocument/2006/relationships/hyperlink" Target="https://www.ncbi.nlm.nih.gov/pmc/articles/PMC6055735/" TargetMode="External"/><Relationship Id="rId53" Type="http://schemas.openxmlformats.org/officeDocument/2006/relationships/hyperlink" Target="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england.nhs.uk/wp-content/uploads/2022/03/PRN00178-community-pharmacy-advanced-service-specification-nhs-scs-v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nhs.uk/conditions/erythema-multiforme/" TargetMode="External"/><Relationship Id="rId27" Type="http://schemas.openxmlformats.org/officeDocument/2006/relationships/hyperlink" Target="https://www.sps.nhs.uk/articles/repeat-supply-or-administration-of-medicines-under-pgd/" TargetMode="External"/><Relationship Id="rId30" Type="http://schemas.openxmlformats.org/officeDocument/2006/relationships/hyperlink" Target="https://gbr01.safelinks.protection.outlook.com/?url=https%3A%2F%2Fwww.sps.nhs.uk%2Farticles%2Fconsidering-drug-interactions-with-smoking%2F&amp;data=05%7C01%7Cjo.jenkins2%40nhs.net%7C96ec18da22f4468d870708dbdb822163%7C37c354b285b047f5b22207b48d774ee3%7C0%7C0%7C638345124166826486%7CUnknown%7CTWFpbGZsb3d8eyJWIjoiMC4wLjAwMDAiLCJQIjoiV2luMzIiLCJBTiI6Ik1haWwiLCJXVCI6Mn0%3D%7C3000%7C%7C%7C&amp;sdata=lEIDRvtmrTGpAWe3Ku0Au%2BAj3PacUScv5nLY54kB%2BFk%3D&amp;reserved=0" TargetMode="External"/><Relationship Id="rId35" Type="http://schemas.openxmlformats.org/officeDocument/2006/relationships/hyperlink" Target="https://www.gov.uk/government/publications/clinical-governance-approved-particulars.which" TargetMode="External"/><Relationship Id="rId43" Type="http://schemas.openxmlformats.org/officeDocument/2006/relationships/hyperlink" Target="https://www.gov.uk/drug-safety-update/smoking-and-smoking-cessation-clinically-significant-interactions-with-commonly-used-medicines" TargetMode="External"/><Relationship Id="rId48" Type="http://schemas.openxmlformats.org/officeDocument/2006/relationships/hyperlink" Target="https://thorax.bmj.com/content/thoraxjnl/79/Suppl_1/3.full.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nhs.uk/conditions/low-blood-sugar-hypoglycaemia/"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edicines.org.uk/emc" TargetMode="External"/><Relationship Id="rId25" Type="http://schemas.openxmlformats.org/officeDocument/2006/relationships/hyperlink" Target="https://www.nhs.uk/conditions/stroke/symptoms/" TargetMode="External"/><Relationship Id="rId33" Type="http://schemas.openxmlformats.org/officeDocument/2006/relationships/hyperlink" Target="http://www.bnf.org" TargetMode="External"/><Relationship Id="rId38" Type="http://schemas.openxmlformats.org/officeDocument/2006/relationships/hyperlink" Target="https://bnf.nice.org.uk/" TargetMode="External"/><Relationship Id="rId46" Type="http://schemas.openxmlformats.org/officeDocument/2006/relationships/hyperlink" Target="https://www.ncsct.co.uk/library/view/pdf/NCSCT-Generic-varenicline.pdf" TargetMode="External"/><Relationship Id="rId20" Type="http://schemas.openxmlformats.org/officeDocument/2006/relationships/hyperlink" Target="https://www.medicines.org.uk/emc/" TargetMode="External"/><Relationship Id="rId41" Type="http://schemas.openxmlformats.org/officeDocument/2006/relationships/hyperlink" Target="https://www.sps.nhs.uk/articles/considering-drug-interactions-with-smoking/" TargetMode="External"/><Relationship Id="rId54" Type="http://schemas.openxmlformats.org/officeDocument/2006/relationships/hyperlink" Target="https://www.medicines.org.uk/em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learning.ncsct.co.uk/" TargetMode="External"/><Relationship Id="rId23" Type="http://schemas.openxmlformats.org/officeDocument/2006/relationships/hyperlink" Target="https://www.nice.org.uk/guidance/ng209/resources/tobacco-preventing-uptake-promoting-quitting-and-treating-dependence-pdf-66143723132869" TargetMode="External"/><Relationship Id="rId28" Type="http://schemas.openxmlformats.org/officeDocument/2006/relationships/hyperlink" Target="http://www.medicines.org.uk" TargetMode="External"/><Relationship Id="rId36" Type="http://schemas.openxmlformats.org/officeDocument/2006/relationships/hyperlink" Target="https://transform.england.nhs.uk/information-governance/guidance/records-management-code/" TargetMode="External"/><Relationship Id="rId49" Type="http://schemas.openxmlformats.org/officeDocument/2006/relationships/header" Target="header1.xm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 TargetMode="External"/><Relationship Id="rId44" Type="http://schemas.openxmlformats.org/officeDocument/2006/relationships/hyperlink" Target="https://cks.nice.org.uk/topics/smoking-cessation/prescribing-information/drugs-affected-by-smoking-cessation/" TargetMode="External"/><Relationship Id="rId52" Type="http://schemas.openxmlformats.org/officeDocument/2006/relationships/hyperlink" Target="https://www.nhs.uk/conditions/low-blood-sugar-hypoglycaem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76A8144B864A4B9E2C49E23E5C9DE3"/>
        <w:category>
          <w:name w:val="General"/>
          <w:gallery w:val="placeholder"/>
        </w:category>
        <w:types>
          <w:type w:val="bbPlcHdr"/>
        </w:types>
        <w:behaviors>
          <w:behavior w:val="content"/>
        </w:behaviors>
        <w:guid w:val="{34F7EA6D-49B1-4ED2-8559-8BAD9AA3D717}"/>
      </w:docPartPr>
      <w:docPartBody>
        <w:p w:rsidR="003E23F9" w:rsidRDefault="003E23F9">
          <w:pPr>
            <w:pStyle w:val="A376A8144B864A4B9E2C49E23E5C9DE3"/>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0052CA"/>
    <w:rsid w:val="000A57D4"/>
    <w:rsid w:val="000F7EE5"/>
    <w:rsid w:val="00162D50"/>
    <w:rsid w:val="001A13C3"/>
    <w:rsid w:val="001C6201"/>
    <w:rsid w:val="001E3ED7"/>
    <w:rsid w:val="003215E1"/>
    <w:rsid w:val="00355DAF"/>
    <w:rsid w:val="003E23F9"/>
    <w:rsid w:val="003F000C"/>
    <w:rsid w:val="003F64F2"/>
    <w:rsid w:val="00480862"/>
    <w:rsid w:val="004863C5"/>
    <w:rsid w:val="004C1049"/>
    <w:rsid w:val="004C4D6D"/>
    <w:rsid w:val="004E31A2"/>
    <w:rsid w:val="00577EBF"/>
    <w:rsid w:val="00582B48"/>
    <w:rsid w:val="005B3B21"/>
    <w:rsid w:val="005B7FDE"/>
    <w:rsid w:val="0064149B"/>
    <w:rsid w:val="00665AF9"/>
    <w:rsid w:val="006A63B3"/>
    <w:rsid w:val="006F0F41"/>
    <w:rsid w:val="00793A8E"/>
    <w:rsid w:val="00795BDC"/>
    <w:rsid w:val="0085564F"/>
    <w:rsid w:val="00860382"/>
    <w:rsid w:val="00874CA2"/>
    <w:rsid w:val="008C0669"/>
    <w:rsid w:val="008D02A6"/>
    <w:rsid w:val="008D4652"/>
    <w:rsid w:val="00916BED"/>
    <w:rsid w:val="009C656B"/>
    <w:rsid w:val="009E18B1"/>
    <w:rsid w:val="009E41D2"/>
    <w:rsid w:val="009E7B1C"/>
    <w:rsid w:val="00A127FF"/>
    <w:rsid w:val="00A47038"/>
    <w:rsid w:val="00AC7C68"/>
    <w:rsid w:val="00AD0BE6"/>
    <w:rsid w:val="00B40749"/>
    <w:rsid w:val="00B60AE6"/>
    <w:rsid w:val="00B65792"/>
    <w:rsid w:val="00B7401C"/>
    <w:rsid w:val="00B81C51"/>
    <w:rsid w:val="00BF3962"/>
    <w:rsid w:val="00BF74D6"/>
    <w:rsid w:val="00C5674F"/>
    <w:rsid w:val="00C76A6F"/>
    <w:rsid w:val="00CC2916"/>
    <w:rsid w:val="00D44620"/>
    <w:rsid w:val="00D66306"/>
    <w:rsid w:val="00D8149B"/>
    <w:rsid w:val="00DD6F7C"/>
    <w:rsid w:val="00E036FE"/>
    <w:rsid w:val="00E20400"/>
    <w:rsid w:val="00E24A0B"/>
    <w:rsid w:val="00E327B2"/>
    <w:rsid w:val="00E6052E"/>
    <w:rsid w:val="00E7374E"/>
    <w:rsid w:val="00F32334"/>
    <w:rsid w:val="00F76169"/>
    <w:rsid w:val="00FD24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6A8144B864A4B9E2C49E23E5C9DE3">
    <w:name w:val="A376A8144B864A4B9E2C49E23E5C9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4" ma:contentTypeDescription="Create a new document." ma:contentTypeScope="" ma:versionID="d87e917762522851113489816a54465b">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41f8f65c57db1aa6a9df2c491df4709f"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17a25-48d9-43aa-b36d-99e8c5fa0c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CC9B-617F-4C1B-A29D-880D58A40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c0217a25-48d9-43aa-b36d-99e8c5fa0c3c"/>
    <ds:schemaRef ds:uri="http://schemas.microsoft.com/sharepoint/v3"/>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0</TotalTime>
  <Pages>31</Pages>
  <Words>6923</Words>
  <Characters>39464</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PATIENT GROUP DIRECTION (PGD)</vt:lpstr>
    </vt:vector>
  </TitlesOfParts>
  <Company>Health &amp; Social Care Information Centre</Company>
  <LinksUpToDate>false</LinksUpToDate>
  <CharactersWithSpaces>46295</CharactersWithSpaces>
  <SharedDoc>false</SharedDoc>
  <HLinks>
    <vt:vector size="390" baseType="variant">
      <vt:variant>
        <vt:i4>786461</vt:i4>
      </vt:variant>
      <vt:variant>
        <vt:i4>189</vt:i4>
      </vt:variant>
      <vt:variant>
        <vt:i4>0</vt:i4>
      </vt:variant>
      <vt:variant>
        <vt:i4>5</vt:i4>
      </vt:variant>
      <vt:variant>
        <vt:lpwstr>https://products.mhra.gov.uk/</vt:lpwstr>
      </vt:variant>
      <vt:variant>
        <vt:lpwstr/>
      </vt:variant>
      <vt:variant>
        <vt:i4>5701640</vt:i4>
      </vt:variant>
      <vt:variant>
        <vt:i4>186</vt:i4>
      </vt:variant>
      <vt:variant>
        <vt:i4>0</vt:i4>
      </vt:variant>
      <vt:variant>
        <vt:i4>5</vt:i4>
      </vt:variant>
      <vt:variant>
        <vt:lpwstr>https://www.medicines.org.uk/emc/</vt:lpwstr>
      </vt:variant>
      <vt:variant>
        <vt:lpwstr/>
      </vt:variant>
      <vt:variant>
        <vt:i4>6357036</vt:i4>
      </vt:variant>
      <vt:variant>
        <vt:i4>183</vt:i4>
      </vt:variant>
      <vt:variant>
        <vt:i4>0</vt:i4>
      </vt:variant>
      <vt:variant>
        <vt:i4>5</vt:i4>
      </vt:variant>
      <vt:variant>
        <vt:lpwstr>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vt:lpwstr>
      </vt:variant>
      <vt:variant>
        <vt:lpwstr/>
      </vt:variant>
      <vt:variant>
        <vt:i4>4587547</vt:i4>
      </vt:variant>
      <vt:variant>
        <vt:i4>180</vt:i4>
      </vt:variant>
      <vt:variant>
        <vt:i4>0</vt:i4>
      </vt:variant>
      <vt:variant>
        <vt:i4>5</vt:i4>
      </vt:variant>
      <vt:variant>
        <vt:lpwstr>https://www.nhs.uk/conditions/low-blood-sugar-hypoglycaemia/</vt:lpwstr>
      </vt:variant>
      <vt:variant>
        <vt:lpwstr/>
      </vt:variant>
      <vt:variant>
        <vt:i4>4587547</vt:i4>
      </vt:variant>
      <vt:variant>
        <vt:i4>177</vt:i4>
      </vt:variant>
      <vt:variant>
        <vt:i4>0</vt:i4>
      </vt:variant>
      <vt:variant>
        <vt:i4>5</vt:i4>
      </vt:variant>
      <vt:variant>
        <vt:lpwstr>https://www.nhs.uk/conditions/low-blood-sugar-hypoglycaemia/</vt:lpwstr>
      </vt:variant>
      <vt:variant>
        <vt:lpwstr/>
      </vt:variant>
      <vt:variant>
        <vt:i4>524314</vt:i4>
      </vt:variant>
      <vt:variant>
        <vt:i4>174</vt:i4>
      </vt:variant>
      <vt:variant>
        <vt:i4>0</vt:i4>
      </vt:variant>
      <vt:variant>
        <vt:i4>5</vt:i4>
      </vt:variant>
      <vt:variant>
        <vt:lpwstr/>
      </vt:variant>
      <vt:variant>
        <vt:lpwstr>exclusion</vt:lpwstr>
      </vt:variant>
      <vt:variant>
        <vt:i4>5832826</vt:i4>
      </vt:variant>
      <vt:variant>
        <vt:i4>171</vt:i4>
      </vt:variant>
      <vt:variant>
        <vt:i4>0</vt:i4>
      </vt:variant>
      <vt:variant>
        <vt:i4>5</vt:i4>
      </vt:variant>
      <vt:variant>
        <vt:lpwstr>https://thorax.bmj.com/content/thoraxjnl/79/Suppl_1/3.full.pdf</vt:lpwstr>
      </vt:variant>
      <vt:variant>
        <vt:lpwstr/>
      </vt:variant>
      <vt:variant>
        <vt:i4>1048641</vt:i4>
      </vt:variant>
      <vt:variant>
        <vt:i4>168</vt:i4>
      </vt:variant>
      <vt:variant>
        <vt:i4>0</vt:i4>
      </vt:variant>
      <vt:variant>
        <vt:i4>5</vt:i4>
      </vt:variant>
      <vt:variant>
        <vt:lpwstr>https://www.ncsct.co.uk/publications/STP-inpatient-mental-health</vt:lpwstr>
      </vt:variant>
      <vt:variant>
        <vt:lpwstr/>
      </vt:variant>
      <vt:variant>
        <vt:i4>8323106</vt:i4>
      </vt:variant>
      <vt:variant>
        <vt:i4>165</vt:i4>
      </vt:variant>
      <vt:variant>
        <vt:i4>0</vt:i4>
      </vt:variant>
      <vt:variant>
        <vt:i4>5</vt:i4>
      </vt:variant>
      <vt:variant>
        <vt:lpwstr>https://www.ncsct.co.uk/library/view/pdf/NCSCT-Generic-varenicline.pdf</vt:lpwstr>
      </vt:variant>
      <vt:variant>
        <vt:lpwstr/>
      </vt:variant>
      <vt:variant>
        <vt:i4>1376324</vt:i4>
      </vt:variant>
      <vt:variant>
        <vt:i4>162</vt:i4>
      </vt:variant>
      <vt:variant>
        <vt:i4>0</vt:i4>
      </vt:variant>
      <vt:variant>
        <vt:i4>5</vt:i4>
      </vt:variant>
      <vt:variant>
        <vt:lpwstr>https://www.ncbi.nlm.nih.gov/pmc/articles/PMC6055735/</vt:lpwstr>
      </vt:variant>
      <vt:variant>
        <vt:lpwstr/>
      </vt:variant>
      <vt:variant>
        <vt:i4>4325453</vt:i4>
      </vt:variant>
      <vt:variant>
        <vt:i4>159</vt:i4>
      </vt:variant>
      <vt:variant>
        <vt:i4>0</vt:i4>
      </vt:variant>
      <vt:variant>
        <vt:i4>5</vt:i4>
      </vt:variant>
      <vt:variant>
        <vt:lpwstr>https://cks.nice.org.uk/topics/smoking-cessation/prescribing-information/drugs-affected-by-smoking-cessation/</vt:lpwstr>
      </vt:variant>
      <vt:variant>
        <vt:lpwstr/>
      </vt:variant>
      <vt:variant>
        <vt:i4>1572947</vt:i4>
      </vt:variant>
      <vt:variant>
        <vt:i4>156</vt:i4>
      </vt:variant>
      <vt:variant>
        <vt:i4>0</vt:i4>
      </vt:variant>
      <vt:variant>
        <vt:i4>5</vt:i4>
      </vt:variant>
      <vt:variant>
        <vt:lpwstr>https://www.gov.uk/drug-safety-update/smoking-and-smoking-cessation-clinically-significant-interactions-with-commonly-used-medicines</vt:lpwstr>
      </vt:variant>
      <vt:variant>
        <vt:lpwstr/>
      </vt:variant>
      <vt:variant>
        <vt:i4>5832711</vt:i4>
      </vt:variant>
      <vt:variant>
        <vt:i4>153</vt:i4>
      </vt:variant>
      <vt:variant>
        <vt:i4>0</vt:i4>
      </vt:variant>
      <vt:variant>
        <vt:i4>5</vt:i4>
      </vt:variant>
      <vt:variant>
        <vt:lpwstr>https://www.sps.nhs.uk/articles/managing-specific-interactions-with-smoking/</vt:lpwstr>
      </vt:variant>
      <vt:variant>
        <vt:lpwstr/>
      </vt:variant>
      <vt:variant>
        <vt:i4>7209076</vt:i4>
      </vt:variant>
      <vt:variant>
        <vt:i4>150</vt:i4>
      </vt:variant>
      <vt:variant>
        <vt:i4>0</vt:i4>
      </vt:variant>
      <vt:variant>
        <vt:i4>5</vt:i4>
      </vt:variant>
      <vt:variant>
        <vt:lpwstr>https://www.sps.nhs.uk/articles/considering-drug-interactions-with-smoking/</vt:lpwstr>
      </vt:variant>
      <vt:variant>
        <vt:lpwstr/>
      </vt:variant>
      <vt:variant>
        <vt:i4>7995428</vt:i4>
      </vt:variant>
      <vt:variant>
        <vt:i4>147</vt:i4>
      </vt:variant>
      <vt:variant>
        <vt:i4>0</vt:i4>
      </vt:variant>
      <vt:variant>
        <vt:i4>5</vt:i4>
      </vt:variant>
      <vt:variant>
        <vt:lpwstr>https://www.nice.org.uk/guidance/ta123</vt:lpwstr>
      </vt:variant>
      <vt:variant>
        <vt:lpwstr/>
      </vt:variant>
      <vt:variant>
        <vt:i4>393223</vt:i4>
      </vt:variant>
      <vt:variant>
        <vt:i4>144</vt:i4>
      </vt:variant>
      <vt:variant>
        <vt:i4>0</vt:i4>
      </vt:variant>
      <vt:variant>
        <vt:i4>5</vt:i4>
      </vt:variant>
      <vt:variant>
        <vt:lpwstr>https://www.nice.org.uk/Guidance/MPG2</vt:lpwstr>
      </vt:variant>
      <vt:variant>
        <vt:lpwstr/>
      </vt:variant>
      <vt:variant>
        <vt:i4>983120</vt:i4>
      </vt:variant>
      <vt:variant>
        <vt:i4>141</vt:i4>
      </vt:variant>
      <vt:variant>
        <vt:i4>0</vt:i4>
      </vt:variant>
      <vt:variant>
        <vt:i4>5</vt:i4>
      </vt:variant>
      <vt:variant>
        <vt:lpwstr>https://bnf.nice.org.uk/</vt:lpwstr>
      </vt:variant>
      <vt:variant>
        <vt:lpwstr/>
      </vt:variant>
      <vt:variant>
        <vt:i4>917577</vt:i4>
      </vt:variant>
      <vt:variant>
        <vt:i4>138</vt:i4>
      </vt:variant>
      <vt:variant>
        <vt:i4>0</vt:i4>
      </vt:variant>
      <vt:variant>
        <vt:i4>5</vt:i4>
      </vt:variant>
      <vt:variant>
        <vt:lpwstr>http://www.medicines.org.uk/</vt:lpwstr>
      </vt:variant>
      <vt:variant>
        <vt:lpwstr/>
      </vt:variant>
      <vt:variant>
        <vt:i4>8323124</vt:i4>
      </vt:variant>
      <vt:variant>
        <vt:i4>135</vt:i4>
      </vt:variant>
      <vt:variant>
        <vt:i4>0</vt:i4>
      </vt:variant>
      <vt:variant>
        <vt:i4>5</vt:i4>
      </vt:variant>
      <vt:variant>
        <vt:lpwstr>https://www.nhs.uk/conditions/stroke/symptoms/</vt:lpwstr>
      </vt:variant>
      <vt:variant>
        <vt:lpwstr/>
      </vt:variant>
      <vt:variant>
        <vt:i4>4522069</vt:i4>
      </vt:variant>
      <vt:variant>
        <vt:i4>132</vt:i4>
      </vt:variant>
      <vt:variant>
        <vt:i4>0</vt:i4>
      </vt:variant>
      <vt:variant>
        <vt:i4>5</vt:i4>
      </vt:variant>
      <vt:variant>
        <vt:lpwstr>https://www.nhs.uk/conditions/heart-attack/symptoms/</vt:lpwstr>
      </vt:variant>
      <vt:variant>
        <vt:lpwstr/>
      </vt:variant>
      <vt:variant>
        <vt:i4>589841</vt:i4>
      </vt:variant>
      <vt:variant>
        <vt:i4>129</vt:i4>
      </vt:variant>
      <vt:variant>
        <vt:i4>0</vt:i4>
      </vt:variant>
      <vt:variant>
        <vt:i4>5</vt:i4>
      </vt:variant>
      <vt:variant>
        <vt:lpwstr/>
      </vt:variant>
      <vt:variant>
        <vt:lpwstr>Cautions</vt:lpwstr>
      </vt:variant>
      <vt:variant>
        <vt:i4>262159</vt:i4>
      </vt:variant>
      <vt:variant>
        <vt:i4>126</vt:i4>
      </vt:variant>
      <vt:variant>
        <vt:i4>0</vt:i4>
      </vt:variant>
      <vt:variant>
        <vt:i4>5</vt:i4>
      </vt:variant>
      <vt:variant>
        <vt:lpwstr>https://www.gov.uk/government/publications/clinical-governance-approved-particulars.which</vt:lpwstr>
      </vt:variant>
      <vt:variant>
        <vt:lpwstr/>
      </vt:variant>
      <vt:variant>
        <vt:i4>2883689</vt:i4>
      </vt:variant>
      <vt:variant>
        <vt:i4>123</vt:i4>
      </vt:variant>
      <vt:variant>
        <vt:i4>0</vt:i4>
      </vt:variant>
      <vt:variant>
        <vt:i4>5</vt:i4>
      </vt:variant>
      <vt:variant>
        <vt:lpwstr>http://yellowcard.mhra.gov.uk/</vt:lpwstr>
      </vt:variant>
      <vt:variant>
        <vt:lpwstr/>
      </vt:variant>
      <vt:variant>
        <vt:i4>1048585</vt:i4>
      </vt:variant>
      <vt:variant>
        <vt:i4>120</vt:i4>
      </vt:variant>
      <vt:variant>
        <vt:i4>0</vt:i4>
      </vt:variant>
      <vt:variant>
        <vt:i4>5</vt:i4>
      </vt:variant>
      <vt:variant>
        <vt:lpwstr/>
      </vt:variant>
      <vt:variant>
        <vt:lpwstr>psych</vt:lpwstr>
      </vt:variant>
      <vt:variant>
        <vt:i4>2556002</vt:i4>
      </vt:variant>
      <vt:variant>
        <vt:i4>117</vt:i4>
      </vt:variant>
      <vt:variant>
        <vt:i4>0</vt:i4>
      </vt:variant>
      <vt:variant>
        <vt:i4>5</vt:i4>
      </vt:variant>
      <vt:variant>
        <vt:lpwstr>http://www.bnf.org/</vt:lpwstr>
      </vt:variant>
      <vt:variant>
        <vt:lpwstr/>
      </vt:variant>
      <vt:variant>
        <vt:i4>917577</vt:i4>
      </vt:variant>
      <vt:variant>
        <vt:i4>114</vt:i4>
      </vt:variant>
      <vt:variant>
        <vt:i4>0</vt:i4>
      </vt:variant>
      <vt:variant>
        <vt:i4>5</vt:i4>
      </vt:variant>
      <vt:variant>
        <vt:lpwstr>http://www.medicines.org.uk/</vt:lpwstr>
      </vt:variant>
      <vt:variant>
        <vt:lpwstr/>
      </vt:variant>
      <vt:variant>
        <vt:i4>589846</vt:i4>
      </vt:variant>
      <vt:variant>
        <vt:i4>111</vt:i4>
      </vt:variant>
      <vt:variant>
        <vt:i4>0</vt:i4>
      </vt:variant>
      <vt:variant>
        <vt:i4>5</vt:i4>
      </vt:variant>
      <vt:variant>
        <vt:lpwstr/>
      </vt:variant>
      <vt:variant>
        <vt:lpwstr>appendixc</vt:lpwstr>
      </vt:variant>
      <vt:variant>
        <vt:i4>589846</vt:i4>
      </vt:variant>
      <vt:variant>
        <vt:i4>108</vt:i4>
      </vt:variant>
      <vt:variant>
        <vt:i4>0</vt:i4>
      </vt:variant>
      <vt:variant>
        <vt:i4>5</vt:i4>
      </vt:variant>
      <vt:variant>
        <vt:lpwstr/>
      </vt:variant>
      <vt:variant>
        <vt:lpwstr>appendixB</vt:lpwstr>
      </vt:variant>
      <vt:variant>
        <vt:i4>589841</vt:i4>
      </vt:variant>
      <vt:variant>
        <vt:i4>105</vt:i4>
      </vt:variant>
      <vt:variant>
        <vt:i4>0</vt:i4>
      </vt:variant>
      <vt:variant>
        <vt:i4>5</vt:i4>
      </vt:variant>
      <vt:variant>
        <vt:lpwstr/>
      </vt:variant>
      <vt:variant>
        <vt:lpwstr>Cautions</vt:lpwstr>
      </vt:variant>
      <vt:variant>
        <vt:i4>6357036</vt:i4>
      </vt:variant>
      <vt:variant>
        <vt:i4>102</vt:i4>
      </vt:variant>
      <vt:variant>
        <vt:i4>0</vt:i4>
      </vt:variant>
      <vt:variant>
        <vt:i4>5</vt:i4>
      </vt:variant>
      <vt:variant>
        <vt:lpwstr>https://gbr01.safelinks.protection.outlook.com/?url=https%3A%2F%2Fwww.sps.nhs.uk%2Farticles%2Fmanaging-specific-interactions-with-smoking%2F&amp;data=05%7C01%7Cjo.jenkins2%40nhs.net%7C96ec18da22f4468d870708dbdb822163%7C37c354b285b047f5b22207b48d774ee3%7C0%7C0%7C638345124166826486%7CUnknown%7CTWFpbGZsb3d8eyJWIjoiMC4wLjAwMDAiLCJQIjoiV2luMzIiLCJBTiI6Ik1haWwiLCJXVCI6Mn0%3D%7C3000%7C%7C%7C&amp;sdata=Givy9lNAYwq%2BaCJL9ZnwMhxqAiAflQxhkoInFaVhMuI%3D&amp;reserved=0</vt:lpwstr>
      </vt:variant>
      <vt:variant>
        <vt:lpwstr/>
      </vt:variant>
      <vt:variant>
        <vt:i4>3145766</vt:i4>
      </vt:variant>
      <vt:variant>
        <vt:i4>99</vt:i4>
      </vt:variant>
      <vt:variant>
        <vt:i4>0</vt:i4>
      </vt:variant>
      <vt:variant>
        <vt:i4>5</vt:i4>
      </vt:variant>
      <vt:variant>
        <vt:lpwstr>https://gbr01.safelinks.protection.outlook.com/?url=https%3A%2F%2Fwww.sps.nhs.uk%2Farticles%2Fconsidering-drug-interactions-with-smoking%2F&amp;data=05%7C01%7Cjo.jenkins2%40nhs.net%7C96ec18da22f4468d870708dbdb822163%7C37c354b285b047f5b22207b48d774ee3%7C0%7C0%7C638345124166826486%7CUnknown%7CTWFpbGZsb3d8eyJWIjoiMC4wLjAwMDAiLCJQIjoiV2luMzIiLCJBTiI6Ik1haWwiLCJXVCI6Mn0%3D%7C3000%7C%7C%7C&amp;sdata=lEIDRvtmrTGpAWe3Ku0Au%2BAj3PacUScv5nLY54kB%2BFk%3D&amp;reserved=0</vt:lpwstr>
      </vt:variant>
      <vt:variant>
        <vt:lpwstr/>
      </vt:variant>
      <vt:variant>
        <vt:i4>589841</vt:i4>
      </vt:variant>
      <vt:variant>
        <vt:i4>96</vt:i4>
      </vt:variant>
      <vt:variant>
        <vt:i4>0</vt:i4>
      </vt:variant>
      <vt:variant>
        <vt:i4>5</vt:i4>
      </vt:variant>
      <vt:variant>
        <vt:lpwstr/>
      </vt:variant>
      <vt:variant>
        <vt:lpwstr>Cautions</vt:lpwstr>
      </vt:variant>
      <vt:variant>
        <vt:i4>917577</vt:i4>
      </vt:variant>
      <vt:variant>
        <vt:i4>93</vt:i4>
      </vt:variant>
      <vt:variant>
        <vt:i4>0</vt:i4>
      </vt:variant>
      <vt:variant>
        <vt:i4>5</vt:i4>
      </vt:variant>
      <vt:variant>
        <vt:lpwstr>http://www.medicines.org.uk/</vt:lpwstr>
      </vt:variant>
      <vt:variant>
        <vt:lpwstr/>
      </vt:variant>
      <vt:variant>
        <vt:i4>917577</vt:i4>
      </vt:variant>
      <vt:variant>
        <vt:i4>90</vt:i4>
      </vt:variant>
      <vt:variant>
        <vt:i4>0</vt:i4>
      </vt:variant>
      <vt:variant>
        <vt:i4>5</vt:i4>
      </vt:variant>
      <vt:variant>
        <vt:lpwstr>http://www.medicines.org.uk/</vt:lpwstr>
      </vt:variant>
      <vt:variant>
        <vt:lpwstr/>
      </vt:variant>
      <vt:variant>
        <vt:i4>7340075</vt:i4>
      </vt:variant>
      <vt:variant>
        <vt:i4>87</vt:i4>
      </vt:variant>
      <vt:variant>
        <vt:i4>0</vt:i4>
      </vt:variant>
      <vt:variant>
        <vt:i4>5</vt:i4>
      </vt:variant>
      <vt:variant>
        <vt:lpwstr>https://www.sps.nhs.uk/articles/repeat-supply-or-administration-of-medicines-under-pgd/</vt:lpwstr>
      </vt:variant>
      <vt:variant>
        <vt:lpwstr/>
      </vt:variant>
      <vt:variant>
        <vt:i4>2818107</vt:i4>
      </vt:variant>
      <vt:variant>
        <vt:i4>84</vt:i4>
      </vt:variant>
      <vt:variant>
        <vt:i4>0</vt:i4>
      </vt:variant>
      <vt:variant>
        <vt:i4>5</vt:i4>
      </vt:variant>
      <vt:variant>
        <vt:lpwstr>https://bnf.nice.org.uk/medicines-guidance/prescribing-in-renal-impairment/</vt:lpwstr>
      </vt:variant>
      <vt:variant>
        <vt:lpwstr/>
      </vt:variant>
      <vt:variant>
        <vt:i4>589846</vt:i4>
      </vt:variant>
      <vt:variant>
        <vt:i4>81</vt:i4>
      </vt:variant>
      <vt:variant>
        <vt:i4>0</vt:i4>
      </vt:variant>
      <vt:variant>
        <vt:i4>5</vt:i4>
      </vt:variant>
      <vt:variant>
        <vt:lpwstr/>
      </vt:variant>
      <vt:variant>
        <vt:lpwstr>appendixc</vt:lpwstr>
      </vt:variant>
      <vt:variant>
        <vt:i4>589846</vt:i4>
      </vt:variant>
      <vt:variant>
        <vt:i4>78</vt:i4>
      </vt:variant>
      <vt:variant>
        <vt:i4>0</vt:i4>
      </vt:variant>
      <vt:variant>
        <vt:i4>5</vt:i4>
      </vt:variant>
      <vt:variant>
        <vt:lpwstr/>
      </vt:variant>
      <vt:variant>
        <vt:lpwstr>appendixc</vt:lpwstr>
      </vt:variant>
      <vt:variant>
        <vt:i4>589846</vt:i4>
      </vt:variant>
      <vt:variant>
        <vt:i4>75</vt:i4>
      </vt:variant>
      <vt:variant>
        <vt:i4>0</vt:i4>
      </vt:variant>
      <vt:variant>
        <vt:i4>5</vt:i4>
      </vt:variant>
      <vt:variant>
        <vt:lpwstr/>
      </vt:variant>
      <vt:variant>
        <vt:lpwstr>appendixc</vt:lpwstr>
      </vt:variant>
      <vt:variant>
        <vt:i4>589846</vt:i4>
      </vt:variant>
      <vt:variant>
        <vt:i4>72</vt:i4>
      </vt:variant>
      <vt:variant>
        <vt:i4>0</vt:i4>
      </vt:variant>
      <vt:variant>
        <vt:i4>5</vt:i4>
      </vt:variant>
      <vt:variant>
        <vt:lpwstr/>
      </vt:variant>
      <vt:variant>
        <vt:lpwstr>appendixc</vt:lpwstr>
      </vt:variant>
      <vt:variant>
        <vt:i4>589846</vt:i4>
      </vt:variant>
      <vt:variant>
        <vt:i4>69</vt:i4>
      </vt:variant>
      <vt:variant>
        <vt:i4>0</vt:i4>
      </vt:variant>
      <vt:variant>
        <vt:i4>5</vt:i4>
      </vt:variant>
      <vt:variant>
        <vt:lpwstr/>
      </vt:variant>
      <vt:variant>
        <vt:lpwstr>appendixc</vt:lpwstr>
      </vt:variant>
      <vt:variant>
        <vt:i4>589846</vt:i4>
      </vt:variant>
      <vt:variant>
        <vt:i4>66</vt:i4>
      </vt:variant>
      <vt:variant>
        <vt:i4>0</vt:i4>
      </vt:variant>
      <vt:variant>
        <vt:i4>5</vt:i4>
      </vt:variant>
      <vt:variant>
        <vt:lpwstr/>
      </vt:variant>
      <vt:variant>
        <vt:lpwstr>appendixc</vt:lpwstr>
      </vt:variant>
      <vt:variant>
        <vt:i4>589846</vt:i4>
      </vt:variant>
      <vt:variant>
        <vt:i4>63</vt:i4>
      </vt:variant>
      <vt:variant>
        <vt:i4>0</vt:i4>
      </vt:variant>
      <vt:variant>
        <vt:i4>5</vt:i4>
      </vt:variant>
      <vt:variant>
        <vt:lpwstr/>
      </vt:variant>
      <vt:variant>
        <vt:lpwstr>appendixc</vt:lpwstr>
      </vt:variant>
      <vt:variant>
        <vt:i4>589846</vt:i4>
      </vt:variant>
      <vt:variant>
        <vt:i4>60</vt:i4>
      </vt:variant>
      <vt:variant>
        <vt:i4>0</vt:i4>
      </vt:variant>
      <vt:variant>
        <vt:i4>5</vt:i4>
      </vt:variant>
      <vt:variant>
        <vt:lpwstr/>
      </vt:variant>
      <vt:variant>
        <vt:lpwstr>appendixc</vt:lpwstr>
      </vt:variant>
      <vt:variant>
        <vt:i4>589846</vt:i4>
      </vt:variant>
      <vt:variant>
        <vt:i4>57</vt:i4>
      </vt:variant>
      <vt:variant>
        <vt:i4>0</vt:i4>
      </vt:variant>
      <vt:variant>
        <vt:i4>5</vt:i4>
      </vt:variant>
      <vt:variant>
        <vt:lpwstr/>
      </vt:variant>
      <vt:variant>
        <vt:lpwstr>appendixc</vt:lpwstr>
      </vt:variant>
      <vt:variant>
        <vt:i4>589846</vt:i4>
      </vt:variant>
      <vt:variant>
        <vt:i4>54</vt:i4>
      </vt:variant>
      <vt:variant>
        <vt:i4>0</vt:i4>
      </vt:variant>
      <vt:variant>
        <vt:i4>5</vt:i4>
      </vt:variant>
      <vt:variant>
        <vt:lpwstr/>
      </vt:variant>
      <vt:variant>
        <vt:lpwstr>appendixc</vt:lpwstr>
      </vt:variant>
      <vt:variant>
        <vt:i4>589846</vt:i4>
      </vt:variant>
      <vt:variant>
        <vt:i4>51</vt:i4>
      </vt:variant>
      <vt:variant>
        <vt:i4>0</vt:i4>
      </vt:variant>
      <vt:variant>
        <vt:i4>5</vt:i4>
      </vt:variant>
      <vt:variant>
        <vt:lpwstr/>
      </vt:variant>
      <vt:variant>
        <vt:lpwstr>appendixc</vt:lpwstr>
      </vt:variant>
      <vt:variant>
        <vt:i4>589846</vt:i4>
      </vt:variant>
      <vt:variant>
        <vt:i4>48</vt:i4>
      </vt:variant>
      <vt:variant>
        <vt:i4>0</vt:i4>
      </vt:variant>
      <vt:variant>
        <vt:i4>5</vt:i4>
      </vt:variant>
      <vt:variant>
        <vt:lpwstr/>
      </vt:variant>
      <vt:variant>
        <vt:lpwstr>appendixc</vt:lpwstr>
      </vt:variant>
      <vt:variant>
        <vt:i4>589846</vt:i4>
      </vt:variant>
      <vt:variant>
        <vt:i4>45</vt:i4>
      </vt:variant>
      <vt:variant>
        <vt:i4>0</vt:i4>
      </vt:variant>
      <vt:variant>
        <vt:i4>5</vt:i4>
      </vt:variant>
      <vt:variant>
        <vt:lpwstr/>
      </vt:variant>
      <vt:variant>
        <vt:lpwstr>appendixc</vt:lpwstr>
      </vt:variant>
      <vt:variant>
        <vt:i4>589846</vt:i4>
      </vt:variant>
      <vt:variant>
        <vt:i4>42</vt:i4>
      </vt:variant>
      <vt:variant>
        <vt:i4>0</vt:i4>
      </vt:variant>
      <vt:variant>
        <vt:i4>5</vt:i4>
      </vt:variant>
      <vt:variant>
        <vt:lpwstr/>
      </vt:variant>
      <vt:variant>
        <vt:lpwstr>appendixc</vt:lpwstr>
      </vt:variant>
      <vt:variant>
        <vt:i4>589846</vt:i4>
      </vt:variant>
      <vt:variant>
        <vt:i4>39</vt:i4>
      </vt:variant>
      <vt:variant>
        <vt:i4>0</vt:i4>
      </vt:variant>
      <vt:variant>
        <vt:i4>5</vt:i4>
      </vt:variant>
      <vt:variant>
        <vt:lpwstr/>
      </vt:variant>
      <vt:variant>
        <vt:lpwstr>appendixc</vt:lpwstr>
      </vt:variant>
      <vt:variant>
        <vt:i4>8323124</vt:i4>
      </vt:variant>
      <vt:variant>
        <vt:i4>36</vt:i4>
      </vt:variant>
      <vt:variant>
        <vt:i4>0</vt:i4>
      </vt:variant>
      <vt:variant>
        <vt:i4>5</vt:i4>
      </vt:variant>
      <vt:variant>
        <vt:lpwstr>https://www.nhs.uk/conditions/stroke/symptoms/</vt:lpwstr>
      </vt:variant>
      <vt:variant>
        <vt:lpwstr/>
      </vt:variant>
      <vt:variant>
        <vt:i4>4522069</vt:i4>
      </vt:variant>
      <vt:variant>
        <vt:i4>33</vt:i4>
      </vt:variant>
      <vt:variant>
        <vt:i4>0</vt:i4>
      </vt:variant>
      <vt:variant>
        <vt:i4>5</vt:i4>
      </vt:variant>
      <vt:variant>
        <vt:lpwstr>https://www.nhs.uk/conditions/heart-attack/symptoms/</vt:lpwstr>
      </vt:variant>
      <vt:variant>
        <vt:lpwstr/>
      </vt:variant>
      <vt:variant>
        <vt:i4>458768</vt:i4>
      </vt:variant>
      <vt:variant>
        <vt:i4>30</vt:i4>
      </vt:variant>
      <vt:variant>
        <vt:i4>0</vt:i4>
      </vt:variant>
      <vt:variant>
        <vt:i4>5</vt:i4>
      </vt:variant>
      <vt:variant>
        <vt:lpwstr>https://www.nice.org.uk/guidance/ng209/resources/tobacco-preventing-uptake-promoting-quitting-and-treating-dependence-pdf-66143723132869</vt:lpwstr>
      </vt:variant>
      <vt:variant>
        <vt:lpwstr/>
      </vt:variant>
      <vt:variant>
        <vt:i4>7208992</vt:i4>
      </vt:variant>
      <vt:variant>
        <vt:i4>27</vt:i4>
      </vt:variant>
      <vt:variant>
        <vt:i4>0</vt:i4>
      </vt:variant>
      <vt:variant>
        <vt:i4>5</vt:i4>
      </vt:variant>
      <vt:variant>
        <vt:lpwstr>https://www.nhs.uk/conditions/erythema-multiforme/</vt:lpwstr>
      </vt:variant>
      <vt:variant>
        <vt:lpwstr/>
      </vt:variant>
      <vt:variant>
        <vt:i4>3932281</vt:i4>
      </vt:variant>
      <vt:variant>
        <vt:i4>24</vt:i4>
      </vt:variant>
      <vt:variant>
        <vt:i4>0</vt:i4>
      </vt:variant>
      <vt:variant>
        <vt:i4>5</vt:i4>
      </vt:variant>
      <vt:variant>
        <vt:lpwstr>https://www.nhs.uk/conditions/stevens-johnson-syndrome/</vt:lpwstr>
      </vt:variant>
      <vt:variant>
        <vt:lpwstr/>
      </vt:variant>
      <vt:variant>
        <vt:i4>5701640</vt:i4>
      </vt:variant>
      <vt:variant>
        <vt:i4>21</vt:i4>
      </vt:variant>
      <vt:variant>
        <vt:i4>0</vt:i4>
      </vt:variant>
      <vt:variant>
        <vt:i4>5</vt:i4>
      </vt:variant>
      <vt:variant>
        <vt:lpwstr>https://www.medicines.org.uk/emc/</vt:lpwstr>
      </vt:variant>
      <vt:variant>
        <vt:lpwstr/>
      </vt:variant>
      <vt:variant>
        <vt:i4>2228349</vt:i4>
      </vt:variant>
      <vt:variant>
        <vt:i4>18</vt:i4>
      </vt:variant>
      <vt:variant>
        <vt:i4>0</vt:i4>
      </vt:variant>
      <vt:variant>
        <vt:i4>5</vt:i4>
      </vt:variant>
      <vt:variant>
        <vt:lpwstr>https://www.england.nhs.uk/wp-content/uploads/2022/03/PRN00178-community-pharmacy-advanced-service-specification-nhs-scs-v2.pdf</vt:lpwstr>
      </vt:variant>
      <vt:variant>
        <vt:lpwstr/>
      </vt:variant>
      <vt:variant>
        <vt:i4>3407906</vt:i4>
      </vt:variant>
      <vt:variant>
        <vt:i4>15</vt:i4>
      </vt:variant>
      <vt:variant>
        <vt:i4>0</vt:i4>
      </vt:variant>
      <vt:variant>
        <vt:i4>5</vt:i4>
      </vt:variant>
      <vt:variant>
        <vt:lpwstr>https://www.nice.org.uk/guidance/mpg2/resources</vt:lpwstr>
      </vt:variant>
      <vt:variant>
        <vt:lpwstr/>
      </vt:variant>
      <vt:variant>
        <vt:i4>589846</vt:i4>
      </vt:variant>
      <vt:variant>
        <vt:i4>12</vt:i4>
      </vt:variant>
      <vt:variant>
        <vt:i4>0</vt:i4>
      </vt:variant>
      <vt:variant>
        <vt:i4>5</vt:i4>
      </vt:variant>
      <vt:variant>
        <vt:lpwstr/>
      </vt:variant>
      <vt:variant>
        <vt:lpwstr>Appendix</vt:lpwstr>
      </vt:variant>
      <vt:variant>
        <vt:i4>5701640</vt:i4>
      </vt:variant>
      <vt:variant>
        <vt:i4>9</vt:i4>
      </vt:variant>
      <vt:variant>
        <vt:i4>0</vt:i4>
      </vt:variant>
      <vt:variant>
        <vt:i4>5</vt:i4>
      </vt:variant>
      <vt:variant>
        <vt:lpwstr>https://www.medicines.org.uk/emc</vt:lpwstr>
      </vt:variant>
      <vt:variant>
        <vt:lpwstr/>
      </vt:variant>
      <vt:variant>
        <vt:i4>5570566</vt:i4>
      </vt:variant>
      <vt:variant>
        <vt:i4>6</vt:i4>
      </vt:variant>
      <vt:variant>
        <vt:i4>0</vt:i4>
      </vt:variant>
      <vt:variant>
        <vt:i4>5</vt:i4>
      </vt:variant>
      <vt:variant>
        <vt:lpwstr>https://www.e-lfh.org.uk/programmes/patient-group-directions/</vt:lpwstr>
      </vt:variant>
      <vt:variant>
        <vt:lpwstr/>
      </vt:variant>
      <vt:variant>
        <vt:i4>2687091</vt:i4>
      </vt:variant>
      <vt:variant>
        <vt:i4>3</vt:i4>
      </vt:variant>
      <vt:variant>
        <vt:i4>0</vt:i4>
      </vt:variant>
      <vt:variant>
        <vt:i4>5</vt:i4>
      </vt:variant>
      <vt:variant>
        <vt:lpwstr>https://elearning.ncsct.co.uk/</vt:lpwstr>
      </vt:variant>
      <vt:variant>
        <vt:lpwstr/>
      </vt:variant>
      <vt:variant>
        <vt:i4>6094924</vt:i4>
      </vt:variant>
      <vt:variant>
        <vt:i4>0</vt:i4>
      </vt:variant>
      <vt:variant>
        <vt:i4>0</vt:i4>
      </vt:variant>
      <vt:variant>
        <vt:i4>5</vt:i4>
      </vt:variant>
      <vt:variant>
        <vt:lpwstr>https://www.nice.org.uk/guidance/mpg2/chapter/recommendations</vt:lpwstr>
      </vt:variant>
      <vt:variant>
        <vt:lpwstr>authorising-body</vt:lpwstr>
      </vt:variant>
      <vt:variant>
        <vt:i4>5570639</vt:i4>
      </vt:variant>
      <vt:variant>
        <vt:i4>0</vt:i4>
      </vt:variant>
      <vt:variant>
        <vt:i4>0</vt:i4>
      </vt:variant>
      <vt:variant>
        <vt:i4>5</vt:i4>
      </vt:variant>
      <vt:variant>
        <vt:lpwstr>https://www.england.nhs.uk/primary-care/pharmacy/pharmacy-services/nhs-community-pharmacy-smoking-cessation-service/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Sejal Parekh</dc:creator>
  <cp:keywords/>
  <cp:lastModifiedBy>RAJA, Fatima (NHS ENGLAND)</cp:lastModifiedBy>
  <cp:revision>2</cp:revision>
  <cp:lastPrinted>2016-07-15T01:27:00Z</cp:lastPrinted>
  <dcterms:created xsi:type="dcterms:W3CDTF">2025-12-02T11:49:00Z</dcterms:created>
  <dcterms:modified xsi:type="dcterms:W3CDTF">2025-12-02T11:49:00Z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