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E54" w14:textId="592F1EB9" w:rsidR="00513351" w:rsidRPr="00945D4C" w:rsidRDefault="001432E2" w:rsidP="001432E2">
      <w:r>
        <w:rPr>
          <w:noProof/>
        </w:rPr>
        <w:drawing>
          <wp:anchor distT="0" distB="0" distL="114300" distR="114300" simplePos="0" relativeHeight="251658240" behindDoc="0" locked="0" layoutInCell="1" allowOverlap="0" wp14:anchorId="07E625DF" wp14:editId="67CEF5C6">
            <wp:simplePos x="0" y="0"/>
            <wp:positionH relativeFrom="page">
              <wp:posOffset>1158</wp:posOffset>
            </wp:positionH>
            <wp:positionV relativeFrom="topMargin">
              <wp:posOffset>-332105</wp:posOffset>
            </wp:positionV>
            <wp:extent cx="7632000" cy="1789200"/>
            <wp:effectExtent l="0" t="0" r="7620" b="1905"/>
            <wp:wrapNone/>
            <wp:docPr id="18" name="Picture 18"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Business Services Authority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7632000" cy="1789200"/>
                    </a:xfrm>
                    <a:prstGeom prst="rect">
                      <a:avLst/>
                    </a:prstGeom>
                  </pic:spPr>
                </pic:pic>
              </a:graphicData>
            </a:graphic>
            <wp14:sizeRelH relativeFrom="margin">
              <wp14:pctWidth>0</wp14:pctWidth>
            </wp14:sizeRelH>
            <wp14:sizeRelV relativeFrom="margin">
              <wp14:pctHeight>0</wp14:pctHeight>
            </wp14:sizeRelV>
          </wp:anchor>
        </w:drawing>
      </w:r>
    </w:p>
    <w:p w14:paraId="386FA256" w14:textId="77777777" w:rsidR="00806E49" w:rsidRPr="007561AB" w:rsidRDefault="00806E49" w:rsidP="002E6C6B">
      <w:pPr>
        <w:rPr>
          <w:rFonts w:cs="Arial"/>
        </w:rPr>
      </w:pPr>
    </w:p>
    <w:p w14:paraId="40896F47" w14:textId="5684F894" w:rsidR="001B66E8" w:rsidRPr="002C55D8" w:rsidRDefault="001B66E8" w:rsidP="00ED21AE">
      <w:pPr>
        <w:pStyle w:val="Heading1"/>
      </w:pPr>
      <w:bookmarkStart w:id="0" w:name="_Hlk140593960"/>
      <w:r w:rsidRPr="002C55D8">
        <w:t>NHS</w:t>
      </w:r>
      <w:r w:rsidR="00CC7FAB">
        <w:t xml:space="preserve"> </w:t>
      </w:r>
      <w:r w:rsidRPr="002C55D8">
        <w:t>Pensions - Process for calculating the Annual Allowance</w:t>
      </w:r>
    </w:p>
    <w:p w14:paraId="737ED6EC" w14:textId="77777777" w:rsidR="001B66E8" w:rsidRDefault="001B66E8" w:rsidP="001B66E8">
      <w:pPr>
        <w:pStyle w:val="Default"/>
      </w:pPr>
    </w:p>
    <w:p w14:paraId="711B0D8E" w14:textId="5C989EF1" w:rsidR="001432E2" w:rsidRDefault="001432E2" w:rsidP="001B66E8">
      <w:pPr>
        <w:pStyle w:val="Default"/>
        <w:spacing w:line="276" w:lineRule="auto"/>
      </w:pPr>
      <w:r w:rsidRPr="004C0B59">
        <w:rPr>
          <w:noProof/>
        </w:rPr>
        <mc:AlternateContent>
          <mc:Choice Requires="wpg">
            <w:drawing>
              <wp:anchor distT="0" distB="0" distL="114300" distR="114300" simplePos="0" relativeHeight="251658242" behindDoc="0" locked="0" layoutInCell="1" allowOverlap="0" wp14:anchorId="0F99B630" wp14:editId="1A48DC5A">
                <wp:simplePos x="0" y="0"/>
                <wp:positionH relativeFrom="margin">
                  <wp:posOffset>-66675</wp:posOffset>
                </wp:positionH>
                <wp:positionV relativeFrom="page">
                  <wp:posOffset>1562100</wp:posOffset>
                </wp:positionV>
                <wp:extent cx="6220460" cy="1069975"/>
                <wp:effectExtent l="0" t="0" r="8890" b="0"/>
                <wp:wrapNone/>
                <wp:docPr id="1416079438" name="Group 6" descr="NHS Pensions Member Factsheet"/>
                <wp:cNvGraphicFramePr/>
                <a:graphic xmlns:a="http://schemas.openxmlformats.org/drawingml/2006/main">
                  <a:graphicData uri="http://schemas.microsoft.com/office/word/2010/wordprocessingGroup">
                    <wpg:wgp>
                      <wpg:cNvGrpSpPr/>
                      <wpg:grpSpPr>
                        <a:xfrm>
                          <a:off x="0" y="0"/>
                          <a:ext cx="6220460" cy="1069975"/>
                          <a:chOff x="-69315" y="-352479"/>
                          <a:chExt cx="6223757" cy="1070140"/>
                        </a:xfrm>
                      </wpg:grpSpPr>
                      <wps:wsp>
                        <wps:cNvPr id="1037579662" name="Rectangle 1037579662">
                          <a:extLst>
                            <a:ext uri="{C183D7F6-B498-43B3-948B-1728B52AA6E4}">
                              <adec:decorative xmlns:adec="http://schemas.microsoft.com/office/drawing/2017/decorative" val="1"/>
                            </a:ext>
                          </a:extLst>
                        </wps:cNvPr>
                        <wps:cNvSpPr/>
                        <wps:spPr>
                          <a:xfrm>
                            <a:off x="-27383" y="-352479"/>
                            <a:ext cx="2494915" cy="49181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609121" name="Rectangle 173609121">
                          <a:extLst>
                            <a:ext uri="{C183D7F6-B498-43B3-948B-1728B52AA6E4}">
                              <adec:decorative xmlns:adec="http://schemas.microsoft.com/office/drawing/2017/decorative" val="1"/>
                            </a:ext>
                          </a:extLst>
                        </wps:cNvPr>
                        <wps:cNvSpPr/>
                        <wps:spPr>
                          <a:xfrm>
                            <a:off x="-69315" y="289605"/>
                            <a:ext cx="6223757" cy="428056"/>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8E6B" w14:textId="0B9A835B" w:rsidR="004C0B59" w:rsidRDefault="001432E2" w:rsidP="001432E2">
                              <w:pPr>
                                <w:ind w:right="-1983"/>
                                <w:rPr>
                                  <w:rFonts w:cs="Arial"/>
                                  <w:b/>
                                  <w:bCs/>
                                  <w:color w:val="FFFFFF" w:themeColor="light1"/>
                                  <w:kern w:val="24"/>
                                  <w:sz w:val="32"/>
                                  <w:szCs w:val="32"/>
                                </w:rPr>
                              </w:pPr>
                              <w:r>
                                <w:rPr>
                                  <w:rFonts w:cs="Arial"/>
                                  <w:b/>
                                  <w:bCs/>
                                  <w:color w:val="FFFFFF" w:themeColor="light1"/>
                                  <w:kern w:val="24"/>
                                  <w:sz w:val="32"/>
                                  <w:szCs w:val="32"/>
                                </w:rPr>
                                <w:t>Process for calculati</w:t>
                              </w:r>
                              <w:r w:rsidR="008F1452">
                                <w:rPr>
                                  <w:rFonts w:cs="Arial"/>
                                  <w:b/>
                                  <w:bCs/>
                                  <w:color w:val="FFFFFF" w:themeColor="light1"/>
                                  <w:kern w:val="24"/>
                                  <w:sz w:val="32"/>
                                  <w:szCs w:val="32"/>
                                </w:rPr>
                                <w:t xml:space="preserve">ng </w:t>
                              </w:r>
                              <w:r>
                                <w:rPr>
                                  <w:rFonts w:cs="Arial"/>
                                  <w:b/>
                                  <w:bCs/>
                                  <w:color w:val="FFFFFF" w:themeColor="light1"/>
                                  <w:kern w:val="24"/>
                                  <w:sz w:val="32"/>
                                  <w:szCs w:val="32"/>
                                </w:rPr>
                                <w:t xml:space="preserve">the </w:t>
                              </w:r>
                              <w:r w:rsidR="007A19BD">
                                <w:rPr>
                                  <w:rFonts w:cs="Arial"/>
                                  <w:b/>
                                  <w:bCs/>
                                  <w:color w:val="FFFFFF" w:themeColor="light1"/>
                                  <w:kern w:val="24"/>
                                  <w:sz w:val="32"/>
                                  <w:szCs w:val="32"/>
                                </w:rPr>
                                <w:t>a</w:t>
                              </w:r>
                              <w:r>
                                <w:rPr>
                                  <w:rFonts w:cs="Arial"/>
                                  <w:b/>
                                  <w:bCs/>
                                  <w:color w:val="FFFFFF" w:themeColor="light1"/>
                                  <w:kern w:val="24"/>
                                  <w:sz w:val="32"/>
                                  <w:szCs w:val="32"/>
                                </w:rPr>
                                <w:t xml:space="preserve">nnual </w:t>
                              </w:r>
                              <w:r w:rsidR="007A19BD">
                                <w:rPr>
                                  <w:rFonts w:cs="Arial"/>
                                  <w:b/>
                                  <w:bCs/>
                                  <w:color w:val="FFFFFF" w:themeColor="light1"/>
                                  <w:kern w:val="24"/>
                                  <w:sz w:val="32"/>
                                  <w:szCs w:val="32"/>
                                </w:rPr>
                                <w:t>a</w:t>
                              </w:r>
                              <w:r>
                                <w:rPr>
                                  <w:rFonts w:cs="Arial"/>
                                  <w:b/>
                                  <w:bCs/>
                                  <w:color w:val="FFFFFF" w:themeColor="light1"/>
                                  <w:kern w:val="24"/>
                                  <w:sz w:val="32"/>
                                  <w:szCs w:val="32"/>
                                </w:rPr>
                                <w:t xml:space="preserve">llowance </w:t>
                              </w:r>
                              <w:r w:rsidR="004C0B59">
                                <w:rPr>
                                  <w:rFonts w:cs="Arial"/>
                                  <w:b/>
                                  <w:bCs/>
                                  <w:color w:val="FFFFFF" w:themeColor="light1"/>
                                  <w:kern w:val="24"/>
                                  <w:sz w:val="32"/>
                                  <w:szCs w:val="32"/>
                                </w:rPr>
                                <w:t>factsheet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9B630" id="Group 6" o:spid="_x0000_s1026" alt="NHS Pensions Member Factsheet" style="position:absolute;margin-left:-5.25pt;margin-top:123pt;width:489.8pt;height:84.25pt;z-index:251658242;mso-position-horizontal-relative:margin;mso-position-vertical-relative:page;mso-width-relative:margin;mso-height-relative:margin" coordorigin="-693,-3524" coordsize="62237,1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" o:allowoverlap="f">
                <v:rect id="Rectangle 1037579662" o:spid="_x0000_s1027" alt="&quot;&quot;" style="position:absolute;left:-273;top:-3524;width:24948;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" fillcolor="#005eb8" stroked="f" strokeweight="2pt">
                  <v:textbo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v:textbox>
                </v:rect>
                <v:rect id="Rectangle 173609121" o:spid="_x0000_s1028" alt="&quot;&quot;" style="position:absolute;left:-693;top:2896;width:62237;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" fillcolor="#006747" stroked="f" strokeweight="2pt">
                  <v:textbox>
                    <w:txbxContent>
                      <w:p w14:paraId="78208E6B" w14:textId="0B9A835B" w:rsidR="004C0B59" w:rsidRDefault="001432E2" w:rsidP="001432E2">
                        <w:pPr>
                          <w:ind w:right="-1983"/>
                          <w:rPr>
                            <w:rFonts w:cs="Arial"/>
                            <w:b/>
                            <w:bCs/>
                            <w:color w:val="FFFFFF" w:themeColor="light1"/>
                            <w:kern w:val="24"/>
                            <w:sz w:val="32"/>
                            <w:szCs w:val="32"/>
                          </w:rPr>
                        </w:pPr>
                        <w:r>
                          <w:rPr>
                            <w:rFonts w:cs="Arial"/>
                            <w:b/>
                            <w:bCs/>
                            <w:color w:val="FFFFFF" w:themeColor="light1"/>
                            <w:kern w:val="24"/>
                            <w:sz w:val="32"/>
                            <w:szCs w:val="32"/>
                          </w:rPr>
                          <w:t>Process for calculati</w:t>
                        </w:r>
                        <w:r w:rsidR="008F1452">
                          <w:rPr>
                            <w:rFonts w:cs="Arial"/>
                            <w:b/>
                            <w:bCs/>
                            <w:color w:val="FFFFFF" w:themeColor="light1"/>
                            <w:kern w:val="24"/>
                            <w:sz w:val="32"/>
                            <w:szCs w:val="32"/>
                          </w:rPr>
                          <w:t xml:space="preserve">ng </w:t>
                        </w:r>
                        <w:r>
                          <w:rPr>
                            <w:rFonts w:cs="Arial"/>
                            <w:b/>
                            <w:bCs/>
                            <w:color w:val="FFFFFF" w:themeColor="light1"/>
                            <w:kern w:val="24"/>
                            <w:sz w:val="32"/>
                            <w:szCs w:val="32"/>
                          </w:rPr>
                          <w:t xml:space="preserve">the </w:t>
                        </w:r>
                        <w:r w:rsidR="007A19BD">
                          <w:rPr>
                            <w:rFonts w:cs="Arial"/>
                            <w:b/>
                            <w:bCs/>
                            <w:color w:val="FFFFFF" w:themeColor="light1"/>
                            <w:kern w:val="24"/>
                            <w:sz w:val="32"/>
                            <w:szCs w:val="32"/>
                          </w:rPr>
                          <w:t>a</w:t>
                        </w:r>
                        <w:r>
                          <w:rPr>
                            <w:rFonts w:cs="Arial"/>
                            <w:b/>
                            <w:bCs/>
                            <w:color w:val="FFFFFF" w:themeColor="light1"/>
                            <w:kern w:val="24"/>
                            <w:sz w:val="32"/>
                            <w:szCs w:val="32"/>
                          </w:rPr>
                          <w:t xml:space="preserve">nnual </w:t>
                        </w:r>
                        <w:r w:rsidR="007A19BD">
                          <w:rPr>
                            <w:rFonts w:cs="Arial"/>
                            <w:b/>
                            <w:bCs/>
                            <w:color w:val="FFFFFF" w:themeColor="light1"/>
                            <w:kern w:val="24"/>
                            <w:sz w:val="32"/>
                            <w:szCs w:val="32"/>
                          </w:rPr>
                          <w:t>a</w:t>
                        </w:r>
                        <w:r>
                          <w:rPr>
                            <w:rFonts w:cs="Arial"/>
                            <w:b/>
                            <w:bCs/>
                            <w:color w:val="FFFFFF" w:themeColor="light1"/>
                            <w:kern w:val="24"/>
                            <w:sz w:val="32"/>
                            <w:szCs w:val="32"/>
                          </w:rPr>
                          <w:t xml:space="preserve">llowance </w:t>
                        </w:r>
                        <w:r w:rsidR="004C0B59">
                          <w:rPr>
                            <w:rFonts w:cs="Arial"/>
                            <w:b/>
                            <w:bCs/>
                            <w:color w:val="FFFFFF" w:themeColor="light1"/>
                            <w:kern w:val="24"/>
                            <w:sz w:val="32"/>
                            <w:szCs w:val="32"/>
                          </w:rPr>
                          <w:t>factsheet</w:t>
                        </w:r>
                      </w:p>
                    </w:txbxContent>
                  </v:textbox>
                </v:rect>
                <w10:wrap anchorx="margin" anchory="page"/>
              </v:group>
            </w:pict>
          </mc:Fallback>
        </mc:AlternateContent>
      </w:r>
    </w:p>
    <w:p w14:paraId="549FB8EC" w14:textId="77777777" w:rsidR="001432E2" w:rsidRDefault="001432E2" w:rsidP="001B66E8">
      <w:pPr>
        <w:pStyle w:val="Default"/>
        <w:spacing w:line="276" w:lineRule="auto"/>
      </w:pPr>
    </w:p>
    <w:p w14:paraId="0624A0F6" w14:textId="48576A5F" w:rsidR="001432E2" w:rsidRDefault="001432E2" w:rsidP="001B66E8">
      <w:pPr>
        <w:pStyle w:val="Default"/>
        <w:spacing w:line="276" w:lineRule="auto"/>
      </w:pPr>
    </w:p>
    <w:p w14:paraId="165BAA07" w14:textId="77777777" w:rsidR="001432E2" w:rsidRDefault="001432E2" w:rsidP="001B66E8">
      <w:pPr>
        <w:pStyle w:val="Default"/>
        <w:spacing w:line="276" w:lineRule="auto"/>
      </w:pPr>
    </w:p>
    <w:p w14:paraId="0D96027F" w14:textId="77777777" w:rsidR="001432E2" w:rsidRDefault="001432E2" w:rsidP="001B66E8">
      <w:pPr>
        <w:pStyle w:val="Default"/>
        <w:spacing w:line="276" w:lineRule="auto"/>
      </w:pPr>
    </w:p>
    <w:p w14:paraId="134FFDFA" w14:textId="77777777" w:rsidR="001432E2" w:rsidRDefault="001432E2" w:rsidP="001B66E8">
      <w:pPr>
        <w:pStyle w:val="Default"/>
        <w:spacing w:line="276" w:lineRule="auto"/>
      </w:pPr>
    </w:p>
    <w:p w14:paraId="6C34D8F9" w14:textId="77777777" w:rsidR="001432E2" w:rsidRDefault="001432E2" w:rsidP="001B66E8">
      <w:pPr>
        <w:pStyle w:val="Default"/>
        <w:spacing w:line="276" w:lineRule="auto"/>
      </w:pPr>
    </w:p>
    <w:p w14:paraId="64081DA8" w14:textId="426DA63D" w:rsidR="001B66E8" w:rsidRDefault="001B66E8" w:rsidP="001B66E8">
      <w:pPr>
        <w:pStyle w:val="Default"/>
        <w:spacing w:line="276" w:lineRule="auto"/>
      </w:pPr>
      <w:r w:rsidRPr="00622505">
        <w:rPr>
          <w:b/>
          <w:bCs/>
        </w:rPr>
        <w:t xml:space="preserve">The </w:t>
      </w:r>
      <w:r w:rsidR="004D78E7">
        <w:rPr>
          <w:b/>
          <w:bCs/>
        </w:rPr>
        <w:t>a</w:t>
      </w:r>
      <w:r w:rsidRPr="00622505">
        <w:rPr>
          <w:b/>
          <w:bCs/>
        </w:rPr>
        <w:t xml:space="preserve">nnual </w:t>
      </w:r>
      <w:r w:rsidR="004D78E7">
        <w:rPr>
          <w:b/>
          <w:bCs/>
        </w:rPr>
        <w:t>a</w:t>
      </w:r>
      <w:r w:rsidRPr="00622505">
        <w:rPr>
          <w:b/>
          <w:bCs/>
        </w:rPr>
        <w:t>llowance</w:t>
      </w:r>
      <w:r w:rsidR="00622505">
        <w:t>:</w:t>
      </w:r>
      <w:r w:rsidRPr="009B2ED0">
        <w:t xml:space="preserve"> is calculated by deducting the opening value of a </w:t>
      </w:r>
      <w:r w:rsidR="00BF516A" w:rsidRPr="009B2ED0">
        <w:t>member’s</w:t>
      </w:r>
      <w:r w:rsidRPr="009B2ED0">
        <w:t xml:space="preserve"> benefits, adjusted for inflation, from the closin</w:t>
      </w:r>
      <w:r>
        <w:t>g value of the members benefits in any tax year.</w:t>
      </w:r>
    </w:p>
    <w:p w14:paraId="2666B509" w14:textId="77777777" w:rsidR="001B66E8" w:rsidRPr="009B2ED0" w:rsidRDefault="001B66E8" w:rsidP="001B66E8">
      <w:pPr>
        <w:pStyle w:val="Default"/>
        <w:spacing w:line="276" w:lineRule="auto"/>
      </w:pPr>
      <w:r w:rsidRPr="009B2ED0">
        <w:t xml:space="preserve"> </w:t>
      </w:r>
    </w:p>
    <w:p w14:paraId="4D3BEF8A" w14:textId="0B9E9503" w:rsidR="001B66E8" w:rsidRPr="009B2ED0" w:rsidRDefault="001B66E8" w:rsidP="001B66E8">
      <w:pPr>
        <w:pStyle w:val="Default"/>
        <w:spacing w:line="276" w:lineRule="auto"/>
      </w:pPr>
      <w:r w:rsidRPr="00622505">
        <w:rPr>
          <w:b/>
          <w:bCs/>
        </w:rPr>
        <w:t>The opening value</w:t>
      </w:r>
      <w:r w:rsidR="00622505">
        <w:t>:</w:t>
      </w:r>
      <w:r w:rsidRPr="009B2ED0">
        <w:t xml:space="preserve"> the value of a member</w:t>
      </w:r>
      <w:r w:rsidR="00CB49F1">
        <w:t>’</w:t>
      </w:r>
      <w:r w:rsidRPr="009B2ED0">
        <w:t>s benefits at the beginning of the pension input period converted into a capital value, which is increased by the</w:t>
      </w:r>
      <w:r w:rsidR="00622505">
        <w:t xml:space="preserve"> Consumer Price Index</w:t>
      </w:r>
      <w:r w:rsidRPr="009B2ED0">
        <w:t xml:space="preserve"> </w:t>
      </w:r>
      <w:r w:rsidR="00622505">
        <w:t>(</w:t>
      </w:r>
      <w:r w:rsidRPr="009B2ED0">
        <w:t>CPI</w:t>
      </w:r>
      <w:r w:rsidR="00622505">
        <w:t>)</w:t>
      </w:r>
      <w:r w:rsidRPr="009B2ED0">
        <w:t xml:space="preserve"> from the previous September. </w:t>
      </w:r>
    </w:p>
    <w:p w14:paraId="0F614FBC" w14:textId="77777777" w:rsidR="001B66E8" w:rsidRPr="009B2ED0" w:rsidRDefault="001B66E8" w:rsidP="001B66E8">
      <w:pPr>
        <w:pStyle w:val="Default"/>
        <w:spacing w:line="276" w:lineRule="auto"/>
      </w:pPr>
    </w:p>
    <w:p w14:paraId="233CA788" w14:textId="69229270" w:rsidR="001B66E8" w:rsidRPr="009B2ED0" w:rsidRDefault="001B66E8" w:rsidP="001B66E8">
      <w:pPr>
        <w:pStyle w:val="Default"/>
        <w:spacing w:line="276" w:lineRule="auto"/>
      </w:pPr>
      <w:r w:rsidRPr="00622505">
        <w:rPr>
          <w:b/>
          <w:bCs/>
        </w:rPr>
        <w:t>The closing value</w:t>
      </w:r>
      <w:r w:rsidR="00622505" w:rsidRPr="00622505">
        <w:t>:</w:t>
      </w:r>
      <w:r w:rsidRPr="009B2ED0">
        <w:t xml:space="preserve"> the value of a member</w:t>
      </w:r>
      <w:r w:rsidR="00CB49F1">
        <w:t>’</w:t>
      </w:r>
      <w:r w:rsidRPr="009B2ED0">
        <w:t xml:space="preserve">s benefits at the end of the pension input period converted into a capital value. </w:t>
      </w:r>
    </w:p>
    <w:p w14:paraId="68F3C3C7" w14:textId="77777777" w:rsidR="001B66E8" w:rsidRPr="009B2ED0" w:rsidRDefault="001B66E8" w:rsidP="001B66E8">
      <w:pPr>
        <w:pStyle w:val="Default"/>
        <w:spacing w:line="276" w:lineRule="auto"/>
      </w:pPr>
    </w:p>
    <w:p w14:paraId="6AAA8C0C" w14:textId="038F54FF" w:rsidR="001B66E8" w:rsidRPr="009B2ED0" w:rsidRDefault="001B66E8" w:rsidP="001B66E8">
      <w:pPr>
        <w:pStyle w:val="Default"/>
        <w:spacing w:line="276" w:lineRule="auto"/>
      </w:pPr>
      <w:r w:rsidRPr="00622505">
        <w:rPr>
          <w:b/>
          <w:bCs/>
        </w:rPr>
        <w:t>The pension input period (PIP)</w:t>
      </w:r>
      <w:r w:rsidR="00622505" w:rsidRPr="00622505">
        <w:t>:</w:t>
      </w:r>
      <w:r w:rsidRPr="009B2ED0">
        <w:t xml:space="preserve"> is the period over which growth in a </w:t>
      </w:r>
      <w:r w:rsidR="00BF516A" w:rsidRPr="009B2ED0">
        <w:t>member’s</w:t>
      </w:r>
      <w:r w:rsidRPr="009B2ED0">
        <w:t xml:space="preserve"> pension saving is assessed; the pension input period for both the NHS Pension Scheme and NHS AVC Scheme is 1 April to the following 31 March</w:t>
      </w:r>
      <w:r>
        <w:t xml:space="preserve"> until 31 March 2015</w:t>
      </w:r>
      <w:r w:rsidRPr="009B2ED0">
        <w:t xml:space="preserve">. </w:t>
      </w:r>
      <w:r>
        <w:t>From 1 April 2015, the PIP was changed to end on 5 April 2016 and subsequent PIP’s will run from 6 April to the following 5 April.</w:t>
      </w:r>
    </w:p>
    <w:p w14:paraId="2BCB91A3" w14:textId="77777777" w:rsidR="001B66E8" w:rsidRDefault="001B66E8" w:rsidP="001B66E8">
      <w:pPr>
        <w:rPr>
          <w:rFonts w:cs="Arial"/>
        </w:rPr>
      </w:pPr>
    </w:p>
    <w:p w14:paraId="3B9ED58F" w14:textId="2CBC5E27" w:rsidR="001B66E8" w:rsidRPr="00672EFC" w:rsidRDefault="001B66E8" w:rsidP="001B66E8">
      <w:pPr>
        <w:rPr>
          <w:rFonts w:cs="Arial"/>
        </w:rPr>
      </w:pPr>
      <w:r w:rsidRPr="00622505">
        <w:rPr>
          <w:rFonts w:cs="Arial"/>
          <w:b/>
          <w:bCs/>
        </w:rPr>
        <w:t>The pension input amount (PIA)</w:t>
      </w:r>
      <w:r w:rsidR="00622505" w:rsidRPr="00622505">
        <w:rPr>
          <w:rFonts w:cs="Arial"/>
        </w:rPr>
        <w:t>:</w:t>
      </w:r>
      <w:r w:rsidRPr="00672EFC">
        <w:rPr>
          <w:rFonts w:cs="Arial"/>
        </w:rPr>
        <w:t xml:space="preserve"> the monetary amount a </w:t>
      </w:r>
      <w:r w:rsidR="00BF516A" w:rsidRPr="00672EFC">
        <w:rPr>
          <w:rFonts w:cs="Arial"/>
        </w:rPr>
        <w:t>member’s</w:t>
      </w:r>
      <w:r w:rsidRPr="00672EFC">
        <w:rPr>
          <w:rFonts w:cs="Arial"/>
        </w:rPr>
        <w:t xml:space="preserve"> savings have grown by in the pension input period and is calculated by determining the difference between the opening and closing values.</w:t>
      </w:r>
    </w:p>
    <w:p w14:paraId="5773A364" w14:textId="77777777" w:rsidR="001B66E8" w:rsidRPr="00672EFC" w:rsidRDefault="001B66E8" w:rsidP="001B66E8">
      <w:pPr>
        <w:pStyle w:val="Default"/>
        <w:spacing w:line="276" w:lineRule="auto"/>
      </w:pPr>
    </w:p>
    <w:p w14:paraId="0A50285F" w14:textId="7849CE77" w:rsidR="001B66E8" w:rsidRPr="00672EFC" w:rsidRDefault="001B66E8" w:rsidP="00AD3EF7">
      <w:pPr>
        <w:pStyle w:val="Heading2"/>
        <w:spacing w:after="240"/>
      </w:pPr>
      <w:r w:rsidRPr="00672EFC">
        <w:t xml:space="preserve">Pension </w:t>
      </w:r>
      <w:r w:rsidR="00622505">
        <w:t>i</w:t>
      </w:r>
      <w:r w:rsidRPr="00672EFC">
        <w:t xml:space="preserve">nput </w:t>
      </w:r>
      <w:r w:rsidR="00622505">
        <w:t>a</w:t>
      </w:r>
      <w:r w:rsidRPr="00672EFC">
        <w:t xml:space="preserve">mount </w:t>
      </w:r>
      <w:r w:rsidR="00622505">
        <w:t>c</w:t>
      </w:r>
      <w:r w:rsidRPr="00672EFC">
        <w:t xml:space="preserve">alculations </w:t>
      </w:r>
    </w:p>
    <w:p w14:paraId="1054C8F3" w14:textId="204B86C8" w:rsidR="001B66E8" w:rsidRPr="00672EFC" w:rsidRDefault="001B66E8" w:rsidP="001B66E8">
      <w:pPr>
        <w:pStyle w:val="Default"/>
        <w:spacing w:line="276" w:lineRule="auto"/>
      </w:pPr>
      <w:r w:rsidRPr="00672EFC">
        <w:t xml:space="preserve">The pension input amount is the increase or growth in the value of a member’s benefits over the pension input period. The amount of benefit growth in the NHS Pension Scheme is not based on the amount of employee or employer contributions </w:t>
      </w:r>
      <w:proofErr w:type="gramStart"/>
      <w:r w:rsidR="00242BAE" w:rsidRPr="00672EFC">
        <w:t>paid</w:t>
      </w:r>
      <w:r w:rsidR="00242BAE">
        <w:t>,</w:t>
      </w:r>
      <w:r w:rsidR="00242BAE" w:rsidRPr="00672EFC">
        <w:t xml:space="preserve"> but</w:t>
      </w:r>
      <w:proofErr w:type="gramEnd"/>
      <w:r w:rsidRPr="00672EFC">
        <w:t xml:space="preserve"> is the difference between the value of benefits at the start of the pension input period (the opening value) compared with the value at the end of the pension input period (the closing value). </w:t>
      </w:r>
    </w:p>
    <w:p w14:paraId="1FADCF0C" w14:textId="77777777" w:rsidR="001B66E8" w:rsidRPr="00672EFC" w:rsidRDefault="001B66E8" w:rsidP="001B66E8">
      <w:pPr>
        <w:pStyle w:val="Default"/>
        <w:spacing w:line="276" w:lineRule="auto"/>
      </w:pPr>
    </w:p>
    <w:p w14:paraId="69ECBEBF" w14:textId="74710AA1" w:rsidR="001B66E8" w:rsidRPr="00672EFC" w:rsidRDefault="001B66E8" w:rsidP="001B66E8">
      <w:pPr>
        <w:pStyle w:val="Default"/>
        <w:spacing w:line="276" w:lineRule="auto"/>
      </w:pPr>
      <w:r w:rsidRPr="00622505">
        <w:rPr>
          <w:b/>
          <w:bCs/>
        </w:rPr>
        <w:t>The relevant tax year</w:t>
      </w:r>
      <w:r w:rsidR="00622505" w:rsidRPr="00622505">
        <w:rPr>
          <w:b/>
          <w:bCs/>
        </w:rPr>
        <w:t>:</w:t>
      </w:r>
      <w:r w:rsidRPr="00672EFC">
        <w:t xml:space="preserve"> the year in which the pension input period ends. </w:t>
      </w:r>
    </w:p>
    <w:p w14:paraId="3A5E98DA" w14:textId="77777777" w:rsidR="001B66E8" w:rsidRPr="00672EFC" w:rsidRDefault="001B66E8" w:rsidP="001B66E8">
      <w:pPr>
        <w:pStyle w:val="Default"/>
        <w:spacing w:line="276" w:lineRule="auto"/>
      </w:pPr>
    </w:p>
    <w:p w14:paraId="5A1AB983" w14:textId="36F33E9E" w:rsidR="001B66E8" w:rsidRDefault="001B66E8" w:rsidP="001B66E8">
      <w:pPr>
        <w:pStyle w:val="Default"/>
        <w:spacing w:line="276" w:lineRule="auto"/>
      </w:pPr>
      <w:r w:rsidRPr="00672EFC">
        <w:t xml:space="preserve">A member has a pension input amount if they were active for all or part of the pension input period. This includes if they cease active membership during the pension input </w:t>
      </w:r>
      <w:r w:rsidRPr="00672EFC">
        <w:lastRenderedPageBreak/>
        <w:t>period, for example, where they leave the Scheme to defer, to retire</w:t>
      </w:r>
      <w:r w:rsidR="00622505">
        <w:t>,</w:t>
      </w:r>
      <w:r w:rsidRPr="00672EFC">
        <w:t xml:space="preserve"> or transfer out their NHS benefits. </w:t>
      </w:r>
    </w:p>
    <w:p w14:paraId="76680F5A" w14:textId="77777777" w:rsidR="006D711C" w:rsidRPr="00672EFC" w:rsidRDefault="006D711C" w:rsidP="001B66E8">
      <w:pPr>
        <w:pStyle w:val="Default"/>
        <w:spacing w:line="276" w:lineRule="auto"/>
      </w:pPr>
    </w:p>
    <w:p w14:paraId="4A2C2D14" w14:textId="0184B39F" w:rsidR="001B66E8" w:rsidRPr="002C55D8" w:rsidRDefault="001B66E8" w:rsidP="001B66E8">
      <w:pPr>
        <w:pStyle w:val="Heading3"/>
      </w:pPr>
      <w:r w:rsidRPr="002C55D8">
        <w:t xml:space="preserve">The opening value </w:t>
      </w:r>
    </w:p>
    <w:p w14:paraId="1BCA3B40" w14:textId="77777777" w:rsidR="001B66E8" w:rsidRPr="00672EFC" w:rsidRDefault="001B66E8" w:rsidP="001B66E8">
      <w:pPr>
        <w:pStyle w:val="Default"/>
        <w:spacing w:line="276" w:lineRule="auto"/>
      </w:pPr>
    </w:p>
    <w:p w14:paraId="384FB7B4" w14:textId="1EDEC550" w:rsidR="001B66E8" w:rsidRPr="00672EFC" w:rsidRDefault="001B66E8" w:rsidP="001B66E8">
      <w:pPr>
        <w:pStyle w:val="Default"/>
        <w:spacing w:line="276" w:lineRule="auto"/>
      </w:pPr>
      <w:r w:rsidRPr="00672EFC">
        <w:t>The opening value is determined as follows</w:t>
      </w:r>
      <w:r w:rsidR="00622505">
        <w:t>:</w:t>
      </w:r>
    </w:p>
    <w:p w14:paraId="654749BB" w14:textId="77777777" w:rsidR="001B66E8" w:rsidRPr="00672EFC" w:rsidRDefault="001B66E8" w:rsidP="001B66E8">
      <w:pPr>
        <w:pStyle w:val="Default"/>
        <w:spacing w:line="276" w:lineRule="auto"/>
      </w:pPr>
    </w:p>
    <w:p w14:paraId="7AE486DD" w14:textId="77777777" w:rsidR="001B66E8" w:rsidRPr="00672EFC" w:rsidRDefault="001B66E8" w:rsidP="001B66E8">
      <w:pPr>
        <w:pStyle w:val="Default"/>
        <w:numPr>
          <w:ilvl w:val="0"/>
          <w:numId w:val="19"/>
        </w:numPr>
        <w:spacing w:line="276" w:lineRule="auto"/>
      </w:pPr>
      <w:r w:rsidRPr="00672EFC">
        <w:t xml:space="preserve">Calculate the member’s NHS benefits up to the day before the beginning of pension input period. </w:t>
      </w:r>
    </w:p>
    <w:p w14:paraId="2C16B6C3" w14:textId="77777777" w:rsidR="001B66E8" w:rsidRPr="00672EFC" w:rsidRDefault="001B66E8" w:rsidP="001B66E8">
      <w:pPr>
        <w:pStyle w:val="Default"/>
        <w:spacing w:line="276" w:lineRule="auto"/>
      </w:pPr>
    </w:p>
    <w:p w14:paraId="7E6E0EA8" w14:textId="77777777" w:rsidR="001B66E8" w:rsidRPr="00672EFC" w:rsidRDefault="001B66E8" w:rsidP="001B66E8">
      <w:pPr>
        <w:pStyle w:val="Default"/>
        <w:numPr>
          <w:ilvl w:val="0"/>
          <w:numId w:val="19"/>
        </w:numPr>
        <w:spacing w:line="276" w:lineRule="auto"/>
      </w:pPr>
      <w:r w:rsidRPr="00672EFC">
        <w:t xml:space="preserve">Multiply the annual pension by 16. </w:t>
      </w:r>
    </w:p>
    <w:p w14:paraId="5F354F98" w14:textId="77777777" w:rsidR="001B66E8" w:rsidRPr="00672EFC" w:rsidRDefault="001B66E8" w:rsidP="001B66E8">
      <w:pPr>
        <w:pStyle w:val="ListParagraph"/>
      </w:pPr>
    </w:p>
    <w:p w14:paraId="5A671577" w14:textId="77777777" w:rsidR="00622505" w:rsidRDefault="00622505" w:rsidP="00622505">
      <w:pPr>
        <w:pStyle w:val="Default"/>
        <w:numPr>
          <w:ilvl w:val="0"/>
          <w:numId w:val="19"/>
        </w:numPr>
        <w:spacing w:line="276" w:lineRule="auto"/>
      </w:pPr>
    </w:p>
    <w:p w14:paraId="432A0031" w14:textId="77777777" w:rsidR="00622505" w:rsidRDefault="001B66E8" w:rsidP="00622505">
      <w:pPr>
        <w:pStyle w:val="Default"/>
        <w:numPr>
          <w:ilvl w:val="0"/>
          <w:numId w:val="23"/>
        </w:numPr>
        <w:spacing w:line="276" w:lineRule="auto"/>
      </w:pPr>
      <w:r w:rsidRPr="00672EFC">
        <w:t>For a 1995 Section member</w:t>
      </w:r>
      <w:r w:rsidR="00622505">
        <w:t>,</w:t>
      </w:r>
      <w:r w:rsidRPr="00672EFC">
        <w:t xml:space="preserve"> calculate their lump sum and add this to the amount at step 2. </w:t>
      </w:r>
    </w:p>
    <w:p w14:paraId="70944DA3" w14:textId="77777777" w:rsidR="00622505" w:rsidRDefault="001B66E8" w:rsidP="00622505">
      <w:pPr>
        <w:pStyle w:val="Default"/>
        <w:numPr>
          <w:ilvl w:val="0"/>
          <w:numId w:val="23"/>
        </w:numPr>
        <w:spacing w:line="276" w:lineRule="auto"/>
      </w:pPr>
      <w:r w:rsidRPr="00672EFC">
        <w:t xml:space="preserve">For a 2008 </w:t>
      </w:r>
      <w:r>
        <w:t>S</w:t>
      </w:r>
      <w:r w:rsidRPr="00672EFC">
        <w:t xml:space="preserve">ection member there will be no lump sum calculated, even if they made the Choice to move from the 1995 to the 2008 Section. </w:t>
      </w:r>
    </w:p>
    <w:p w14:paraId="29621D3B" w14:textId="18DCFAF5" w:rsidR="001B66E8" w:rsidRPr="00672EFC" w:rsidRDefault="001B66E8" w:rsidP="00622505">
      <w:pPr>
        <w:pStyle w:val="Default"/>
        <w:numPr>
          <w:ilvl w:val="0"/>
          <w:numId w:val="23"/>
        </w:numPr>
        <w:spacing w:line="276" w:lineRule="auto"/>
      </w:pPr>
      <w:r>
        <w:t>For a 2015 Scheme member there is no lump sum.</w:t>
      </w:r>
    </w:p>
    <w:p w14:paraId="34082691" w14:textId="77777777" w:rsidR="001B66E8" w:rsidRPr="00672EFC" w:rsidRDefault="001B66E8" w:rsidP="001B66E8">
      <w:pPr>
        <w:pStyle w:val="Default"/>
        <w:spacing w:line="276" w:lineRule="auto"/>
      </w:pPr>
    </w:p>
    <w:p w14:paraId="37BC631D" w14:textId="3C9558B2" w:rsidR="001B66E8" w:rsidRPr="00672EFC" w:rsidRDefault="001B66E8" w:rsidP="001B66E8">
      <w:pPr>
        <w:pStyle w:val="Default"/>
        <w:numPr>
          <w:ilvl w:val="0"/>
          <w:numId w:val="19"/>
        </w:numPr>
        <w:spacing w:line="276" w:lineRule="auto"/>
      </w:pPr>
      <w:r w:rsidRPr="00672EFC">
        <w:t xml:space="preserve">Increase the total after step 3 by the CPI. </w:t>
      </w:r>
    </w:p>
    <w:p w14:paraId="51333297" w14:textId="77777777" w:rsidR="001B66E8" w:rsidRPr="00672EFC" w:rsidRDefault="001B66E8" w:rsidP="001B66E8">
      <w:pPr>
        <w:pStyle w:val="Default"/>
        <w:spacing w:line="276" w:lineRule="auto"/>
      </w:pPr>
    </w:p>
    <w:p w14:paraId="3428A9A4" w14:textId="77777777" w:rsidR="001B66E8" w:rsidRPr="00672EFC" w:rsidRDefault="001B66E8" w:rsidP="001B66E8">
      <w:pPr>
        <w:pStyle w:val="Default"/>
        <w:spacing w:line="276" w:lineRule="auto"/>
        <w:ind w:firstLine="720"/>
      </w:pPr>
      <w:r w:rsidRPr="00672EFC">
        <w:t>Below is a table of the CPI increases used for Annual Allowance.</w:t>
      </w:r>
    </w:p>
    <w:p w14:paraId="1700C9CE" w14:textId="77777777" w:rsidR="001B66E8" w:rsidRDefault="001B66E8" w:rsidP="001B66E8">
      <w:pPr>
        <w:pStyle w:val="Default"/>
        <w:ind w:firstLine="720"/>
        <w:rPr>
          <w:sz w:val="20"/>
          <w:szCs w:val="20"/>
        </w:rPr>
      </w:pPr>
      <w:r>
        <w:rPr>
          <w:sz w:val="23"/>
          <w:szCs w:val="23"/>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92"/>
      </w:tblGrid>
      <w:tr w:rsidR="001B66E8" w14:paraId="647DE85F" w14:textId="77777777" w:rsidTr="00AD3EF7">
        <w:trPr>
          <w:trHeight w:val="388"/>
          <w:jc w:val="center"/>
        </w:trPr>
        <w:tc>
          <w:tcPr>
            <w:tcW w:w="2122" w:type="dxa"/>
          </w:tcPr>
          <w:p w14:paraId="144A936B" w14:textId="77777777" w:rsidR="001B66E8" w:rsidRPr="00672EFC" w:rsidRDefault="001B66E8" w:rsidP="00D54D14">
            <w:pPr>
              <w:pStyle w:val="Default"/>
              <w:rPr>
                <w:b/>
              </w:rPr>
            </w:pPr>
            <w:r w:rsidRPr="00672EFC">
              <w:rPr>
                <w:b/>
              </w:rPr>
              <w:t xml:space="preserve">Tax year of Pension Input Period </w:t>
            </w:r>
          </w:p>
        </w:tc>
        <w:tc>
          <w:tcPr>
            <w:tcW w:w="992" w:type="dxa"/>
          </w:tcPr>
          <w:p w14:paraId="0C063076" w14:textId="77777777" w:rsidR="001B66E8" w:rsidRPr="00672EFC" w:rsidRDefault="001B66E8" w:rsidP="00D54D14">
            <w:pPr>
              <w:pStyle w:val="Default"/>
              <w:rPr>
                <w:b/>
              </w:rPr>
            </w:pPr>
            <w:r w:rsidRPr="00672EFC">
              <w:rPr>
                <w:b/>
              </w:rPr>
              <w:t xml:space="preserve">CPI </w:t>
            </w:r>
          </w:p>
        </w:tc>
      </w:tr>
      <w:tr w:rsidR="001B66E8" w14:paraId="612332EE" w14:textId="77777777" w:rsidTr="00AD3EF7">
        <w:trPr>
          <w:trHeight w:val="112"/>
          <w:jc w:val="center"/>
        </w:trPr>
        <w:tc>
          <w:tcPr>
            <w:tcW w:w="2122" w:type="dxa"/>
          </w:tcPr>
          <w:p w14:paraId="4D48659E" w14:textId="17D5F515" w:rsidR="001B66E8" w:rsidRPr="00672EFC" w:rsidRDefault="001B66E8" w:rsidP="00D54D14">
            <w:pPr>
              <w:pStyle w:val="Default"/>
            </w:pPr>
            <w:r w:rsidRPr="00672EFC">
              <w:t xml:space="preserve">2008/9 </w:t>
            </w:r>
          </w:p>
        </w:tc>
        <w:tc>
          <w:tcPr>
            <w:tcW w:w="992" w:type="dxa"/>
          </w:tcPr>
          <w:p w14:paraId="6D6F47D2" w14:textId="77777777" w:rsidR="001B66E8" w:rsidRPr="00672EFC" w:rsidRDefault="001B66E8" w:rsidP="00D54D14">
            <w:pPr>
              <w:pStyle w:val="Default"/>
            </w:pPr>
            <w:r w:rsidRPr="00672EFC">
              <w:t xml:space="preserve">1.8% </w:t>
            </w:r>
          </w:p>
        </w:tc>
      </w:tr>
      <w:tr w:rsidR="001B66E8" w14:paraId="551D9408" w14:textId="77777777" w:rsidTr="00AD3EF7">
        <w:trPr>
          <w:trHeight w:val="112"/>
          <w:jc w:val="center"/>
        </w:trPr>
        <w:tc>
          <w:tcPr>
            <w:tcW w:w="2122" w:type="dxa"/>
          </w:tcPr>
          <w:p w14:paraId="1E65C72E" w14:textId="77777777" w:rsidR="001B66E8" w:rsidRPr="00672EFC" w:rsidRDefault="001B66E8" w:rsidP="00D54D14">
            <w:pPr>
              <w:pStyle w:val="Default"/>
            </w:pPr>
            <w:r w:rsidRPr="00672EFC">
              <w:t xml:space="preserve">2009/10 </w:t>
            </w:r>
          </w:p>
        </w:tc>
        <w:tc>
          <w:tcPr>
            <w:tcW w:w="992" w:type="dxa"/>
          </w:tcPr>
          <w:p w14:paraId="4196E6B5" w14:textId="77777777" w:rsidR="001B66E8" w:rsidRPr="00672EFC" w:rsidRDefault="001B66E8" w:rsidP="00D54D14">
            <w:pPr>
              <w:pStyle w:val="Default"/>
            </w:pPr>
            <w:r w:rsidRPr="00672EFC">
              <w:t xml:space="preserve">5.2% </w:t>
            </w:r>
          </w:p>
        </w:tc>
      </w:tr>
      <w:tr w:rsidR="001B66E8" w14:paraId="1773A34E" w14:textId="77777777" w:rsidTr="00AD3EF7">
        <w:trPr>
          <w:trHeight w:val="112"/>
          <w:jc w:val="center"/>
        </w:trPr>
        <w:tc>
          <w:tcPr>
            <w:tcW w:w="2122" w:type="dxa"/>
          </w:tcPr>
          <w:p w14:paraId="6AC4CE6C" w14:textId="77777777" w:rsidR="001B66E8" w:rsidRPr="00672EFC" w:rsidRDefault="001B66E8" w:rsidP="00D54D14">
            <w:pPr>
              <w:pStyle w:val="Default"/>
            </w:pPr>
            <w:r w:rsidRPr="00672EFC">
              <w:t xml:space="preserve">2010/11 </w:t>
            </w:r>
          </w:p>
        </w:tc>
        <w:tc>
          <w:tcPr>
            <w:tcW w:w="992" w:type="dxa"/>
          </w:tcPr>
          <w:p w14:paraId="1B2FE512" w14:textId="77777777" w:rsidR="001B66E8" w:rsidRPr="00672EFC" w:rsidRDefault="001B66E8" w:rsidP="00D54D14">
            <w:pPr>
              <w:pStyle w:val="Default"/>
            </w:pPr>
            <w:r w:rsidRPr="00672EFC">
              <w:t xml:space="preserve">1.1% </w:t>
            </w:r>
          </w:p>
        </w:tc>
      </w:tr>
      <w:tr w:rsidR="001B66E8" w14:paraId="5E99AFEE" w14:textId="77777777" w:rsidTr="00AD3EF7">
        <w:trPr>
          <w:trHeight w:val="112"/>
          <w:jc w:val="center"/>
        </w:trPr>
        <w:tc>
          <w:tcPr>
            <w:tcW w:w="2122" w:type="dxa"/>
          </w:tcPr>
          <w:p w14:paraId="4A4CB0EA" w14:textId="77777777" w:rsidR="001B66E8" w:rsidRPr="00672EFC" w:rsidRDefault="001B66E8" w:rsidP="00D54D14">
            <w:pPr>
              <w:pStyle w:val="Default"/>
            </w:pPr>
            <w:r w:rsidRPr="00672EFC">
              <w:t xml:space="preserve">2011/12 </w:t>
            </w:r>
          </w:p>
        </w:tc>
        <w:tc>
          <w:tcPr>
            <w:tcW w:w="992" w:type="dxa"/>
          </w:tcPr>
          <w:p w14:paraId="7B2BE914" w14:textId="77777777" w:rsidR="001B66E8" w:rsidRPr="00672EFC" w:rsidRDefault="001B66E8" w:rsidP="00D54D14">
            <w:pPr>
              <w:pStyle w:val="Default"/>
            </w:pPr>
            <w:r w:rsidRPr="00672EFC">
              <w:t xml:space="preserve">3.1% </w:t>
            </w:r>
          </w:p>
        </w:tc>
      </w:tr>
      <w:tr w:rsidR="001B66E8" w14:paraId="5F2F20F7" w14:textId="77777777" w:rsidTr="00AD3EF7">
        <w:trPr>
          <w:trHeight w:val="112"/>
          <w:jc w:val="center"/>
        </w:trPr>
        <w:tc>
          <w:tcPr>
            <w:tcW w:w="2122" w:type="dxa"/>
          </w:tcPr>
          <w:p w14:paraId="48FF2D7A" w14:textId="77777777" w:rsidR="001B66E8" w:rsidRPr="00672EFC" w:rsidRDefault="001B66E8" w:rsidP="00D54D14">
            <w:pPr>
              <w:pStyle w:val="Default"/>
            </w:pPr>
            <w:r w:rsidRPr="00672EFC">
              <w:t xml:space="preserve">2012/13 </w:t>
            </w:r>
          </w:p>
        </w:tc>
        <w:tc>
          <w:tcPr>
            <w:tcW w:w="992" w:type="dxa"/>
          </w:tcPr>
          <w:p w14:paraId="0080905E" w14:textId="77777777" w:rsidR="001B66E8" w:rsidRPr="00672EFC" w:rsidRDefault="001B66E8" w:rsidP="00D54D14">
            <w:pPr>
              <w:pStyle w:val="Default"/>
            </w:pPr>
            <w:r w:rsidRPr="00672EFC">
              <w:t xml:space="preserve">5.2% </w:t>
            </w:r>
          </w:p>
        </w:tc>
      </w:tr>
      <w:tr w:rsidR="001B66E8" w14:paraId="61EC3BCF" w14:textId="77777777" w:rsidTr="00AD3EF7">
        <w:trPr>
          <w:trHeight w:val="112"/>
          <w:jc w:val="center"/>
        </w:trPr>
        <w:tc>
          <w:tcPr>
            <w:tcW w:w="2122" w:type="dxa"/>
          </w:tcPr>
          <w:p w14:paraId="2E109420" w14:textId="77777777" w:rsidR="001B66E8" w:rsidRPr="00672EFC" w:rsidRDefault="001B66E8" w:rsidP="00D54D14">
            <w:pPr>
              <w:pStyle w:val="Default"/>
            </w:pPr>
            <w:r w:rsidRPr="00672EFC">
              <w:t xml:space="preserve">2013/14 </w:t>
            </w:r>
          </w:p>
        </w:tc>
        <w:tc>
          <w:tcPr>
            <w:tcW w:w="992" w:type="dxa"/>
          </w:tcPr>
          <w:p w14:paraId="4D0F603F" w14:textId="77777777" w:rsidR="001B66E8" w:rsidRPr="00672EFC" w:rsidRDefault="001B66E8" w:rsidP="00D54D14">
            <w:pPr>
              <w:pStyle w:val="Default"/>
            </w:pPr>
            <w:r w:rsidRPr="00672EFC">
              <w:t xml:space="preserve">2.2% </w:t>
            </w:r>
          </w:p>
        </w:tc>
      </w:tr>
      <w:tr w:rsidR="001B66E8" w14:paraId="2070CF77" w14:textId="77777777" w:rsidTr="00AD3EF7">
        <w:trPr>
          <w:trHeight w:val="112"/>
          <w:jc w:val="center"/>
        </w:trPr>
        <w:tc>
          <w:tcPr>
            <w:tcW w:w="2122" w:type="dxa"/>
          </w:tcPr>
          <w:p w14:paraId="3EBF55C2" w14:textId="77777777" w:rsidR="001B66E8" w:rsidRPr="00672EFC" w:rsidRDefault="001B66E8" w:rsidP="00D54D14">
            <w:pPr>
              <w:pStyle w:val="Default"/>
            </w:pPr>
            <w:r w:rsidRPr="00672EFC">
              <w:t xml:space="preserve">2014/15 </w:t>
            </w:r>
          </w:p>
        </w:tc>
        <w:tc>
          <w:tcPr>
            <w:tcW w:w="992" w:type="dxa"/>
          </w:tcPr>
          <w:p w14:paraId="4D49B9FC" w14:textId="77777777" w:rsidR="001B66E8" w:rsidRPr="00672EFC" w:rsidRDefault="001B66E8" w:rsidP="00D54D14">
            <w:pPr>
              <w:pStyle w:val="Default"/>
            </w:pPr>
            <w:r w:rsidRPr="00672EFC">
              <w:t xml:space="preserve">2.7% </w:t>
            </w:r>
          </w:p>
        </w:tc>
      </w:tr>
      <w:tr w:rsidR="001B66E8" w14:paraId="27B777A1" w14:textId="77777777" w:rsidTr="00AD3EF7">
        <w:trPr>
          <w:trHeight w:val="112"/>
          <w:jc w:val="center"/>
        </w:trPr>
        <w:tc>
          <w:tcPr>
            <w:tcW w:w="2122" w:type="dxa"/>
          </w:tcPr>
          <w:p w14:paraId="22D3D6AF" w14:textId="77777777" w:rsidR="001B66E8" w:rsidRPr="00672EFC" w:rsidRDefault="001B66E8" w:rsidP="00D54D14">
            <w:pPr>
              <w:pStyle w:val="Default"/>
            </w:pPr>
            <w:r>
              <w:t>2015/16</w:t>
            </w:r>
          </w:p>
        </w:tc>
        <w:tc>
          <w:tcPr>
            <w:tcW w:w="992" w:type="dxa"/>
          </w:tcPr>
          <w:p w14:paraId="33DFB1DF" w14:textId="77777777" w:rsidR="001B66E8" w:rsidRPr="00672EFC" w:rsidRDefault="001B66E8" w:rsidP="00D54D14">
            <w:pPr>
              <w:pStyle w:val="Default"/>
            </w:pPr>
            <w:r>
              <w:t>2.5%*</w:t>
            </w:r>
          </w:p>
        </w:tc>
      </w:tr>
      <w:tr w:rsidR="001B66E8" w14:paraId="730DBDE3" w14:textId="77777777" w:rsidTr="00AD3EF7">
        <w:trPr>
          <w:trHeight w:val="112"/>
          <w:jc w:val="center"/>
        </w:trPr>
        <w:tc>
          <w:tcPr>
            <w:tcW w:w="2122" w:type="dxa"/>
          </w:tcPr>
          <w:p w14:paraId="44751722" w14:textId="77777777" w:rsidR="001B66E8" w:rsidRPr="00672EFC" w:rsidRDefault="001B66E8" w:rsidP="00D54D14">
            <w:pPr>
              <w:pStyle w:val="Default"/>
            </w:pPr>
            <w:r>
              <w:t>2016/17</w:t>
            </w:r>
          </w:p>
        </w:tc>
        <w:tc>
          <w:tcPr>
            <w:tcW w:w="992" w:type="dxa"/>
          </w:tcPr>
          <w:p w14:paraId="5B053D4E" w14:textId="77777777" w:rsidR="001B66E8" w:rsidRPr="00672EFC" w:rsidRDefault="001B66E8" w:rsidP="00D54D14">
            <w:pPr>
              <w:pStyle w:val="Default"/>
            </w:pPr>
            <w:r>
              <w:t>0.0%</w:t>
            </w:r>
          </w:p>
        </w:tc>
      </w:tr>
      <w:tr w:rsidR="001B66E8" w14:paraId="6B27906B" w14:textId="77777777" w:rsidTr="00AD3EF7">
        <w:trPr>
          <w:trHeight w:val="112"/>
          <w:jc w:val="center"/>
        </w:trPr>
        <w:tc>
          <w:tcPr>
            <w:tcW w:w="2122" w:type="dxa"/>
          </w:tcPr>
          <w:p w14:paraId="713AA486" w14:textId="77777777" w:rsidR="001B66E8" w:rsidRPr="00672EFC" w:rsidRDefault="001B66E8" w:rsidP="00D54D14">
            <w:pPr>
              <w:pStyle w:val="Default"/>
            </w:pPr>
            <w:r>
              <w:t>2017/18</w:t>
            </w:r>
          </w:p>
        </w:tc>
        <w:tc>
          <w:tcPr>
            <w:tcW w:w="992" w:type="dxa"/>
          </w:tcPr>
          <w:p w14:paraId="71C69AA5" w14:textId="77777777" w:rsidR="001B66E8" w:rsidRPr="00672EFC" w:rsidRDefault="001B66E8" w:rsidP="00D54D14">
            <w:pPr>
              <w:pStyle w:val="Default"/>
            </w:pPr>
            <w:r>
              <w:t>1.0%</w:t>
            </w:r>
          </w:p>
        </w:tc>
      </w:tr>
      <w:tr w:rsidR="001B66E8" w14:paraId="34ECDF10" w14:textId="77777777" w:rsidTr="00AD3EF7">
        <w:trPr>
          <w:trHeight w:val="112"/>
          <w:jc w:val="center"/>
        </w:trPr>
        <w:tc>
          <w:tcPr>
            <w:tcW w:w="2122" w:type="dxa"/>
          </w:tcPr>
          <w:p w14:paraId="67DC4909" w14:textId="77777777" w:rsidR="001B66E8" w:rsidRDefault="001B66E8" w:rsidP="00D54D14">
            <w:pPr>
              <w:pStyle w:val="Default"/>
            </w:pPr>
            <w:r>
              <w:t>2018/19</w:t>
            </w:r>
          </w:p>
        </w:tc>
        <w:tc>
          <w:tcPr>
            <w:tcW w:w="992" w:type="dxa"/>
          </w:tcPr>
          <w:p w14:paraId="08EADB54" w14:textId="77777777" w:rsidR="001B66E8" w:rsidRDefault="001B66E8" w:rsidP="00D54D14">
            <w:pPr>
              <w:pStyle w:val="Default"/>
            </w:pPr>
            <w:r>
              <w:t>3.0%</w:t>
            </w:r>
          </w:p>
        </w:tc>
      </w:tr>
      <w:tr w:rsidR="001B66E8" w14:paraId="34D34923" w14:textId="77777777" w:rsidTr="00AD3EF7">
        <w:trPr>
          <w:trHeight w:val="112"/>
          <w:jc w:val="center"/>
        </w:trPr>
        <w:tc>
          <w:tcPr>
            <w:tcW w:w="2122" w:type="dxa"/>
          </w:tcPr>
          <w:p w14:paraId="7E362F77" w14:textId="77777777" w:rsidR="001B66E8" w:rsidRDefault="001B66E8" w:rsidP="00D54D14">
            <w:pPr>
              <w:pStyle w:val="Default"/>
            </w:pPr>
            <w:r>
              <w:t>2019/20</w:t>
            </w:r>
          </w:p>
        </w:tc>
        <w:tc>
          <w:tcPr>
            <w:tcW w:w="992" w:type="dxa"/>
          </w:tcPr>
          <w:p w14:paraId="7FC7F372" w14:textId="77777777" w:rsidR="001B66E8" w:rsidRDefault="001B66E8" w:rsidP="00D54D14">
            <w:pPr>
              <w:pStyle w:val="Default"/>
            </w:pPr>
            <w:r>
              <w:t>2.4%</w:t>
            </w:r>
          </w:p>
        </w:tc>
      </w:tr>
      <w:tr w:rsidR="001B66E8" w14:paraId="51A86FDB" w14:textId="77777777" w:rsidTr="00AD3EF7">
        <w:trPr>
          <w:trHeight w:val="112"/>
          <w:jc w:val="center"/>
        </w:trPr>
        <w:tc>
          <w:tcPr>
            <w:tcW w:w="2122" w:type="dxa"/>
          </w:tcPr>
          <w:p w14:paraId="28A98CC6" w14:textId="77777777" w:rsidR="001B66E8" w:rsidRDefault="001B66E8" w:rsidP="00D54D14">
            <w:pPr>
              <w:pStyle w:val="Default"/>
            </w:pPr>
            <w:r>
              <w:t>2020/21</w:t>
            </w:r>
          </w:p>
        </w:tc>
        <w:tc>
          <w:tcPr>
            <w:tcW w:w="992" w:type="dxa"/>
          </w:tcPr>
          <w:p w14:paraId="0B8A3F3B" w14:textId="77777777" w:rsidR="001B66E8" w:rsidRDefault="001B66E8" w:rsidP="00D54D14">
            <w:pPr>
              <w:pStyle w:val="Default"/>
            </w:pPr>
            <w:r>
              <w:t>1.7%</w:t>
            </w:r>
          </w:p>
        </w:tc>
      </w:tr>
      <w:tr w:rsidR="001B66E8" w14:paraId="5D208E6C" w14:textId="77777777" w:rsidTr="00AD3EF7">
        <w:trPr>
          <w:trHeight w:val="112"/>
          <w:jc w:val="center"/>
        </w:trPr>
        <w:tc>
          <w:tcPr>
            <w:tcW w:w="2122" w:type="dxa"/>
          </w:tcPr>
          <w:p w14:paraId="45D811F4" w14:textId="77777777" w:rsidR="001B66E8" w:rsidRDefault="001B66E8" w:rsidP="00D54D14">
            <w:pPr>
              <w:pStyle w:val="Default"/>
            </w:pPr>
            <w:r>
              <w:t>2021/22</w:t>
            </w:r>
          </w:p>
        </w:tc>
        <w:tc>
          <w:tcPr>
            <w:tcW w:w="992" w:type="dxa"/>
          </w:tcPr>
          <w:p w14:paraId="0D359EFA" w14:textId="77777777" w:rsidR="001B66E8" w:rsidRDefault="001B66E8" w:rsidP="00D54D14">
            <w:pPr>
              <w:pStyle w:val="Default"/>
            </w:pPr>
            <w:r>
              <w:t>0.5%</w:t>
            </w:r>
          </w:p>
        </w:tc>
      </w:tr>
      <w:tr w:rsidR="001B66E8" w14:paraId="44BB9804" w14:textId="77777777" w:rsidTr="00AD3EF7">
        <w:trPr>
          <w:trHeight w:val="112"/>
          <w:jc w:val="center"/>
        </w:trPr>
        <w:tc>
          <w:tcPr>
            <w:tcW w:w="2122" w:type="dxa"/>
          </w:tcPr>
          <w:p w14:paraId="4504A884" w14:textId="77777777" w:rsidR="001B66E8" w:rsidRDefault="001B66E8" w:rsidP="00D54D14">
            <w:pPr>
              <w:pStyle w:val="Default"/>
            </w:pPr>
            <w:r>
              <w:t>2022/23</w:t>
            </w:r>
          </w:p>
        </w:tc>
        <w:tc>
          <w:tcPr>
            <w:tcW w:w="992" w:type="dxa"/>
          </w:tcPr>
          <w:p w14:paraId="5EC19D47" w14:textId="77777777" w:rsidR="001B66E8" w:rsidRDefault="001B66E8" w:rsidP="00D54D14">
            <w:pPr>
              <w:pStyle w:val="Default"/>
            </w:pPr>
            <w:r>
              <w:t>3.1%</w:t>
            </w:r>
          </w:p>
        </w:tc>
      </w:tr>
      <w:tr w:rsidR="00F10889" w14:paraId="5E70A8DD" w14:textId="77777777" w:rsidTr="00AD3EF7">
        <w:trPr>
          <w:trHeight w:val="112"/>
          <w:jc w:val="center"/>
        </w:trPr>
        <w:tc>
          <w:tcPr>
            <w:tcW w:w="2122" w:type="dxa"/>
          </w:tcPr>
          <w:p w14:paraId="31396C98" w14:textId="0F68A840" w:rsidR="00F10889" w:rsidRDefault="00F10889" w:rsidP="00D54D14">
            <w:pPr>
              <w:pStyle w:val="Default"/>
            </w:pPr>
            <w:r>
              <w:t>2023/24</w:t>
            </w:r>
          </w:p>
        </w:tc>
        <w:tc>
          <w:tcPr>
            <w:tcW w:w="992" w:type="dxa"/>
          </w:tcPr>
          <w:p w14:paraId="0307D485" w14:textId="6E763A6E" w:rsidR="00F10889" w:rsidRDefault="0053517B" w:rsidP="00D54D14">
            <w:pPr>
              <w:pStyle w:val="Default"/>
            </w:pPr>
            <w:r>
              <w:t>10.1%</w:t>
            </w:r>
          </w:p>
        </w:tc>
      </w:tr>
      <w:tr w:rsidR="0053517B" w14:paraId="361D9435" w14:textId="77777777" w:rsidTr="00AD3EF7">
        <w:trPr>
          <w:trHeight w:val="112"/>
          <w:jc w:val="center"/>
        </w:trPr>
        <w:tc>
          <w:tcPr>
            <w:tcW w:w="2122" w:type="dxa"/>
          </w:tcPr>
          <w:p w14:paraId="1CA0FF7C" w14:textId="29C44E0C" w:rsidR="0053517B" w:rsidRDefault="0053517B" w:rsidP="00D54D14">
            <w:pPr>
              <w:pStyle w:val="Default"/>
            </w:pPr>
            <w:r>
              <w:t>2024/25</w:t>
            </w:r>
          </w:p>
        </w:tc>
        <w:tc>
          <w:tcPr>
            <w:tcW w:w="992" w:type="dxa"/>
          </w:tcPr>
          <w:p w14:paraId="677607FE" w14:textId="5B6F7D9F" w:rsidR="0053517B" w:rsidRDefault="0053517B" w:rsidP="00D54D14">
            <w:pPr>
              <w:pStyle w:val="Default"/>
            </w:pPr>
            <w:r>
              <w:t>6.7%</w:t>
            </w:r>
          </w:p>
        </w:tc>
      </w:tr>
      <w:tr w:rsidR="0053517B" w14:paraId="55F3F458" w14:textId="77777777" w:rsidTr="00AD3EF7">
        <w:trPr>
          <w:trHeight w:val="112"/>
          <w:jc w:val="center"/>
        </w:trPr>
        <w:tc>
          <w:tcPr>
            <w:tcW w:w="2122" w:type="dxa"/>
          </w:tcPr>
          <w:p w14:paraId="0BF7C736" w14:textId="39500852" w:rsidR="0053517B" w:rsidRDefault="0053517B" w:rsidP="00D54D14">
            <w:pPr>
              <w:pStyle w:val="Default"/>
            </w:pPr>
            <w:r>
              <w:t>2025/26</w:t>
            </w:r>
          </w:p>
        </w:tc>
        <w:tc>
          <w:tcPr>
            <w:tcW w:w="992" w:type="dxa"/>
          </w:tcPr>
          <w:p w14:paraId="3BA221B5" w14:textId="1B16C13A" w:rsidR="0053517B" w:rsidRDefault="0053517B" w:rsidP="00D54D14">
            <w:pPr>
              <w:pStyle w:val="Default"/>
            </w:pPr>
            <w:r>
              <w:t>1.7%</w:t>
            </w:r>
          </w:p>
        </w:tc>
      </w:tr>
    </w:tbl>
    <w:p w14:paraId="6BC3A884" w14:textId="77777777" w:rsidR="001B66E8" w:rsidRPr="000E6151" w:rsidRDefault="001B66E8" w:rsidP="001B66E8">
      <w:pPr>
        <w:pStyle w:val="Default"/>
        <w:spacing w:line="276" w:lineRule="auto"/>
        <w:rPr>
          <w:bCs/>
        </w:rPr>
      </w:pPr>
    </w:p>
    <w:p w14:paraId="4C24D2B4" w14:textId="5AEB7FDA" w:rsidR="001B66E8" w:rsidRPr="000E6151" w:rsidRDefault="001B66E8" w:rsidP="001B66E8">
      <w:pPr>
        <w:pStyle w:val="Default"/>
        <w:spacing w:line="276" w:lineRule="auto"/>
        <w:rPr>
          <w:bCs/>
        </w:rPr>
      </w:pPr>
      <w:r>
        <w:rPr>
          <w:bCs/>
        </w:rPr>
        <w:t>* HMRC confirmed that the increase on the opening value for 2015/16 only, was 2.5% and not CPI.</w:t>
      </w:r>
    </w:p>
    <w:p w14:paraId="079E7470" w14:textId="44A95013" w:rsidR="001B66E8" w:rsidRPr="00672EFC" w:rsidRDefault="001B66E8" w:rsidP="00956F99">
      <w:pPr>
        <w:pStyle w:val="Heading3"/>
      </w:pPr>
      <w:r w:rsidRPr="00672EFC">
        <w:lastRenderedPageBreak/>
        <w:t xml:space="preserve">The closing value </w:t>
      </w:r>
    </w:p>
    <w:p w14:paraId="64E59D2A" w14:textId="77777777" w:rsidR="001B66E8" w:rsidRPr="00672EFC" w:rsidRDefault="001B66E8" w:rsidP="001B66E8">
      <w:pPr>
        <w:pStyle w:val="Default"/>
        <w:spacing w:line="276" w:lineRule="auto"/>
      </w:pPr>
    </w:p>
    <w:p w14:paraId="57CB421A" w14:textId="77777777" w:rsidR="001B66E8" w:rsidRPr="00672EFC" w:rsidRDefault="001B66E8" w:rsidP="001B66E8">
      <w:pPr>
        <w:pStyle w:val="Default"/>
        <w:spacing w:line="276" w:lineRule="auto"/>
      </w:pPr>
      <w:r w:rsidRPr="00672EFC">
        <w:t xml:space="preserve">The closing value is determined as follows. </w:t>
      </w:r>
    </w:p>
    <w:p w14:paraId="2BB3C43A" w14:textId="77777777" w:rsidR="001B66E8" w:rsidRPr="00672EFC" w:rsidRDefault="001B66E8" w:rsidP="001B66E8">
      <w:pPr>
        <w:pStyle w:val="Default"/>
        <w:spacing w:line="276" w:lineRule="auto"/>
        <w:rPr>
          <w:b/>
          <w:bCs/>
        </w:rPr>
      </w:pPr>
    </w:p>
    <w:p w14:paraId="2A7BA450" w14:textId="77777777" w:rsidR="001B66E8" w:rsidRPr="00672EFC" w:rsidRDefault="001B66E8" w:rsidP="001B66E8">
      <w:pPr>
        <w:pStyle w:val="Default"/>
        <w:numPr>
          <w:ilvl w:val="0"/>
          <w:numId w:val="20"/>
        </w:numPr>
        <w:spacing w:line="276" w:lineRule="auto"/>
      </w:pPr>
      <w:r w:rsidRPr="00672EFC">
        <w:t xml:space="preserve">Calculate the member’s NHS benefits up to the end of the pension input period. </w:t>
      </w:r>
    </w:p>
    <w:p w14:paraId="645B503A" w14:textId="77777777" w:rsidR="001B66E8" w:rsidRPr="00672EFC" w:rsidRDefault="001B66E8" w:rsidP="001B66E8">
      <w:pPr>
        <w:pStyle w:val="Default"/>
        <w:spacing w:line="276" w:lineRule="auto"/>
      </w:pPr>
    </w:p>
    <w:p w14:paraId="1E219FA2" w14:textId="77777777" w:rsidR="001B66E8" w:rsidRPr="00672EFC" w:rsidRDefault="001B66E8" w:rsidP="001B66E8">
      <w:pPr>
        <w:pStyle w:val="Default"/>
        <w:numPr>
          <w:ilvl w:val="0"/>
          <w:numId w:val="20"/>
        </w:numPr>
        <w:spacing w:line="276" w:lineRule="auto"/>
      </w:pPr>
      <w:r w:rsidRPr="00672EFC">
        <w:t xml:space="preserve">Multiply the annual pension by 16. </w:t>
      </w:r>
    </w:p>
    <w:p w14:paraId="0AF5C62C" w14:textId="77777777" w:rsidR="001B66E8" w:rsidRPr="00672EFC" w:rsidRDefault="001B66E8" w:rsidP="001B66E8">
      <w:pPr>
        <w:pStyle w:val="Default"/>
        <w:spacing w:line="276" w:lineRule="auto"/>
      </w:pPr>
    </w:p>
    <w:p w14:paraId="10921209" w14:textId="77777777" w:rsidR="00622505" w:rsidRDefault="00622505" w:rsidP="00622505">
      <w:pPr>
        <w:pStyle w:val="Default"/>
        <w:numPr>
          <w:ilvl w:val="0"/>
          <w:numId w:val="20"/>
        </w:numPr>
        <w:spacing w:line="276" w:lineRule="auto"/>
      </w:pPr>
    </w:p>
    <w:p w14:paraId="11C041EE" w14:textId="49B6F6EF" w:rsidR="001B66E8" w:rsidRPr="00672EFC" w:rsidRDefault="001B66E8" w:rsidP="00AD3EF7">
      <w:pPr>
        <w:pStyle w:val="Default"/>
        <w:numPr>
          <w:ilvl w:val="0"/>
          <w:numId w:val="24"/>
        </w:numPr>
        <w:spacing w:line="276" w:lineRule="auto"/>
      </w:pPr>
      <w:r w:rsidRPr="00672EFC">
        <w:t>For a 1995 Section member</w:t>
      </w:r>
      <w:r w:rsidR="00622505">
        <w:t>,</w:t>
      </w:r>
      <w:r w:rsidRPr="00672EFC">
        <w:t xml:space="preserve"> calculate their lump sum and add this to the amount at step 2. </w:t>
      </w:r>
    </w:p>
    <w:p w14:paraId="67AB53E2" w14:textId="77777777" w:rsidR="00622505" w:rsidRDefault="001B66E8" w:rsidP="00622505">
      <w:pPr>
        <w:pStyle w:val="ListParagraph"/>
        <w:numPr>
          <w:ilvl w:val="0"/>
          <w:numId w:val="24"/>
        </w:numPr>
        <w:rPr>
          <w:rFonts w:cs="Arial"/>
        </w:rPr>
      </w:pPr>
      <w:r w:rsidRPr="00622505">
        <w:rPr>
          <w:rFonts w:cs="Arial"/>
        </w:rPr>
        <w:t xml:space="preserve">For a 2008 Section member there will be no lump sum calculated, even if they made the Choice to move from the 1995 to the 2008 Section. </w:t>
      </w:r>
    </w:p>
    <w:p w14:paraId="17AE06EE" w14:textId="62440CC9" w:rsidR="001B66E8" w:rsidRPr="00622505" w:rsidRDefault="001B66E8" w:rsidP="00AD3EF7">
      <w:pPr>
        <w:pStyle w:val="ListParagraph"/>
        <w:numPr>
          <w:ilvl w:val="0"/>
          <w:numId w:val="24"/>
        </w:numPr>
        <w:rPr>
          <w:rFonts w:cs="Arial"/>
        </w:rPr>
      </w:pPr>
      <w:r w:rsidRPr="00622505">
        <w:rPr>
          <w:rFonts w:cs="Arial"/>
        </w:rPr>
        <w:t>For a 2015 Scheme member there is no lump sum.</w:t>
      </w:r>
    </w:p>
    <w:p w14:paraId="0A4C862C" w14:textId="77777777" w:rsidR="001B66E8" w:rsidRPr="00672EFC" w:rsidRDefault="001B66E8" w:rsidP="001B66E8">
      <w:pPr>
        <w:ind w:left="720"/>
        <w:rPr>
          <w:rFonts w:cs="Arial"/>
        </w:rPr>
      </w:pPr>
    </w:p>
    <w:p w14:paraId="34C3F1D2" w14:textId="77777777" w:rsidR="001B66E8" w:rsidRPr="00672EFC" w:rsidRDefault="001B66E8" w:rsidP="00956F99">
      <w:pPr>
        <w:pStyle w:val="Heading3"/>
      </w:pPr>
      <w:r w:rsidRPr="00672EFC">
        <w:t xml:space="preserve">Calculating the pension input amount </w:t>
      </w:r>
    </w:p>
    <w:p w14:paraId="5C20C2BB" w14:textId="77777777" w:rsidR="001B66E8" w:rsidRPr="00672EFC" w:rsidRDefault="001B66E8" w:rsidP="001B66E8">
      <w:pPr>
        <w:pStyle w:val="Default"/>
        <w:spacing w:line="276" w:lineRule="auto"/>
      </w:pPr>
    </w:p>
    <w:p w14:paraId="6FDB57AC" w14:textId="5B74A7CC" w:rsidR="001B66E8" w:rsidRPr="00672EFC" w:rsidRDefault="001B66E8" w:rsidP="001B66E8">
      <w:pPr>
        <w:pStyle w:val="Default"/>
        <w:spacing w:line="276" w:lineRule="auto"/>
      </w:pPr>
      <w:r w:rsidRPr="00672EFC">
        <w:t>To find the growth in NHS benefits</w:t>
      </w:r>
      <w:r w:rsidR="00622505">
        <w:t>,</w:t>
      </w:r>
      <w:r w:rsidRPr="00672EFC">
        <w:t xml:space="preserve"> simply subtract the opening value from the closing value. </w:t>
      </w:r>
    </w:p>
    <w:p w14:paraId="4CBF5639" w14:textId="77777777" w:rsidR="001B66E8" w:rsidRPr="00672EFC" w:rsidRDefault="001B66E8" w:rsidP="001B66E8">
      <w:pPr>
        <w:pStyle w:val="Default"/>
        <w:spacing w:line="276" w:lineRule="auto"/>
      </w:pPr>
    </w:p>
    <w:p w14:paraId="635BA28B" w14:textId="1F0F691B" w:rsidR="001B66E8" w:rsidRDefault="001B66E8" w:rsidP="001B66E8">
      <w:pPr>
        <w:pStyle w:val="Default"/>
        <w:spacing w:line="276" w:lineRule="auto"/>
      </w:pPr>
      <w:r w:rsidRPr="00672EFC">
        <w:t xml:space="preserve">If the difference is a negative amount </w:t>
      </w:r>
      <w:r w:rsidR="001B5C5C">
        <w:t>in the 2015 Scheme</w:t>
      </w:r>
      <w:r w:rsidR="00622505">
        <w:t>,</w:t>
      </w:r>
      <w:r w:rsidR="001B5C5C">
        <w:t xml:space="preserve"> </w:t>
      </w:r>
      <w:r w:rsidRPr="00672EFC">
        <w:t>then the pension input amount is nil.</w:t>
      </w:r>
    </w:p>
    <w:p w14:paraId="6DEB5C19" w14:textId="77777777" w:rsidR="001B5C5C" w:rsidRDefault="001B5C5C" w:rsidP="001B66E8">
      <w:pPr>
        <w:pStyle w:val="Default"/>
        <w:spacing w:line="276" w:lineRule="auto"/>
      </w:pPr>
    </w:p>
    <w:p w14:paraId="51ACE7EF" w14:textId="5C433076" w:rsidR="00474F3F" w:rsidRDefault="00474F3F" w:rsidP="00864FA9">
      <w:r>
        <w:t>For the 1995/2008 Scheme prior to tax-year 2023/24</w:t>
      </w:r>
      <w:r w:rsidR="00622505">
        <w:t>,</w:t>
      </w:r>
      <w:r>
        <w:t xml:space="preserve"> if the amount is negative then the pension input amount is nil. From 2023/24</w:t>
      </w:r>
      <w:r w:rsidR="00622505">
        <w:t>,</w:t>
      </w:r>
      <w:r>
        <w:t xml:space="preserve"> if the difference is a negative amount this can be deducted from the 2015 amount only</w:t>
      </w:r>
      <w:r w:rsidR="00622505">
        <w:t>.</w:t>
      </w:r>
      <w:r>
        <w:t xml:space="preserve"> </w:t>
      </w:r>
      <w:r w:rsidR="00622505">
        <w:t>H</w:t>
      </w:r>
      <w:r>
        <w:t>owever, the outcome cannot be less than zero and any negative amount cannot be used for any other pension scheme.</w:t>
      </w:r>
    </w:p>
    <w:p w14:paraId="41283E48" w14:textId="77777777" w:rsidR="00F4141C" w:rsidRDefault="00F4141C" w:rsidP="00AA2598"/>
    <w:p w14:paraId="023C88CD" w14:textId="4BE38C5B" w:rsidR="001B66E8" w:rsidRPr="00C57EAE" w:rsidRDefault="00AA2598" w:rsidP="00AD3EF7">
      <w:pPr>
        <w:rPr>
          <w:bCs/>
          <w:sz w:val="36"/>
        </w:rPr>
      </w:pPr>
      <w:r>
        <w:t xml:space="preserve">More information about negative pension input amounts can be found in our </w:t>
      </w:r>
      <w:r w:rsidR="00F4141C">
        <w:t>‘</w:t>
      </w:r>
      <w:r>
        <w:t>Negative Pension input amount factsheet</w:t>
      </w:r>
      <w:r w:rsidR="00F4141C">
        <w:t>’</w:t>
      </w:r>
      <w:r>
        <w:t xml:space="preserve"> on our </w:t>
      </w:r>
      <w:hyperlink r:id="rId12" w:history="1">
        <w:r w:rsidRPr="00CF6235">
          <w:rPr>
            <w:rStyle w:val="Hyperlink"/>
          </w:rPr>
          <w:t xml:space="preserve">Annual </w:t>
        </w:r>
        <w:r w:rsidR="004D3746">
          <w:rPr>
            <w:rStyle w:val="Hyperlink"/>
          </w:rPr>
          <w:t>a</w:t>
        </w:r>
        <w:r w:rsidRPr="00CF6235">
          <w:rPr>
            <w:rStyle w:val="Hyperlink"/>
          </w:rPr>
          <w:t>llowance webpage</w:t>
        </w:r>
      </w:hyperlink>
      <w:r w:rsidR="008B0973">
        <w:t>.</w:t>
      </w:r>
      <w:r>
        <w:t xml:space="preserve"> </w:t>
      </w:r>
      <w:r w:rsidR="001B66E8">
        <w:rPr>
          <w:rFonts w:ascii="Arial Bold" w:hAnsi="Arial Bold"/>
          <w:color w:val="00B050"/>
          <w:sz w:val="36"/>
        </w:rPr>
        <w:br w:type="page"/>
      </w:r>
      <w:r w:rsidR="001B66E8" w:rsidRPr="00AD3EF7">
        <w:rPr>
          <w:b/>
          <w:bCs/>
          <w:color w:val="0070C0"/>
          <w:sz w:val="28"/>
          <w:szCs w:val="28"/>
        </w:rPr>
        <w:lastRenderedPageBreak/>
        <w:t>Further Considerations</w:t>
      </w:r>
    </w:p>
    <w:p w14:paraId="00164287" w14:textId="77777777" w:rsidR="00EF5D9A" w:rsidRDefault="00EF5D9A" w:rsidP="00AD3EF7"/>
    <w:p w14:paraId="540A56FF" w14:textId="2DD5D9EE" w:rsidR="001B66E8" w:rsidRPr="002C55D8" w:rsidRDefault="001B66E8" w:rsidP="00F840AB">
      <w:pPr>
        <w:pStyle w:val="Heading3"/>
      </w:pPr>
      <w:r w:rsidRPr="002C55D8">
        <w:t>Adjustment to the closing value</w:t>
      </w:r>
    </w:p>
    <w:p w14:paraId="1262811D" w14:textId="77777777" w:rsidR="00EF5D9A" w:rsidRDefault="00EF5D9A" w:rsidP="001B66E8">
      <w:pPr>
        <w:rPr>
          <w:rFonts w:cs="Arial"/>
        </w:rPr>
      </w:pPr>
    </w:p>
    <w:p w14:paraId="5A062037" w14:textId="520E871F" w:rsidR="001B66E8" w:rsidRPr="00672EFC" w:rsidRDefault="001B66E8" w:rsidP="001B66E8">
      <w:pPr>
        <w:rPr>
          <w:rFonts w:cs="Arial"/>
        </w:rPr>
      </w:pPr>
      <w:r w:rsidRPr="00672EFC">
        <w:rPr>
          <w:rFonts w:cs="Arial"/>
        </w:rPr>
        <w:t>Certain events can cause the closing value of the member’s benefits to be bigger or smaller than they would otherwise be. These events include where:</w:t>
      </w:r>
    </w:p>
    <w:p w14:paraId="380EB353" w14:textId="77777777" w:rsidR="001B66E8" w:rsidRPr="00672EFC" w:rsidRDefault="001B66E8" w:rsidP="001B66E8">
      <w:pPr>
        <w:pStyle w:val="ListParagraph"/>
        <w:numPr>
          <w:ilvl w:val="0"/>
          <w:numId w:val="21"/>
        </w:numPr>
        <w:contextualSpacing w:val="0"/>
        <w:rPr>
          <w:rFonts w:cs="Arial"/>
        </w:rPr>
      </w:pPr>
      <w:r w:rsidRPr="00672EFC">
        <w:rPr>
          <w:rFonts w:cs="Arial"/>
        </w:rPr>
        <w:t xml:space="preserve">a transfer payment has been made or received or, </w:t>
      </w:r>
    </w:p>
    <w:p w14:paraId="27024CB9" w14:textId="77777777" w:rsidR="001B66E8" w:rsidRPr="00672EFC" w:rsidRDefault="001B66E8" w:rsidP="001B66E8">
      <w:pPr>
        <w:pStyle w:val="ListParagraph"/>
        <w:numPr>
          <w:ilvl w:val="0"/>
          <w:numId w:val="21"/>
        </w:numPr>
        <w:contextualSpacing w:val="0"/>
        <w:rPr>
          <w:rFonts w:cs="Arial"/>
        </w:rPr>
      </w:pPr>
      <w:r w:rsidRPr="00672EFC">
        <w:rPr>
          <w:rFonts w:cs="Arial"/>
        </w:rPr>
        <w:t xml:space="preserve">following a pension share order (because of divorce) there is a pension debit or credit attached to the member’s benefits, or </w:t>
      </w:r>
    </w:p>
    <w:p w14:paraId="1E461952" w14:textId="77777777" w:rsidR="001B66E8" w:rsidRPr="00672EFC" w:rsidRDefault="001B66E8" w:rsidP="001B66E8">
      <w:pPr>
        <w:pStyle w:val="ListParagraph"/>
        <w:numPr>
          <w:ilvl w:val="0"/>
          <w:numId w:val="21"/>
        </w:numPr>
        <w:contextualSpacing w:val="0"/>
        <w:rPr>
          <w:rFonts w:cs="Arial"/>
        </w:rPr>
      </w:pPr>
      <w:r w:rsidRPr="00672EFC">
        <w:rPr>
          <w:rFonts w:cs="Arial"/>
        </w:rPr>
        <w:t xml:space="preserve">the member leaves active membership and retires. </w:t>
      </w:r>
    </w:p>
    <w:p w14:paraId="0246168A" w14:textId="77777777" w:rsidR="001B66E8" w:rsidRPr="00672EFC" w:rsidRDefault="001B66E8" w:rsidP="001B66E8">
      <w:pPr>
        <w:rPr>
          <w:rFonts w:cs="Arial"/>
        </w:rPr>
      </w:pPr>
    </w:p>
    <w:p w14:paraId="55DB6501" w14:textId="0E6BA352" w:rsidR="001B66E8" w:rsidRDefault="001B66E8" w:rsidP="001B66E8">
      <w:pPr>
        <w:rPr>
          <w:rFonts w:cs="Arial"/>
        </w:rPr>
      </w:pPr>
      <w:r w:rsidRPr="00672EFC">
        <w:rPr>
          <w:rFonts w:cs="Arial"/>
        </w:rPr>
        <w:t>In these circumstances</w:t>
      </w:r>
      <w:r w:rsidR="00622505">
        <w:rPr>
          <w:rFonts w:cs="Arial"/>
        </w:rPr>
        <w:t>,</w:t>
      </w:r>
      <w:r w:rsidRPr="00672EFC">
        <w:rPr>
          <w:rFonts w:cs="Arial"/>
        </w:rPr>
        <w:t xml:space="preserve"> an adjustment must be made to the amount of the closing value in the pension input period during which the event occurred.</w:t>
      </w:r>
    </w:p>
    <w:p w14:paraId="5CBEAC08" w14:textId="77777777" w:rsidR="001B66E8" w:rsidRPr="00672EFC" w:rsidRDefault="001B66E8" w:rsidP="001B66E8">
      <w:pPr>
        <w:rPr>
          <w:rFonts w:cs="Arial"/>
        </w:rPr>
      </w:pPr>
      <w:r w:rsidRPr="00672EFC">
        <w:rPr>
          <w:rFonts w:cs="Arial"/>
        </w:rPr>
        <w:t xml:space="preserve"> </w:t>
      </w:r>
    </w:p>
    <w:p w14:paraId="19DAA97E" w14:textId="77777777" w:rsidR="001B66E8" w:rsidRPr="00E509EB" w:rsidRDefault="001B66E8" w:rsidP="00F840AB">
      <w:pPr>
        <w:pStyle w:val="Heading3"/>
      </w:pPr>
      <w:bookmarkStart w:id="1" w:name="IDAOZDKC"/>
      <w:bookmarkEnd w:id="1"/>
      <w:r w:rsidRPr="00483172">
        <w:t>If there has been a transfer in during the pension input period</w:t>
      </w:r>
      <w:r w:rsidRPr="00E509EB">
        <w:t xml:space="preserve"> from a non-Club Scheme</w:t>
      </w:r>
    </w:p>
    <w:p w14:paraId="74A5008A" w14:textId="77777777" w:rsidR="001B66E8" w:rsidRPr="0033346C" w:rsidRDefault="001B66E8" w:rsidP="001B66E8"/>
    <w:p w14:paraId="7912B00E" w14:textId="77777777" w:rsidR="001B66E8" w:rsidRPr="00622505" w:rsidRDefault="001B66E8" w:rsidP="00AD3EF7">
      <w:pPr>
        <w:pStyle w:val="ListParagraph"/>
        <w:numPr>
          <w:ilvl w:val="0"/>
          <w:numId w:val="25"/>
        </w:numPr>
        <w:rPr>
          <w:rFonts w:cs="Arial"/>
        </w:rPr>
      </w:pPr>
      <w:r w:rsidRPr="00622505">
        <w:rPr>
          <w:rFonts w:cs="Arial"/>
        </w:rPr>
        <w:t>The transfer in membership credit is ignored when calculating the closing value for the pension input period during which the transfer in payment was received.  The transfer in membership credit will be included in both the opening and closing values for the next pension input period.</w:t>
      </w:r>
    </w:p>
    <w:p w14:paraId="5CF90817" w14:textId="77777777" w:rsidR="001B66E8" w:rsidRDefault="001B66E8" w:rsidP="001B66E8">
      <w:pPr>
        <w:rPr>
          <w:rFonts w:cs="Arial"/>
        </w:rPr>
      </w:pPr>
    </w:p>
    <w:p w14:paraId="58B82FB3" w14:textId="77777777" w:rsidR="001B66E8" w:rsidRPr="00E509EB" w:rsidRDefault="001B66E8" w:rsidP="00F840AB">
      <w:pPr>
        <w:pStyle w:val="Heading3"/>
      </w:pPr>
      <w:r w:rsidRPr="00483172">
        <w:t>If there has been a transfer in during the pension input period</w:t>
      </w:r>
      <w:r w:rsidRPr="00E509EB">
        <w:t xml:space="preserve"> from a Club Scheme</w:t>
      </w:r>
      <w:r>
        <w:t xml:space="preserve"> from 28 January 2015</w:t>
      </w:r>
    </w:p>
    <w:p w14:paraId="2D0ABB99" w14:textId="77777777" w:rsidR="001B66E8" w:rsidRPr="0033346C" w:rsidRDefault="001B66E8" w:rsidP="001B66E8"/>
    <w:p w14:paraId="0FCBA0B2" w14:textId="77777777" w:rsidR="001B66E8" w:rsidRPr="00622505" w:rsidRDefault="001B66E8" w:rsidP="00AD3EF7">
      <w:pPr>
        <w:pStyle w:val="ListParagraph"/>
        <w:numPr>
          <w:ilvl w:val="0"/>
          <w:numId w:val="25"/>
        </w:numPr>
        <w:rPr>
          <w:rFonts w:cs="Arial"/>
        </w:rPr>
      </w:pPr>
      <w:r w:rsidRPr="00622505">
        <w:rPr>
          <w:rFonts w:cs="Arial"/>
        </w:rPr>
        <w:t>The transfer in membership credit is ignored when calculating the closing value for the pension input period during which the transfer in payment was received.  The transfer in membership credit will be included in both the opening and closing values for the next pension input period if the transfer was completed before 28 January 2015.</w:t>
      </w:r>
    </w:p>
    <w:p w14:paraId="11E0846A" w14:textId="77777777" w:rsidR="001B66E8" w:rsidRDefault="001B66E8" w:rsidP="001B66E8">
      <w:pPr>
        <w:rPr>
          <w:rFonts w:cs="Arial"/>
        </w:rPr>
      </w:pPr>
    </w:p>
    <w:p w14:paraId="6D448F60" w14:textId="5CC67A65" w:rsidR="001B66E8" w:rsidRPr="00622505" w:rsidRDefault="001B66E8" w:rsidP="00AD3EF7">
      <w:pPr>
        <w:pStyle w:val="ListParagraph"/>
        <w:numPr>
          <w:ilvl w:val="0"/>
          <w:numId w:val="25"/>
        </w:numPr>
        <w:rPr>
          <w:rFonts w:cs="Arial"/>
        </w:rPr>
      </w:pPr>
      <w:r w:rsidRPr="00622505">
        <w:rPr>
          <w:rFonts w:cs="Arial"/>
        </w:rPr>
        <w:t xml:space="preserve">If the transfer was </w:t>
      </w:r>
      <w:r w:rsidR="00BF516A" w:rsidRPr="00622505">
        <w:rPr>
          <w:rFonts w:cs="Arial"/>
        </w:rPr>
        <w:t>completed</w:t>
      </w:r>
      <w:r w:rsidRPr="00622505">
        <w:rPr>
          <w:rFonts w:cs="Arial"/>
        </w:rPr>
        <w:t xml:space="preserve"> on or after 28 January 2015</w:t>
      </w:r>
      <w:r w:rsidR="008B0973">
        <w:rPr>
          <w:rFonts w:cs="Arial"/>
        </w:rPr>
        <w:t>,</w:t>
      </w:r>
      <w:r w:rsidRPr="00622505">
        <w:rPr>
          <w:rFonts w:cs="Arial"/>
        </w:rPr>
        <w:t xml:space="preserve"> the transfer in membership credit will be included in the calculation of the pension input amount in the pension input period the transfer was received.</w:t>
      </w:r>
    </w:p>
    <w:p w14:paraId="7A3D50E7" w14:textId="77777777" w:rsidR="001B66E8" w:rsidRPr="00672EFC" w:rsidRDefault="001B66E8" w:rsidP="001B66E8">
      <w:pPr>
        <w:rPr>
          <w:rFonts w:cs="Arial"/>
        </w:rPr>
      </w:pPr>
    </w:p>
    <w:p w14:paraId="1D55B803" w14:textId="77777777" w:rsidR="001B66E8" w:rsidRDefault="001B66E8" w:rsidP="00F840AB">
      <w:pPr>
        <w:pStyle w:val="Heading3"/>
      </w:pPr>
      <w:r w:rsidRPr="00483172">
        <w:t xml:space="preserve">If there has been a transfer out during the </w:t>
      </w:r>
      <w:r w:rsidRPr="008138E2">
        <w:t>pension</w:t>
      </w:r>
      <w:r w:rsidRPr="00483172">
        <w:t xml:space="preserve"> input period</w:t>
      </w:r>
    </w:p>
    <w:p w14:paraId="7C811BEF" w14:textId="77777777" w:rsidR="001B66E8" w:rsidRPr="00E509EB" w:rsidRDefault="001B66E8" w:rsidP="001B66E8">
      <w:pPr>
        <w:rPr>
          <w:rFonts w:cs="Arial"/>
        </w:rPr>
      </w:pPr>
    </w:p>
    <w:p w14:paraId="00199FA8" w14:textId="3988D265" w:rsidR="001B66E8" w:rsidRPr="00622505" w:rsidRDefault="001B66E8" w:rsidP="00AD3EF7">
      <w:pPr>
        <w:pStyle w:val="ListParagraph"/>
        <w:numPr>
          <w:ilvl w:val="0"/>
          <w:numId w:val="26"/>
        </w:numPr>
        <w:rPr>
          <w:rFonts w:cs="Arial"/>
        </w:rPr>
      </w:pPr>
      <w:r w:rsidRPr="00622505">
        <w:rPr>
          <w:rFonts w:cs="Arial"/>
        </w:rPr>
        <w:t>Where there has been a transfer out</w:t>
      </w:r>
      <w:r w:rsidR="008B0973">
        <w:rPr>
          <w:rFonts w:cs="Arial"/>
        </w:rPr>
        <w:t>,</w:t>
      </w:r>
      <w:r w:rsidRPr="00622505">
        <w:rPr>
          <w:rFonts w:cs="Arial"/>
        </w:rPr>
        <w:t xml:space="preserve"> then the pension input period ends on the last day of pensionable membership.</w:t>
      </w:r>
    </w:p>
    <w:p w14:paraId="720E9F02" w14:textId="77777777" w:rsidR="001B66E8" w:rsidRPr="00E509EB" w:rsidRDefault="001B66E8" w:rsidP="001B66E8">
      <w:pPr>
        <w:rPr>
          <w:rFonts w:cs="Arial"/>
        </w:rPr>
      </w:pPr>
      <w:r>
        <w:rPr>
          <w:rFonts w:cs="Arial"/>
        </w:rPr>
        <w:br w:type="page"/>
      </w:r>
    </w:p>
    <w:p w14:paraId="35F70BA9" w14:textId="77777777" w:rsidR="001B66E8" w:rsidRDefault="001B66E8" w:rsidP="00F840AB">
      <w:pPr>
        <w:pStyle w:val="Heading3"/>
      </w:pPr>
      <w:r w:rsidRPr="00483172">
        <w:lastRenderedPageBreak/>
        <w:t>If there has been a pension debit during the pension input period</w:t>
      </w:r>
    </w:p>
    <w:p w14:paraId="6187244A" w14:textId="77777777" w:rsidR="001B66E8" w:rsidRPr="00E509EB" w:rsidRDefault="001B66E8" w:rsidP="001B66E8">
      <w:pPr>
        <w:rPr>
          <w:rFonts w:cs="Arial"/>
        </w:rPr>
      </w:pPr>
    </w:p>
    <w:p w14:paraId="1888192E" w14:textId="044D6A0B" w:rsidR="001B66E8" w:rsidRPr="008B0973" w:rsidRDefault="001B66E8" w:rsidP="00AD3EF7">
      <w:pPr>
        <w:pStyle w:val="ListParagraph"/>
        <w:numPr>
          <w:ilvl w:val="0"/>
          <w:numId w:val="26"/>
        </w:numPr>
        <w:rPr>
          <w:rFonts w:cs="Arial"/>
        </w:rPr>
      </w:pPr>
      <w:r w:rsidRPr="008B0973">
        <w:rPr>
          <w:rFonts w:cs="Arial"/>
        </w:rPr>
        <w:t>The pension debit is ignored when calculating the closing value for the pension input period during which the pension share order became effective</w:t>
      </w:r>
      <w:r w:rsidR="008B0973">
        <w:rPr>
          <w:rFonts w:cs="Arial"/>
        </w:rPr>
        <w:t>.</w:t>
      </w:r>
      <w:r w:rsidRPr="008B0973">
        <w:rPr>
          <w:rFonts w:cs="Arial"/>
        </w:rPr>
        <w:t xml:space="preserve"> </w:t>
      </w:r>
      <w:r w:rsidR="008B0973">
        <w:rPr>
          <w:rFonts w:cs="Arial"/>
        </w:rPr>
        <w:t>For example,</w:t>
      </w:r>
      <w:r w:rsidRPr="008B0973">
        <w:rPr>
          <w:rFonts w:cs="Arial"/>
        </w:rPr>
        <w:t xml:space="preserve"> the opening and closing values will be calculated on the members unreduced benefits. The pension debit will be deducted from NHS benefits when calculating both the opening and closing values for the next pension input period.</w:t>
      </w:r>
    </w:p>
    <w:p w14:paraId="383ABB93" w14:textId="77777777" w:rsidR="001B66E8" w:rsidRPr="00672EFC" w:rsidRDefault="001B66E8" w:rsidP="001B66E8">
      <w:pPr>
        <w:rPr>
          <w:rFonts w:cs="Arial"/>
        </w:rPr>
      </w:pPr>
    </w:p>
    <w:p w14:paraId="403AC347" w14:textId="77777777" w:rsidR="001B66E8" w:rsidRDefault="001B66E8" w:rsidP="00F840AB">
      <w:pPr>
        <w:pStyle w:val="Heading3"/>
      </w:pPr>
      <w:r w:rsidRPr="00483172">
        <w:t xml:space="preserve">If there has been a pension credit during the </w:t>
      </w:r>
      <w:r w:rsidRPr="008138E2">
        <w:t>pension</w:t>
      </w:r>
      <w:r w:rsidRPr="00483172">
        <w:t xml:space="preserve"> input period</w:t>
      </w:r>
    </w:p>
    <w:p w14:paraId="29626292" w14:textId="77777777" w:rsidR="001B66E8" w:rsidRPr="0033346C" w:rsidRDefault="001B66E8" w:rsidP="001B66E8"/>
    <w:p w14:paraId="3E6C4478" w14:textId="77777777" w:rsidR="001B66E8" w:rsidRPr="008B0973" w:rsidRDefault="001B66E8" w:rsidP="00AD3EF7">
      <w:pPr>
        <w:pStyle w:val="ListParagraph"/>
        <w:numPr>
          <w:ilvl w:val="0"/>
          <w:numId w:val="26"/>
        </w:numPr>
        <w:rPr>
          <w:rFonts w:cs="Arial"/>
        </w:rPr>
      </w:pPr>
      <w:r w:rsidRPr="008B0973">
        <w:rPr>
          <w:rFonts w:cs="Arial"/>
        </w:rPr>
        <w:t xml:space="preserve">The pension credit is a separate deferred arrangement and is therefore ignored when calculating the opening and closing value for the pension input period. </w:t>
      </w:r>
    </w:p>
    <w:p w14:paraId="5A8B89BB" w14:textId="77777777" w:rsidR="001B66E8" w:rsidRPr="00672EFC" w:rsidRDefault="001B66E8" w:rsidP="001B66E8">
      <w:pPr>
        <w:rPr>
          <w:rFonts w:cs="Arial"/>
        </w:rPr>
      </w:pPr>
    </w:p>
    <w:p w14:paraId="362FB87B" w14:textId="77777777" w:rsidR="001B66E8" w:rsidRDefault="001B66E8" w:rsidP="00F840AB">
      <w:pPr>
        <w:pStyle w:val="Heading3"/>
      </w:pPr>
      <w:r w:rsidRPr="00483172">
        <w:t>If there has been a crystallisation of NHS benefits during the pension input period</w:t>
      </w:r>
    </w:p>
    <w:p w14:paraId="5FC50F96" w14:textId="77777777" w:rsidR="001B66E8" w:rsidRPr="000E6771" w:rsidRDefault="001B66E8" w:rsidP="001B66E8"/>
    <w:p w14:paraId="25F3E395" w14:textId="77777777" w:rsidR="001B66E8" w:rsidRPr="008B0973" w:rsidRDefault="001B66E8" w:rsidP="00AD3EF7">
      <w:pPr>
        <w:pStyle w:val="ListParagraph"/>
        <w:numPr>
          <w:ilvl w:val="0"/>
          <w:numId w:val="26"/>
        </w:numPr>
        <w:rPr>
          <w:rFonts w:cs="Arial"/>
        </w:rPr>
      </w:pPr>
      <w:r w:rsidRPr="008B0973">
        <w:rPr>
          <w:rFonts w:cs="Arial"/>
        </w:rPr>
        <w:t>Where an active member retires the pension input period ends on the benefit crystallisation event (BCE) date.</w:t>
      </w:r>
    </w:p>
    <w:p w14:paraId="186E88CC" w14:textId="77777777" w:rsidR="001B66E8" w:rsidRPr="00672EFC" w:rsidRDefault="001B66E8" w:rsidP="00AD3EF7"/>
    <w:p w14:paraId="6382C064" w14:textId="77777777" w:rsidR="001B66E8" w:rsidRPr="002C55D8" w:rsidRDefault="001B66E8" w:rsidP="00F840AB">
      <w:pPr>
        <w:pStyle w:val="Heading2"/>
        <w:rPr>
          <w:szCs w:val="24"/>
        </w:rPr>
      </w:pPr>
      <w:r w:rsidRPr="002C55D8">
        <w:t>Pension input amount of nil</w:t>
      </w:r>
    </w:p>
    <w:p w14:paraId="2A1BA4B4" w14:textId="77777777" w:rsidR="001B66E8" w:rsidRPr="00672EFC" w:rsidRDefault="001B66E8" w:rsidP="00AD3EF7"/>
    <w:p w14:paraId="018A6835" w14:textId="77777777" w:rsidR="001B66E8" w:rsidRPr="00F840AB" w:rsidRDefault="001B66E8" w:rsidP="00F840AB">
      <w:pPr>
        <w:pStyle w:val="Heading3"/>
        <w:rPr>
          <w:rStyle w:val="pnopadding"/>
        </w:rPr>
      </w:pPr>
      <w:r w:rsidRPr="00F840AB">
        <w:rPr>
          <w:rStyle w:val="pnopadding"/>
        </w:rPr>
        <w:t>The pension input amount is nil if during the pension input period a member:</w:t>
      </w:r>
    </w:p>
    <w:p w14:paraId="35CC726D" w14:textId="77777777" w:rsidR="001B66E8" w:rsidRPr="00483172" w:rsidRDefault="001B66E8" w:rsidP="001B66E8">
      <w:pPr>
        <w:rPr>
          <w:rStyle w:val="pnopadding"/>
          <w:rFonts w:cs="Arial"/>
          <w:b/>
        </w:rPr>
      </w:pPr>
    </w:p>
    <w:p w14:paraId="7F4E89C6" w14:textId="61A8BB37" w:rsidR="001B66E8" w:rsidRPr="00672EFC" w:rsidRDefault="001B66E8" w:rsidP="001B66E8">
      <w:pPr>
        <w:pStyle w:val="ListParagraph"/>
        <w:numPr>
          <w:ilvl w:val="0"/>
          <w:numId w:val="22"/>
        </w:numPr>
        <w:contextualSpacing w:val="0"/>
        <w:rPr>
          <w:rFonts w:cs="Arial"/>
        </w:rPr>
      </w:pPr>
      <w:r w:rsidRPr="00672EFC">
        <w:rPr>
          <w:rFonts w:cs="Arial"/>
        </w:rPr>
        <w:t>dies</w:t>
      </w:r>
    </w:p>
    <w:p w14:paraId="030875DB" w14:textId="28E9E36A" w:rsidR="001B66E8" w:rsidRPr="00672EFC" w:rsidRDefault="001B66E8" w:rsidP="001B66E8">
      <w:pPr>
        <w:pStyle w:val="ListParagraph"/>
        <w:numPr>
          <w:ilvl w:val="0"/>
          <w:numId w:val="22"/>
        </w:numPr>
        <w:contextualSpacing w:val="0"/>
        <w:rPr>
          <w:rFonts w:cs="Arial"/>
        </w:rPr>
      </w:pPr>
      <w:r w:rsidRPr="00672EFC">
        <w:rPr>
          <w:rFonts w:cs="Arial"/>
        </w:rPr>
        <w:t>retires because of ill health and meets HMRC’s severe ill health condition</w:t>
      </w:r>
    </w:p>
    <w:p w14:paraId="769E0F06" w14:textId="2FC634EC" w:rsidR="001B66E8" w:rsidRPr="00672EFC" w:rsidRDefault="001B66E8" w:rsidP="001B66E8">
      <w:pPr>
        <w:pStyle w:val="ListParagraph"/>
        <w:numPr>
          <w:ilvl w:val="0"/>
          <w:numId w:val="22"/>
        </w:numPr>
        <w:contextualSpacing w:val="0"/>
        <w:rPr>
          <w:rFonts w:cs="Arial"/>
        </w:rPr>
      </w:pPr>
      <w:r w:rsidRPr="00672EFC">
        <w:rPr>
          <w:rFonts w:cs="Arial"/>
        </w:rPr>
        <w:t>has been deferred for the whole of the pension input period</w:t>
      </w:r>
    </w:p>
    <w:p w14:paraId="28B3496D" w14:textId="61E90C49" w:rsidR="001B66E8" w:rsidRPr="00672EFC" w:rsidRDefault="001B66E8" w:rsidP="001B66E8">
      <w:pPr>
        <w:pStyle w:val="ListParagraph"/>
        <w:numPr>
          <w:ilvl w:val="0"/>
          <w:numId w:val="22"/>
        </w:numPr>
        <w:contextualSpacing w:val="0"/>
        <w:rPr>
          <w:rFonts w:cs="Arial"/>
        </w:rPr>
      </w:pPr>
      <w:r w:rsidRPr="00672EFC">
        <w:rPr>
          <w:rFonts w:cs="Arial"/>
        </w:rPr>
        <w:t xml:space="preserve">has been </w:t>
      </w:r>
      <w:r w:rsidRPr="00672EFC">
        <w:rPr>
          <w:rFonts w:cs="Arial"/>
          <w:lang w:eastAsia="en-GB"/>
        </w:rPr>
        <w:t>deferred for part of the pension input period who then retires</w:t>
      </w:r>
    </w:p>
    <w:p w14:paraId="0114A8E7" w14:textId="44894275" w:rsidR="001B66E8" w:rsidRPr="00672EFC" w:rsidRDefault="001B66E8" w:rsidP="001B66E8">
      <w:pPr>
        <w:pStyle w:val="ListParagraph"/>
        <w:numPr>
          <w:ilvl w:val="0"/>
          <w:numId w:val="22"/>
        </w:numPr>
        <w:contextualSpacing w:val="0"/>
        <w:rPr>
          <w:rFonts w:cs="Arial"/>
        </w:rPr>
      </w:pPr>
      <w:r w:rsidRPr="00672EFC">
        <w:rPr>
          <w:rFonts w:cs="Arial"/>
          <w:lang w:eastAsia="en-GB"/>
        </w:rPr>
        <w:t>leaves the scheme and has a refund of contributions</w:t>
      </w:r>
    </w:p>
    <w:p w14:paraId="10A05247" w14:textId="60C75898" w:rsidR="001B66E8" w:rsidRPr="00672EFC" w:rsidRDefault="001B66E8" w:rsidP="001B66E8">
      <w:pPr>
        <w:pStyle w:val="ListParagraph"/>
        <w:numPr>
          <w:ilvl w:val="0"/>
          <w:numId w:val="22"/>
        </w:numPr>
        <w:contextualSpacing w:val="0"/>
        <w:rPr>
          <w:rFonts w:cs="Arial"/>
        </w:rPr>
      </w:pPr>
      <w:r w:rsidRPr="00672EFC">
        <w:rPr>
          <w:rFonts w:cs="Arial"/>
          <w:lang w:eastAsia="en-GB"/>
        </w:rPr>
        <w:t xml:space="preserve">has pension credit benefits only </w:t>
      </w:r>
    </w:p>
    <w:p w14:paraId="718135A6" w14:textId="77777777" w:rsidR="001B66E8" w:rsidRPr="00672EFC" w:rsidRDefault="001B66E8" w:rsidP="001B66E8">
      <w:pPr>
        <w:pStyle w:val="ListParagraph"/>
        <w:rPr>
          <w:rFonts w:cs="Arial"/>
        </w:rPr>
      </w:pPr>
    </w:p>
    <w:p w14:paraId="04F40E11" w14:textId="77777777" w:rsidR="001B66E8" w:rsidRDefault="001B66E8" w:rsidP="00F840AB">
      <w:pPr>
        <w:pStyle w:val="Heading3"/>
        <w:rPr>
          <w:lang w:eastAsia="en-GB"/>
        </w:rPr>
      </w:pPr>
      <w:r w:rsidRPr="00483172">
        <w:rPr>
          <w:lang w:eastAsia="en-GB"/>
        </w:rPr>
        <w:t xml:space="preserve">Or may be nil in circumstances where there is a negative amount either because: </w:t>
      </w:r>
    </w:p>
    <w:p w14:paraId="21CC5B80" w14:textId="77777777" w:rsidR="001B66E8" w:rsidRPr="00483172" w:rsidRDefault="001B66E8" w:rsidP="001B66E8">
      <w:pPr>
        <w:rPr>
          <w:rFonts w:cs="Arial"/>
          <w:b/>
        </w:rPr>
      </w:pPr>
    </w:p>
    <w:p w14:paraId="37DEEF41" w14:textId="5A9EB41B" w:rsidR="001B66E8" w:rsidRPr="00672EFC" w:rsidRDefault="001B66E8" w:rsidP="001B66E8">
      <w:pPr>
        <w:pStyle w:val="ListParagraph"/>
        <w:numPr>
          <w:ilvl w:val="0"/>
          <w:numId w:val="22"/>
        </w:numPr>
        <w:autoSpaceDE w:val="0"/>
        <w:autoSpaceDN w:val="0"/>
        <w:adjustRightInd w:val="0"/>
        <w:contextualSpacing w:val="0"/>
        <w:rPr>
          <w:rFonts w:cs="Arial"/>
          <w:lang w:eastAsia="en-GB"/>
        </w:rPr>
      </w:pPr>
      <w:r w:rsidRPr="00672EFC">
        <w:rPr>
          <w:rFonts w:cs="Arial"/>
          <w:lang w:eastAsia="en-GB"/>
        </w:rPr>
        <w:t>the pensionable pay used to calculate benefits for the opening value is higher than that used to calculate benefits for the closing value, and/or</w:t>
      </w:r>
    </w:p>
    <w:p w14:paraId="7E8D5B77" w14:textId="15705770" w:rsidR="001B66E8" w:rsidRPr="00672EFC" w:rsidRDefault="001B66E8" w:rsidP="001B66E8">
      <w:pPr>
        <w:pStyle w:val="ListParagraph"/>
        <w:numPr>
          <w:ilvl w:val="0"/>
          <w:numId w:val="22"/>
        </w:numPr>
        <w:autoSpaceDE w:val="0"/>
        <w:autoSpaceDN w:val="0"/>
        <w:adjustRightInd w:val="0"/>
        <w:contextualSpacing w:val="0"/>
        <w:rPr>
          <w:rFonts w:cs="Arial"/>
          <w:lang w:eastAsia="en-GB"/>
        </w:rPr>
      </w:pPr>
      <w:r w:rsidRPr="00672EFC">
        <w:rPr>
          <w:rFonts w:cs="Arial"/>
          <w:lang w:eastAsia="en-GB"/>
        </w:rPr>
        <w:t>the growth in CPI, used in the opening value outweighs the actual growth of the NHS benefits</w:t>
      </w:r>
    </w:p>
    <w:p w14:paraId="5AD1950B" w14:textId="77777777" w:rsidR="001D6935" w:rsidRDefault="001D6935" w:rsidP="004C0B59">
      <w:pPr>
        <w:spacing w:before="9600" w:after="240"/>
        <w:textAlignment w:val="baseline"/>
        <w:rPr>
          <w:rFonts w:cs="Arial"/>
          <w:b/>
          <w:bCs/>
          <w:sz w:val="32"/>
          <w:szCs w:val="32"/>
        </w:rPr>
      </w:pPr>
      <w:bookmarkStart w:id="2" w:name="_Hlk163484771"/>
      <w:bookmarkStart w:id="3" w:name="_Hlk182487981"/>
      <w:bookmarkEnd w:id="0"/>
    </w:p>
    <w:p w14:paraId="6E349D31" w14:textId="21231B0D" w:rsidR="005A4C4E" w:rsidRPr="00D43283" w:rsidRDefault="005A4C4E" w:rsidP="004C0B59">
      <w:pPr>
        <w:spacing w:before="9600" w:after="240"/>
        <w:textAlignment w:val="baseline"/>
        <w:rPr>
          <w:rFonts w:cs="Arial"/>
          <w:b/>
          <w:bCs/>
          <w:sz w:val="32"/>
          <w:szCs w:val="32"/>
        </w:rPr>
      </w:pPr>
      <w:r w:rsidRPr="00D43283">
        <w:rPr>
          <w:rFonts w:cs="Arial"/>
          <w:b/>
          <w:bCs/>
          <w:sz w:val="32"/>
          <w:szCs w:val="32"/>
        </w:rPr>
        <w:t>How we use your information</w:t>
      </w:r>
    </w:p>
    <w:bookmarkEnd w:id="2"/>
    <w:p w14:paraId="6B8CA996" w14:textId="3A74F36E" w:rsidR="005D00D4" w:rsidRPr="00D43283" w:rsidRDefault="005D00D4" w:rsidP="005D00D4">
      <w:pPr>
        <w:textAlignment w:val="baseline"/>
        <w:rPr>
          <w:rFonts w:cs="Arial"/>
          <w:sz w:val="28"/>
          <w:szCs w:val="28"/>
        </w:rPr>
      </w:pPr>
      <w:r w:rsidRPr="00D43283">
        <w:rPr>
          <w:rFonts w:cs="Arial"/>
          <w:sz w:val="28"/>
          <w:szCs w:val="28"/>
          <w:lang w:val="en-US"/>
        </w:rPr>
        <w:t xml:space="preserve">For more information about how the NHSBSA processes your personal data, please see our Privacy Notice - </w:t>
      </w:r>
      <w:hyperlink r:id="rId13" w:history="1">
        <w:r w:rsidRPr="00D43283">
          <w:rPr>
            <w:rStyle w:val="Hyperlink"/>
            <w:rFonts w:cs="Arial"/>
            <w:color w:val="auto"/>
            <w:sz w:val="28"/>
            <w:szCs w:val="28"/>
            <w:lang w:val="en-US"/>
          </w:rPr>
          <w:t>www.nhsbsa.nhs.uk/our-policies/privacy/nhs-pensions-privacy-notice</w:t>
        </w:r>
      </w:hyperlink>
    </w:p>
    <w:bookmarkEnd w:id="3"/>
    <w:p w14:paraId="7E5C3256" w14:textId="39F782DB" w:rsidR="00FE0C28" w:rsidRPr="00D43283" w:rsidRDefault="00FE0C28" w:rsidP="00C469FD">
      <w:pPr>
        <w:textAlignment w:val="baseline"/>
        <w:rPr>
          <w:rFonts w:cs="Arial"/>
          <w:b/>
          <w:bCs/>
          <w:sz w:val="52"/>
          <w:szCs w:val="52"/>
        </w:rPr>
      </w:pPr>
      <w:r w:rsidRPr="00D43283">
        <w:rPr>
          <w:rFonts w:cs="Arial"/>
          <w:b/>
          <w:bCs/>
          <w:sz w:val="52"/>
          <w:szCs w:val="52"/>
        </w:rPr>
        <w:t>NHS Pensions</w:t>
      </w:r>
    </w:p>
    <w:p w14:paraId="7711238B" w14:textId="2FAD46EC" w:rsidR="00827BC3" w:rsidRDefault="00827BC3" w:rsidP="00827BC3">
      <w:pPr>
        <w:textAlignment w:val="baseline"/>
        <w:rPr>
          <w:rFonts w:cs="Arial"/>
          <w:b/>
          <w:bCs/>
          <w:color w:val="FFFFFF" w:themeColor="background1"/>
          <w:sz w:val="28"/>
          <w:szCs w:val="28"/>
        </w:rPr>
      </w:pPr>
      <w:r>
        <w:rPr>
          <w:rFonts w:cs="Arial"/>
          <w:b/>
          <w:bCs/>
          <w:noProof/>
          <w:color w:val="FFFFFF" w:themeColor="background1"/>
          <w:sz w:val="28"/>
          <w:szCs w:val="28"/>
        </w:rPr>
        <mc:AlternateContent>
          <mc:Choice Requires="wps">
            <w:drawing>
              <wp:anchor distT="0" distB="0" distL="114300" distR="114300" simplePos="0" relativeHeight="251658241" behindDoc="1" locked="0" layoutInCell="1" allowOverlap="1" wp14:anchorId="6E19F48E" wp14:editId="2E16BC80">
                <wp:simplePos x="0" y="0"/>
                <wp:positionH relativeFrom="column">
                  <wp:posOffset>-81915</wp:posOffset>
                </wp:positionH>
                <wp:positionV relativeFrom="paragraph">
                  <wp:posOffset>102235</wp:posOffset>
                </wp:positionV>
                <wp:extent cx="5553075" cy="446405"/>
                <wp:effectExtent l="0" t="0" r="9525"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53075"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86BA" id="Rectangle 6" o:spid="_x0000_s1026" alt="&quot;&quot;" style="position:absolute;margin-left:-6.45pt;margin-top:8.05pt;width:437.25pt;height:3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" fillcolor="#006747" stroked="f" strokeweight="2pt"/>
            </w:pict>
          </mc:Fallback>
        </mc:AlternateContent>
      </w:r>
    </w:p>
    <w:p w14:paraId="5DBB1094" w14:textId="7804DE6D" w:rsidR="001432E2" w:rsidRDefault="001432E2" w:rsidP="001432E2">
      <w:pPr>
        <w:ind w:right="-1983"/>
        <w:rPr>
          <w:rFonts w:cs="Arial"/>
          <w:b/>
          <w:bCs/>
          <w:color w:val="FFFFFF" w:themeColor="light1"/>
          <w:kern w:val="24"/>
          <w:sz w:val="32"/>
          <w:szCs w:val="32"/>
        </w:rPr>
      </w:pPr>
      <w:r>
        <w:rPr>
          <w:rFonts w:cs="Arial"/>
          <w:b/>
          <w:bCs/>
          <w:color w:val="FFFFFF" w:themeColor="light1"/>
          <w:kern w:val="24"/>
          <w:sz w:val="32"/>
          <w:szCs w:val="32"/>
        </w:rPr>
        <w:t>Process for calculat</w:t>
      </w:r>
      <w:r w:rsidR="00E12A9C">
        <w:rPr>
          <w:rFonts w:cs="Arial"/>
          <w:b/>
          <w:bCs/>
          <w:color w:val="FFFFFF" w:themeColor="light1"/>
          <w:kern w:val="24"/>
          <w:sz w:val="32"/>
          <w:szCs w:val="32"/>
        </w:rPr>
        <w:t>ing</w:t>
      </w:r>
      <w:r>
        <w:rPr>
          <w:rFonts w:cs="Arial"/>
          <w:b/>
          <w:bCs/>
          <w:color w:val="FFFFFF" w:themeColor="light1"/>
          <w:kern w:val="24"/>
          <w:sz w:val="32"/>
          <w:szCs w:val="32"/>
        </w:rPr>
        <w:t xml:space="preserve"> the Annual Allowance factsheet</w:t>
      </w:r>
    </w:p>
    <w:p w14:paraId="5D2FF439" w14:textId="77777777" w:rsidR="00827BC3" w:rsidRDefault="00827BC3" w:rsidP="00827BC3">
      <w:pPr>
        <w:textAlignment w:val="baseline"/>
        <w:rPr>
          <w:rFonts w:cs="Arial"/>
          <w:b/>
          <w:bCs/>
          <w:color w:val="FFFFFF" w:themeColor="background1"/>
          <w:sz w:val="32"/>
          <w:szCs w:val="32"/>
        </w:rPr>
      </w:pPr>
    </w:p>
    <w:p w14:paraId="5DE927C8" w14:textId="583652FC" w:rsidR="00827BC3" w:rsidRPr="00D43283" w:rsidRDefault="00827BC3" w:rsidP="00827BC3">
      <w:pPr>
        <w:textAlignment w:val="baseline"/>
        <w:rPr>
          <w:rFonts w:cs="Arial"/>
          <w:b/>
          <w:bCs/>
        </w:rPr>
      </w:pPr>
    </w:p>
    <w:p w14:paraId="4C295D4B" w14:textId="2E7C24D4" w:rsidR="00FE0C28" w:rsidRPr="00D43283" w:rsidRDefault="008E4343" w:rsidP="00827BC3">
      <w:pPr>
        <w:textAlignment w:val="baseline"/>
        <w:rPr>
          <w:rFonts w:cs="Arial"/>
          <w:sz w:val="28"/>
          <w:szCs w:val="28"/>
          <w:u w:val="single"/>
        </w:rPr>
      </w:pPr>
      <w:hyperlink r:id="rId14" w:history="1">
        <w:r w:rsidRPr="00D43283">
          <w:rPr>
            <w:rStyle w:val="Hyperlink"/>
            <w:rFonts w:cs="Arial"/>
            <w:color w:val="auto"/>
            <w:sz w:val="28"/>
            <w:szCs w:val="28"/>
          </w:rPr>
          <w:t>www.nhsbsa.nhs.uk/nhs-pensions</w:t>
        </w:r>
      </w:hyperlink>
      <w:r w:rsidRPr="00D43283">
        <w:rPr>
          <w:rFonts w:cs="Arial"/>
          <w:sz w:val="28"/>
          <w:szCs w:val="28"/>
          <w:u w:val="single"/>
        </w:rPr>
        <w:t xml:space="preserve"> </w:t>
      </w:r>
    </w:p>
    <w:sectPr w:rsidR="00FE0C28" w:rsidRPr="00D43283" w:rsidSect="0010013D">
      <w:headerReference w:type="even" r:id="rId15"/>
      <w:headerReference w:type="default" r:id="rId16"/>
      <w:footerReference w:type="even" r:id="rId17"/>
      <w:footerReference w:type="default" r:id="rId18"/>
      <w:headerReference w:type="first" r:id="rId19"/>
      <w:footerReference w:type="first" r:id="rId20"/>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704D" w14:textId="77777777" w:rsidR="00D8175C" w:rsidRDefault="00D8175C" w:rsidP="00D023EC">
      <w:r>
        <w:separator/>
      </w:r>
    </w:p>
  </w:endnote>
  <w:endnote w:type="continuationSeparator" w:id="0">
    <w:p w14:paraId="3FD4BBF6" w14:textId="77777777" w:rsidR="00D8175C" w:rsidRDefault="00D8175C"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C3A0" w14:textId="77777777" w:rsidR="00F1248D" w:rsidRDefault="00F12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25944937"/>
      <w:docPartObj>
        <w:docPartGallery w:val="Page Numbers (Bottom of Page)"/>
        <w:docPartUnique/>
      </w:docPartObj>
    </w:sdtPr>
    <w:sdtEndPr>
      <w:rPr>
        <w:noProof/>
      </w:rPr>
    </w:sdtEndPr>
    <w:sdtContent>
      <w:p w14:paraId="1C8E9502" w14:textId="77777777" w:rsidR="00CE1F66" w:rsidRPr="00012431" w:rsidRDefault="00CE1F66"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58241" behindDoc="0" locked="0" layoutInCell="1" allowOverlap="1" wp14:anchorId="3996247C" wp14:editId="41545795">
                  <wp:simplePos x="0" y="0"/>
                  <wp:positionH relativeFrom="column">
                    <wp:posOffset>-27511</wp:posOffset>
                  </wp:positionH>
                  <wp:positionV relativeFrom="paragraph">
                    <wp:posOffset>30480</wp:posOffset>
                  </wp:positionV>
                  <wp:extent cx="6178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4AE62" id="Straight Connector 9"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" strokecolor="black [3213]"/>
              </w:pict>
            </mc:Fallback>
          </mc:AlternateContent>
        </w:r>
      </w:p>
      <w:p w14:paraId="24F72D6B" w14:textId="2BCB0DAB" w:rsidR="00CE1F66" w:rsidRPr="00B021D2" w:rsidRDefault="00EF3BFB" w:rsidP="0010013D">
        <w:pPr>
          <w:pStyle w:val="Footer"/>
          <w:jc w:val="right"/>
          <w:rPr>
            <w:rFonts w:cs="Arial"/>
            <w:sz w:val="18"/>
            <w:szCs w:val="18"/>
          </w:rPr>
        </w:pPr>
        <w:r>
          <w:rPr>
            <w:rFonts w:cs="Arial"/>
            <w:sz w:val="20"/>
            <w:szCs w:val="20"/>
          </w:rPr>
          <w:t xml:space="preserve">Process for calculating the </w:t>
        </w:r>
        <w:r w:rsidR="00F1248D">
          <w:rPr>
            <w:rFonts w:cs="Arial"/>
            <w:sz w:val="20"/>
            <w:szCs w:val="20"/>
          </w:rPr>
          <w:t>a</w:t>
        </w:r>
        <w:r>
          <w:rPr>
            <w:rFonts w:cs="Arial"/>
            <w:sz w:val="20"/>
            <w:szCs w:val="20"/>
          </w:rPr>
          <w:t xml:space="preserve">nnual </w:t>
        </w:r>
        <w:r w:rsidR="00F1248D">
          <w:rPr>
            <w:rFonts w:cs="Arial"/>
            <w:sz w:val="20"/>
            <w:szCs w:val="20"/>
          </w:rPr>
          <w:t>a</w:t>
        </w:r>
        <w:r>
          <w:rPr>
            <w:rFonts w:cs="Arial"/>
            <w:sz w:val="20"/>
            <w:szCs w:val="20"/>
          </w:rPr>
          <w:t>llowance-</w:t>
        </w:r>
        <w:r w:rsidR="00B0773F">
          <w:rPr>
            <w:rFonts w:cs="Arial"/>
            <w:sz w:val="20"/>
            <w:szCs w:val="20"/>
          </w:rPr>
          <w:t>20260123</w:t>
        </w:r>
        <w:r>
          <w:rPr>
            <w:rFonts w:cs="Arial"/>
            <w:sz w:val="20"/>
            <w:szCs w:val="20"/>
          </w:rPr>
          <w:t xml:space="preserve">-(V6) </w:t>
        </w:r>
        <w:r w:rsidR="00CE1F66" w:rsidRPr="00B021D2">
          <w:rPr>
            <w:rFonts w:cs="Arial"/>
            <w:sz w:val="18"/>
            <w:szCs w:val="18"/>
          </w:rPr>
          <w:fldChar w:fldCharType="begin"/>
        </w:r>
        <w:r w:rsidR="00CE1F66" w:rsidRPr="00B021D2">
          <w:rPr>
            <w:rFonts w:cs="Arial"/>
            <w:sz w:val="18"/>
            <w:szCs w:val="18"/>
          </w:rPr>
          <w:instrText xml:space="preserve"> PAGE   \* MERGEFORMAT </w:instrText>
        </w:r>
        <w:r w:rsidR="00CE1F66" w:rsidRPr="00B021D2">
          <w:rPr>
            <w:rFonts w:cs="Arial"/>
            <w:sz w:val="18"/>
            <w:szCs w:val="18"/>
          </w:rPr>
          <w:fldChar w:fldCharType="separate"/>
        </w:r>
        <w:r w:rsidR="00CE1F66" w:rsidRPr="00B021D2">
          <w:rPr>
            <w:rFonts w:cs="Arial"/>
            <w:sz w:val="18"/>
            <w:szCs w:val="18"/>
          </w:rPr>
          <w:t>1</w:t>
        </w:r>
        <w:r w:rsidR="00CE1F66" w:rsidRPr="00B021D2">
          <w:rPr>
            <w:rFonts w:cs="Arial"/>
            <w:noProof/>
            <w:sz w:val="18"/>
            <w:szCs w:val="18"/>
          </w:rPr>
          <w:fldChar w:fldCharType="end"/>
        </w:r>
      </w:p>
    </w:sdtContent>
  </w:sdt>
  <w:p w14:paraId="329AA7AD" w14:textId="77777777" w:rsidR="00437B3C" w:rsidRPr="00CE1F66" w:rsidRDefault="00437B3C" w:rsidP="00CE1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80" w14:textId="2E633489" w:rsidR="005E1D02" w:rsidRDefault="005E1D02">
    <w:pPr>
      <w:pStyle w:val="Footer"/>
      <w:jc w:val="right"/>
      <w:rPr>
        <w:rFonts w:cs="Arial"/>
        <w:color w:val="808080" w:themeColor="background1" w:themeShade="80"/>
        <w:sz w:val="18"/>
        <w:szCs w:val="18"/>
      </w:rPr>
    </w:pPr>
    <w:r>
      <w:rPr>
        <w:rFonts w:cs="Arial"/>
        <w:noProof/>
      </w:rPr>
      <mc:AlternateContent>
        <mc:Choice Requires="wps">
          <w:drawing>
            <wp:anchor distT="0" distB="0" distL="114300" distR="114300" simplePos="0" relativeHeight="251658240"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C1245" id="Straight Connector 7"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" strokecolor="black [3213]"/>
          </w:pict>
        </mc:Fallback>
      </mc:AlternateContent>
    </w:r>
  </w:p>
  <w:p w14:paraId="460484E7" w14:textId="7217C4DD"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827BC3">
      <w:rPr>
        <w:rFonts w:cs="Arial"/>
        <w:color w:val="A6A6A6" w:themeColor="background1" w:themeShade="A6"/>
        <w:sz w:val="18"/>
        <w:szCs w:val="18"/>
      </w:rPr>
      <w:t xml:space="preserve">Factsheet name - Date (V1)     </w:t>
    </w:r>
    <w:r w:rsidR="00827BC3" w:rsidRPr="00827BC3">
      <w:rPr>
        <w:rFonts w:cs="Arial"/>
        <w:color w:val="A6A6A6" w:themeColor="background1" w:themeShade="A6"/>
        <w:sz w:val="18"/>
        <w:szCs w:val="18"/>
      </w:rPr>
      <w:fldChar w:fldCharType="begin"/>
    </w:r>
    <w:r w:rsidR="00827BC3" w:rsidRPr="00827BC3">
      <w:rPr>
        <w:rFonts w:cs="Arial"/>
        <w:color w:val="A6A6A6" w:themeColor="background1" w:themeShade="A6"/>
        <w:sz w:val="18"/>
        <w:szCs w:val="18"/>
      </w:rPr>
      <w:instrText xml:space="preserve"> PAGE   \* MERGEFORMAT </w:instrText>
    </w:r>
    <w:r w:rsidR="00827BC3" w:rsidRPr="00827BC3">
      <w:rPr>
        <w:rFonts w:cs="Arial"/>
        <w:color w:val="A6A6A6" w:themeColor="background1" w:themeShade="A6"/>
        <w:sz w:val="18"/>
        <w:szCs w:val="18"/>
      </w:rPr>
      <w:fldChar w:fldCharType="separate"/>
    </w:r>
    <w:r w:rsidR="00827BC3" w:rsidRPr="00827BC3">
      <w:rPr>
        <w:rFonts w:cs="Arial"/>
        <w:color w:val="A6A6A6" w:themeColor="background1" w:themeShade="A6"/>
        <w:sz w:val="18"/>
        <w:szCs w:val="18"/>
      </w:rPr>
      <w:t>1</w:t>
    </w:r>
    <w:r w:rsidR="00827BC3" w:rsidRPr="00827BC3">
      <w:rPr>
        <w:rFonts w:cs="Arial"/>
        <w:color w:val="A6A6A6" w:themeColor="background1" w:themeShade="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D941" w14:textId="77777777" w:rsidR="00D8175C" w:rsidRDefault="00D8175C" w:rsidP="00D023EC">
      <w:r>
        <w:separator/>
      </w:r>
    </w:p>
  </w:footnote>
  <w:footnote w:type="continuationSeparator" w:id="0">
    <w:p w14:paraId="1B060936" w14:textId="77777777" w:rsidR="00D8175C" w:rsidRDefault="00D8175C"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80F9" w14:textId="77777777" w:rsidR="00F1248D" w:rsidRDefault="00F12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3A6" w14:textId="77777777" w:rsidR="00080904" w:rsidRDefault="00080904" w:rsidP="0070180D">
    <w:pPr>
      <w:pStyle w:val="Header"/>
      <w:ind w:left="-964" w:right="-9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89F3" w14:textId="77777777" w:rsidR="00F1248D" w:rsidRDefault="00F12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27F"/>
    <w:multiLevelType w:val="hybridMultilevel"/>
    <w:tmpl w:val="10481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EE6731"/>
    <w:multiLevelType w:val="hybridMultilevel"/>
    <w:tmpl w:val="D0A8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35705"/>
    <w:multiLevelType w:val="hybridMultilevel"/>
    <w:tmpl w:val="1ACA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85364"/>
    <w:multiLevelType w:val="hybridMultilevel"/>
    <w:tmpl w:val="B46409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E72F4"/>
    <w:multiLevelType w:val="hybridMultilevel"/>
    <w:tmpl w:val="9C1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259AA"/>
    <w:multiLevelType w:val="hybridMultilevel"/>
    <w:tmpl w:val="458C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B51A8"/>
    <w:multiLevelType w:val="hybridMultilevel"/>
    <w:tmpl w:val="CA84C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885176"/>
    <w:multiLevelType w:val="hybridMultilevel"/>
    <w:tmpl w:val="E7845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208430">
    <w:abstractNumId w:val="8"/>
  </w:num>
  <w:num w:numId="2" w16cid:durableId="1277449050">
    <w:abstractNumId w:val="20"/>
  </w:num>
  <w:num w:numId="3" w16cid:durableId="406804780">
    <w:abstractNumId w:val="9"/>
  </w:num>
  <w:num w:numId="4" w16cid:durableId="514464793">
    <w:abstractNumId w:val="17"/>
  </w:num>
  <w:num w:numId="5" w16cid:durableId="417019885">
    <w:abstractNumId w:val="3"/>
  </w:num>
  <w:num w:numId="6" w16cid:durableId="1795634554">
    <w:abstractNumId w:val="21"/>
  </w:num>
  <w:num w:numId="7" w16cid:durableId="2086681520">
    <w:abstractNumId w:val="1"/>
  </w:num>
  <w:num w:numId="8" w16cid:durableId="263807197">
    <w:abstractNumId w:val="2"/>
  </w:num>
  <w:num w:numId="9" w16cid:durableId="1644433188">
    <w:abstractNumId w:val="15"/>
  </w:num>
  <w:num w:numId="10" w16cid:durableId="1173569333">
    <w:abstractNumId w:val="4"/>
  </w:num>
  <w:num w:numId="11" w16cid:durableId="646282171">
    <w:abstractNumId w:val="18"/>
  </w:num>
  <w:num w:numId="12" w16cid:durableId="362485997">
    <w:abstractNumId w:val="25"/>
  </w:num>
  <w:num w:numId="13" w16cid:durableId="211692240">
    <w:abstractNumId w:val="5"/>
  </w:num>
  <w:num w:numId="14" w16cid:durableId="309946236">
    <w:abstractNumId w:val="10"/>
  </w:num>
  <w:num w:numId="15" w16cid:durableId="992637131">
    <w:abstractNumId w:val="19"/>
  </w:num>
  <w:num w:numId="16" w16cid:durableId="1976594794">
    <w:abstractNumId w:val="12"/>
  </w:num>
  <w:num w:numId="17" w16cid:durableId="325715937">
    <w:abstractNumId w:val="13"/>
  </w:num>
  <w:num w:numId="18" w16cid:durableId="1852597102">
    <w:abstractNumId w:val="14"/>
  </w:num>
  <w:num w:numId="19" w16cid:durableId="989094242">
    <w:abstractNumId w:val="16"/>
  </w:num>
  <w:num w:numId="20" w16cid:durableId="874004679">
    <w:abstractNumId w:val="23"/>
  </w:num>
  <w:num w:numId="21" w16cid:durableId="1480919321">
    <w:abstractNumId w:val="11"/>
  </w:num>
  <w:num w:numId="22" w16cid:durableId="1169952094">
    <w:abstractNumId w:val="6"/>
  </w:num>
  <w:num w:numId="23" w16cid:durableId="1809123030">
    <w:abstractNumId w:val="24"/>
  </w:num>
  <w:num w:numId="24" w16cid:durableId="422185927">
    <w:abstractNumId w:val="0"/>
  </w:num>
  <w:num w:numId="25" w16cid:durableId="126163403">
    <w:abstractNumId w:val="7"/>
  </w:num>
  <w:num w:numId="26" w16cid:durableId="990717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11238"/>
    <w:rsid w:val="00012431"/>
    <w:rsid w:val="00014BE4"/>
    <w:rsid w:val="0002552F"/>
    <w:rsid w:val="00027EE8"/>
    <w:rsid w:val="000333F4"/>
    <w:rsid w:val="0003418B"/>
    <w:rsid w:val="000365DB"/>
    <w:rsid w:val="00041460"/>
    <w:rsid w:val="00046CF7"/>
    <w:rsid w:val="00052FEC"/>
    <w:rsid w:val="00055308"/>
    <w:rsid w:val="000602DB"/>
    <w:rsid w:val="00060589"/>
    <w:rsid w:val="00061888"/>
    <w:rsid w:val="00061FB8"/>
    <w:rsid w:val="00062CF5"/>
    <w:rsid w:val="000723FC"/>
    <w:rsid w:val="0007295B"/>
    <w:rsid w:val="00073435"/>
    <w:rsid w:val="000778B8"/>
    <w:rsid w:val="00080904"/>
    <w:rsid w:val="000823F3"/>
    <w:rsid w:val="00092F04"/>
    <w:rsid w:val="00096734"/>
    <w:rsid w:val="00096D09"/>
    <w:rsid w:val="000A1C68"/>
    <w:rsid w:val="000A249D"/>
    <w:rsid w:val="000B4E09"/>
    <w:rsid w:val="000B6F2A"/>
    <w:rsid w:val="000B7A05"/>
    <w:rsid w:val="000B7DD1"/>
    <w:rsid w:val="000C2BF6"/>
    <w:rsid w:val="000C41EB"/>
    <w:rsid w:val="000C69E6"/>
    <w:rsid w:val="000D1003"/>
    <w:rsid w:val="000D24BE"/>
    <w:rsid w:val="000D6CD7"/>
    <w:rsid w:val="000D7320"/>
    <w:rsid w:val="000E0830"/>
    <w:rsid w:val="000E096F"/>
    <w:rsid w:val="000E26C7"/>
    <w:rsid w:val="000F3973"/>
    <w:rsid w:val="0010013D"/>
    <w:rsid w:val="00102BB9"/>
    <w:rsid w:val="00102EA7"/>
    <w:rsid w:val="001056AB"/>
    <w:rsid w:val="00107F7E"/>
    <w:rsid w:val="001129FE"/>
    <w:rsid w:val="00115A8A"/>
    <w:rsid w:val="00120B4E"/>
    <w:rsid w:val="00122D1C"/>
    <w:rsid w:val="00123B29"/>
    <w:rsid w:val="00124222"/>
    <w:rsid w:val="001249B0"/>
    <w:rsid w:val="001251CC"/>
    <w:rsid w:val="00131002"/>
    <w:rsid w:val="00136D79"/>
    <w:rsid w:val="001432E2"/>
    <w:rsid w:val="00143684"/>
    <w:rsid w:val="00152427"/>
    <w:rsid w:val="0015548B"/>
    <w:rsid w:val="001558AF"/>
    <w:rsid w:val="001658E3"/>
    <w:rsid w:val="0016671F"/>
    <w:rsid w:val="00166C5E"/>
    <w:rsid w:val="001673AE"/>
    <w:rsid w:val="001710C3"/>
    <w:rsid w:val="001727E9"/>
    <w:rsid w:val="00175A53"/>
    <w:rsid w:val="00175E7E"/>
    <w:rsid w:val="001841DE"/>
    <w:rsid w:val="001849C1"/>
    <w:rsid w:val="001A098F"/>
    <w:rsid w:val="001A1447"/>
    <w:rsid w:val="001B228D"/>
    <w:rsid w:val="001B5C5C"/>
    <w:rsid w:val="001B66E8"/>
    <w:rsid w:val="001B7A12"/>
    <w:rsid w:val="001D1DCE"/>
    <w:rsid w:val="001D3319"/>
    <w:rsid w:val="001D3D76"/>
    <w:rsid w:val="001D49FE"/>
    <w:rsid w:val="001D4AA7"/>
    <w:rsid w:val="001D6935"/>
    <w:rsid w:val="001E0412"/>
    <w:rsid w:val="001E26DB"/>
    <w:rsid w:val="001F2FBF"/>
    <w:rsid w:val="002058F1"/>
    <w:rsid w:val="00211601"/>
    <w:rsid w:val="002131AA"/>
    <w:rsid w:val="00213DCC"/>
    <w:rsid w:val="00220B66"/>
    <w:rsid w:val="002344A6"/>
    <w:rsid w:val="00234755"/>
    <w:rsid w:val="00234C02"/>
    <w:rsid w:val="00242BAE"/>
    <w:rsid w:val="0024717C"/>
    <w:rsid w:val="00250101"/>
    <w:rsid w:val="0025460F"/>
    <w:rsid w:val="00263A68"/>
    <w:rsid w:val="0026548F"/>
    <w:rsid w:val="00265788"/>
    <w:rsid w:val="002730B9"/>
    <w:rsid w:val="00284DD3"/>
    <w:rsid w:val="00291983"/>
    <w:rsid w:val="002A5083"/>
    <w:rsid w:val="002A6E95"/>
    <w:rsid w:val="002B0B1B"/>
    <w:rsid w:val="002B1FDF"/>
    <w:rsid w:val="002B5692"/>
    <w:rsid w:val="002C17A8"/>
    <w:rsid w:val="002D0D78"/>
    <w:rsid w:val="002D1110"/>
    <w:rsid w:val="002D4682"/>
    <w:rsid w:val="002D50D0"/>
    <w:rsid w:val="002D6BAB"/>
    <w:rsid w:val="002E101F"/>
    <w:rsid w:val="002E62E8"/>
    <w:rsid w:val="002E6C6B"/>
    <w:rsid w:val="002F1095"/>
    <w:rsid w:val="002F3E6F"/>
    <w:rsid w:val="00300E02"/>
    <w:rsid w:val="003060A2"/>
    <w:rsid w:val="00306F47"/>
    <w:rsid w:val="00312B4B"/>
    <w:rsid w:val="00322B63"/>
    <w:rsid w:val="00323489"/>
    <w:rsid w:val="00333A98"/>
    <w:rsid w:val="00337CD3"/>
    <w:rsid w:val="00340461"/>
    <w:rsid w:val="00341C52"/>
    <w:rsid w:val="00350100"/>
    <w:rsid w:val="0035784D"/>
    <w:rsid w:val="003637DE"/>
    <w:rsid w:val="00377D98"/>
    <w:rsid w:val="0038677B"/>
    <w:rsid w:val="00386F12"/>
    <w:rsid w:val="00387AFF"/>
    <w:rsid w:val="00391C0B"/>
    <w:rsid w:val="00391EE2"/>
    <w:rsid w:val="003A49D5"/>
    <w:rsid w:val="003A66AB"/>
    <w:rsid w:val="003A6B98"/>
    <w:rsid w:val="003B14D6"/>
    <w:rsid w:val="003B1B63"/>
    <w:rsid w:val="003B4560"/>
    <w:rsid w:val="003B788F"/>
    <w:rsid w:val="003C2BA5"/>
    <w:rsid w:val="003C6BE8"/>
    <w:rsid w:val="003D5D43"/>
    <w:rsid w:val="003E11A8"/>
    <w:rsid w:val="003E16EC"/>
    <w:rsid w:val="003E7045"/>
    <w:rsid w:val="003F13AC"/>
    <w:rsid w:val="003F4851"/>
    <w:rsid w:val="004035A4"/>
    <w:rsid w:val="00405FFD"/>
    <w:rsid w:val="00406EBA"/>
    <w:rsid w:val="00406ED9"/>
    <w:rsid w:val="004074DA"/>
    <w:rsid w:val="004102C1"/>
    <w:rsid w:val="00420ECC"/>
    <w:rsid w:val="00421222"/>
    <w:rsid w:val="00421EAA"/>
    <w:rsid w:val="00426648"/>
    <w:rsid w:val="004340D4"/>
    <w:rsid w:val="004359DD"/>
    <w:rsid w:val="004375C5"/>
    <w:rsid w:val="00437723"/>
    <w:rsid w:val="00437B3C"/>
    <w:rsid w:val="00443C26"/>
    <w:rsid w:val="00447208"/>
    <w:rsid w:val="00457197"/>
    <w:rsid w:val="00461716"/>
    <w:rsid w:val="004619D2"/>
    <w:rsid w:val="00465B8A"/>
    <w:rsid w:val="004668B4"/>
    <w:rsid w:val="00474227"/>
    <w:rsid w:val="00474F3F"/>
    <w:rsid w:val="00480706"/>
    <w:rsid w:val="00491E0A"/>
    <w:rsid w:val="004A234B"/>
    <w:rsid w:val="004A5843"/>
    <w:rsid w:val="004B41A3"/>
    <w:rsid w:val="004C0B59"/>
    <w:rsid w:val="004C30CC"/>
    <w:rsid w:val="004D1566"/>
    <w:rsid w:val="004D357E"/>
    <w:rsid w:val="004D3746"/>
    <w:rsid w:val="004D486D"/>
    <w:rsid w:val="004D653F"/>
    <w:rsid w:val="004D6939"/>
    <w:rsid w:val="004D78E7"/>
    <w:rsid w:val="004E4751"/>
    <w:rsid w:val="004E5545"/>
    <w:rsid w:val="004F4291"/>
    <w:rsid w:val="004F7882"/>
    <w:rsid w:val="00503704"/>
    <w:rsid w:val="00505F40"/>
    <w:rsid w:val="00507F2B"/>
    <w:rsid w:val="00511284"/>
    <w:rsid w:val="005132CA"/>
    <w:rsid w:val="00513351"/>
    <w:rsid w:val="005209BC"/>
    <w:rsid w:val="00522E90"/>
    <w:rsid w:val="00523CD5"/>
    <w:rsid w:val="00526AE4"/>
    <w:rsid w:val="00527F40"/>
    <w:rsid w:val="0053517B"/>
    <w:rsid w:val="005440A2"/>
    <w:rsid w:val="0054760F"/>
    <w:rsid w:val="005510F4"/>
    <w:rsid w:val="0055363D"/>
    <w:rsid w:val="00555AC0"/>
    <w:rsid w:val="00563B98"/>
    <w:rsid w:val="00567EF9"/>
    <w:rsid w:val="0057696F"/>
    <w:rsid w:val="00580C9D"/>
    <w:rsid w:val="00580CCC"/>
    <w:rsid w:val="0058499C"/>
    <w:rsid w:val="005856C3"/>
    <w:rsid w:val="00587A35"/>
    <w:rsid w:val="0059241C"/>
    <w:rsid w:val="00593715"/>
    <w:rsid w:val="005939AB"/>
    <w:rsid w:val="00595A75"/>
    <w:rsid w:val="005A0ADD"/>
    <w:rsid w:val="005A2462"/>
    <w:rsid w:val="005A4C4E"/>
    <w:rsid w:val="005B3272"/>
    <w:rsid w:val="005B5DF7"/>
    <w:rsid w:val="005B6CC1"/>
    <w:rsid w:val="005C213F"/>
    <w:rsid w:val="005C53C6"/>
    <w:rsid w:val="005D00D4"/>
    <w:rsid w:val="005D03FC"/>
    <w:rsid w:val="005D710D"/>
    <w:rsid w:val="005E1C82"/>
    <w:rsid w:val="005E1D02"/>
    <w:rsid w:val="005E1EC6"/>
    <w:rsid w:val="005E5C34"/>
    <w:rsid w:val="005E65A0"/>
    <w:rsid w:val="005F43BB"/>
    <w:rsid w:val="006016EB"/>
    <w:rsid w:val="00605393"/>
    <w:rsid w:val="00605DB4"/>
    <w:rsid w:val="00606890"/>
    <w:rsid w:val="00607236"/>
    <w:rsid w:val="00612AC6"/>
    <w:rsid w:val="006212A1"/>
    <w:rsid w:val="00621535"/>
    <w:rsid w:val="00622505"/>
    <w:rsid w:val="0062409B"/>
    <w:rsid w:val="00626FEB"/>
    <w:rsid w:val="0062784B"/>
    <w:rsid w:val="00627A65"/>
    <w:rsid w:val="00631557"/>
    <w:rsid w:val="00632440"/>
    <w:rsid w:val="0063459D"/>
    <w:rsid w:val="00636FB9"/>
    <w:rsid w:val="00640525"/>
    <w:rsid w:val="00643DEF"/>
    <w:rsid w:val="006469C4"/>
    <w:rsid w:val="0065035D"/>
    <w:rsid w:val="00652837"/>
    <w:rsid w:val="006725BC"/>
    <w:rsid w:val="006749B6"/>
    <w:rsid w:val="00680598"/>
    <w:rsid w:val="00692C61"/>
    <w:rsid w:val="006939E9"/>
    <w:rsid w:val="00694EE0"/>
    <w:rsid w:val="006A38DD"/>
    <w:rsid w:val="006A4779"/>
    <w:rsid w:val="006A519A"/>
    <w:rsid w:val="006A5C1A"/>
    <w:rsid w:val="006A73A5"/>
    <w:rsid w:val="006A7CEF"/>
    <w:rsid w:val="006B2E4F"/>
    <w:rsid w:val="006C4110"/>
    <w:rsid w:val="006D1015"/>
    <w:rsid w:val="006D14F5"/>
    <w:rsid w:val="006D15CD"/>
    <w:rsid w:val="006D194E"/>
    <w:rsid w:val="006D4193"/>
    <w:rsid w:val="006D43C7"/>
    <w:rsid w:val="006D711C"/>
    <w:rsid w:val="006E087E"/>
    <w:rsid w:val="006E55FA"/>
    <w:rsid w:val="006E66FC"/>
    <w:rsid w:val="006F0DAC"/>
    <w:rsid w:val="0070180D"/>
    <w:rsid w:val="00707697"/>
    <w:rsid w:val="00713ABB"/>
    <w:rsid w:val="007325D5"/>
    <w:rsid w:val="007327D2"/>
    <w:rsid w:val="00733C22"/>
    <w:rsid w:val="00736D3B"/>
    <w:rsid w:val="007377DD"/>
    <w:rsid w:val="00740227"/>
    <w:rsid w:val="007403C8"/>
    <w:rsid w:val="00745534"/>
    <w:rsid w:val="007466DC"/>
    <w:rsid w:val="007561AB"/>
    <w:rsid w:val="00761C10"/>
    <w:rsid w:val="00764412"/>
    <w:rsid w:val="007663BB"/>
    <w:rsid w:val="00781589"/>
    <w:rsid w:val="0079085E"/>
    <w:rsid w:val="00796384"/>
    <w:rsid w:val="007A02D8"/>
    <w:rsid w:val="007A030E"/>
    <w:rsid w:val="007A19BD"/>
    <w:rsid w:val="007A2028"/>
    <w:rsid w:val="007A2E5D"/>
    <w:rsid w:val="007A3565"/>
    <w:rsid w:val="007A5688"/>
    <w:rsid w:val="007A5D29"/>
    <w:rsid w:val="007A6444"/>
    <w:rsid w:val="007A700D"/>
    <w:rsid w:val="007A7958"/>
    <w:rsid w:val="007B413B"/>
    <w:rsid w:val="007D54A9"/>
    <w:rsid w:val="007D642C"/>
    <w:rsid w:val="007D6D36"/>
    <w:rsid w:val="007E54B4"/>
    <w:rsid w:val="007E77A0"/>
    <w:rsid w:val="0080622F"/>
    <w:rsid w:val="00806602"/>
    <w:rsid w:val="00806E49"/>
    <w:rsid w:val="00807CD8"/>
    <w:rsid w:val="00812999"/>
    <w:rsid w:val="00813180"/>
    <w:rsid w:val="008138E2"/>
    <w:rsid w:val="00816A83"/>
    <w:rsid w:val="008221CC"/>
    <w:rsid w:val="00826385"/>
    <w:rsid w:val="00827BC3"/>
    <w:rsid w:val="00827E80"/>
    <w:rsid w:val="008304CD"/>
    <w:rsid w:val="0084691B"/>
    <w:rsid w:val="00850307"/>
    <w:rsid w:val="00857465"/>
    <w:rsid w:val="008626E4"/>
    <w:rsid w:val="00862954"/>
    <w:rsid w:val="00864164"/>
    <w:rsid w:val="00864FA9"/>
    <w:rsid w:val="008674C6"/>
    <w:rsid w:val="00875284"/>
    <w:rsid w:val="00876FEA"/>
    <w:rsid w:val="00883651"/>
    <w:rsid w:val="0088621E"/>
    <w:rsid w:val="0088664D"/>
    <w:rsid w:val="00893173"/>
    <w:rsid w:val="00893312"/>
    <w:rsid w:val="008A39C3"/>
    <w:rsid w:val="008A4F37"/>
    <w:rsid w:val="008A6CBF"/>
    <w:rsid w:val="008B0973"/>
    <w:rsid w:val="008C3303"/>
    <w:rsid w:val="008C36B1"/>
    <w:rsid w:val="008C67C2"/>
    <w:rsid w:val="008C7713"/>
    <w:rsid w:val="008D065E"/>
    <w:rsid w:val="008D30C5"/>
    <w:rsid w:val="008E26CB"/>
    <w:rsid w:val="008E4343"/>
    <w:rsid w:val="008E64B0"/>
    <w:rsid w:val="008F1452"/>
    <w:rsid w:val="008F5838"/>
    <w:rsid w:val="008F5CB3"/>
    <w:rsid w:val="00901BBA"/>
    <w:rsid w:val="00902F19"/>
    <w:rsid w:val="00903901"/>
    <w:rsid w:val="00903F3F"/>
    <w:rsid w:val="00910691"/>
    <w:rsid w:val="00910718"/>
    <w:rsid w:val="00912ED9"/>
    <w:rsid w:val="00913EB8"/>
    <w:rsid w:val="00914626"/>
    <w:rsid w:val="009239F7"/>
    <w:rsid w:val="00927214"/>
    <w:rsid w:val="00933DE2"/>
    <w:rsid w:val="00935379"/>
    <w:rsid w:val="00935DEA"/>
    <w:rsid w:val="009367A3"/>
    <w:rsid w:val="00945D4C"/>
    <w:rsid w:val="00950492"/>
    <w:rsid w:val="00950A21"/>
    <w:rsid w:val="00954CE1"/>
    <w:rsid w:val="009562C7"/>
    <w:rsid w:val="00956F99"/>
    <w:rsid w:val="00957895"/>
    <w:rsid w:val="00961477"/>
    <w:rsid w:val="009619F4"/>
    <w:rsid w:val="00964A9F"/>
    <w:rsid w:val="0097280F"/>
    <w:rsid w:val="00982437"/>
    <w:rsid w:val="0098546E"/>
    <w:rsid w:val="009875B3"/>
    <w:rsid w:val="009966B6"/>
    <w:rsid w:val="009A1EEE"/>
    <w:rsid w:val="009A5A5A"/>
    <w:rsid w:val="009B1108"/>
    <w:rsid w:val="009B22A7"/>
    <w:rsid w:val="009B4C79"/>
    <w:rsid w:val="009C2FF1"/>
    <w:rsid w:val="009C37BD"/>
    <w:rsid w:val="009C432B"/>
    <w:rsid w:val="009D0309"/>
    <w:rsid w:val="009D0665"/>
    <w:rsid w:val="009D3035"/>
    <w:rsid w:val="009D36DD"/>
    <w:rsid w:val="009E2B80"/>
    <w:rsid w:val="009E4AFC"/>
    <w:rsid w:val="009E6BBF"/>
    <w:rsid w:val="009F1AC1"/>
    <w:rsid w:val="009F6080"/>
    <w:rsid w:val="00A00383"/>
    <w:rsid w:val="00A135A7"/>
    <w:rsid w:val="00A173BC"/>
    <w:rsid w:val="00A2272D"/>
    <w:rsid w:val="00A22D8F"/>
    <w:rsid w:val="00A26892"/>
    <w:rsid w:val="00A2796B"/>
    <w:rsid w:val="00A310C3"/>
    <w:rsid w:val="00A351DE"/>
    <w:rsid w:val="00A35F91"/>
    <w:rsid w:val="00A41D48"/>
    <w:rsid w:val="00A42AA5"/>
    <w:rsid w:val="00A46702"/>
    <w:rsid w:val="00A51ACF"/>
    <w:rsid w:val="00A52954"/>
    <w:rsid w:val="00A73C3E"/>
    <w:rsid w:val="00A82201"/>
    <w:rsid w:val="00A83315"/>
    <w:rsid w:val="00A83FBF"/>
    <w:rsid w:val="00A87769"/>
    <w:rsid w:val="00AA2598"/>
    <w:rsid w:val="00AA3459"/>
    <w:rsid w:val="00AB1B09"/>
    <w:rsid w:val="00AB424F"/>
    <w:rsid w:val="00AB6DD2"/>
    <w:rsid w:val="00AC018D"/>
    <w:rsid w:val="00AC46E4"/>
    <w:rsid w:val="00AD1B42"/>
    <w:rsid w:val="00AD2917"/>
    <w:rsid w:val="00AD3EF7"/>
    <w:rsid w:val="00AD7499"/>
    <w:rsid w:val="00AD7A3C"/>
    <w:rsid w:val="00AE1D77"/>
    <w:rsid w:val="00AE2B1C"/>
    <w:rsid w:val="00AE4DEA"/>
    <w:rsid w:val="00AF1611"/>
    <w:rsid w:val="00AF2C96"/>
    <w:rsid w:val="00AF5E9D"/>
    <w:rsid w:val="00AF5EC2"/>
    <w:rsid w:val="00AF694A"/>
    <w:rsid w:val="00B00215"/>
    <w:rsid w:val="00B021D2"/>
    <w:rsid w:val="00B043F5"/>
    <w:rsid w:val="00B068B5"/>
    <w:rsid w:val="00B0773F"/>
    <w:rsid w:val="00B12F3E"/>
    <w:rsid w:val="00B16CC7"/>
    <w:rsid w:val="00B17589"/>
    <w:rsid w:val="00B24953"/>
    <w:rsid w:val="00B36EA3"/>
    <w:rsid w:val="00B52AC1"/>
    <w:rsid w:val="00B6018A"/>
    <w:rsid w:val="00B62AD2"/>
    <w:rsid w:val="00B67C44"/>
    <w:rsid w:val="00B7096E"/>
    <w:rsid w:val="00B71180"/>
    <w:rsid w:val="00B74BAF"/>
    <w:rsid w:val="00B76958"/>
    <w:rsid w:val="00B84129"/>
    <w:rsid w:val="00B96D4D"/>
    <w:rsid w:val="00BA13A6"/>
    <w:rsid w:val="00BA3718"/>
    <w:rsid w:val="00BA3DB0"/>
    <w:rsid w:val="00BB5D4A"/>
    <w:rsid w:val="00BC335E"/>
    <w:rsid w:val="00BD5FF9"/>
    <w:rsid w:val="00BE328E"/>
    <w:rsid w:val="00BE34BC"/>
    <w:rsid w:val="00BE6D85"/>
    <w:rsid w:val="00BE734C"/>
    <w:rsid w:val="00BF1A55"/>
    <w:rsid w:val="00BF49A5"/>
    <w:rsid w:val="00BF516A"/>
    <w:rsid w:val="00C018AC"/>
    <w:rsid w:val="00C019BD"/>
    <w:rsid w:val="00C06015"/>
    <w:rsid w:val="00C13172"/>
    <w:rsid w:val="00C14651"/>
    <w:rsid w:val="00C151BB"/>
    <w:rsid w:val="00C15435"/>
    <w:rsid w:val="00C160D6"/>
    <w:rsid w:val="00C33941"/>
    <w:rsid w:val="00C46460"/>
    <w:rsid w:val="00C469FD"/>
    <w:rsid w:val="00C50AEE"/>
    <w:rsid w:val="00C57EAE"/>
    <w:rsid w:val="00C62D62"/>
    <w:rsid w:val="00C63D52"/>
    <w:rsid w:val="00C65736"/>
    <w:rsid w:val="00C66B75"/>
    <w:rsid w:val="00C816F8"/>
    <w:rsid w:val="00C85E3F"/>
    <w:rsid w:val="00C90E59"/>
    <w:rsid w:val="00C92680"/>
    <w:rsid w:val="00CB01C1"/>
    <w:rsid w:val="00CB4291"/>
    <w:rsid w:val="00CB49F1"/>
    <w:rsid w:val="00CC2969"/>
    <w:rsid w:val="00CC7FAB"/>
    <w:rsid w:val="00CD244F"/>
    <w:rsid w:val="00CD321E"/>
    <w:rsid w:val="00CD4D9B"/>
    <w:rsid w:val="00CD5A2D"/>
    <w:rsid w:val="00CD7B20"/>
    <w:rsid w:val="00CE1F66"/>
    <w:rsid w:val="00CE2144"/>
    <w:rsid w:val="00CE2A2F"/>
    <w:rsid w:val="00CE39DE"/>
    <w:rsid w:val="00CE516C"/>
    <w:rsid w:val="00CE687A"/>
    <w:rsid w:val="00CF0A89"/>
    <w:rsid w:val="00CF0FD0"/>
    <w:rsid w:val="00CF2C5D"/>
    <w:rsid w:val="00CF4F77"/>
    <w:rsid w:val="00CF6062"/>
    <w:rsid w:val="00D023EC"/>
    <w:rsid w:val="00D06521"/>
    <w:rsid w:val="00D07561"/>
    <w:rsid w:val="00D075FE"/>
    <w:rsid w:val="00D1318B"/>
    <w:rsid w:val="00D236E9"/>
    <w:rsid w:val="00D26DC9"/>
    <w:rsid w:val="00D3584F"/>
    <w:rsid w:val="00D36932"/>
    <w:rsid w:val="00D42241"/>
    <w:rsid w:val="00D43283"/>
    <w:rsid w:val="00D52EC6"/>
    <w:rsid w:val="00D53B17"/>
    <w:rsid w:val="00D60F98"/>
    <w:rsid w:val="00D6478F"/>
    <w:rsid w:val="00D71197"/>
    <w:rsid w:val="00D7297A"/>
    <w:rsid w:val="00D771B3"/>
    <w:rsid w:val="00D8175C"/>
    <w:rsid w:val="00D86996"/>
    <w:rsid w:val="00D902BB"/>
    <w:rsid w:val="00D90868"/>
    <w:rsid w:val="00D9282B"/>
    <w:rsid w:val="00D94DCE"/>
    <w:rsid w:val="00D971E7"/>
    <w:rsid w:val="00DA0B96"/>
    <w:rsid w:val="00DA2BBD"/>
    <w:rsid w:val="00DB36B7"/>
    <w:rsid w:val="00DB3E61"/>
    <w:rsid w:val="00DD0255"/>
    <w:rsid w:val="00DD6403"/>
    <w:rsid w:val="00DE354F"/>
    <w:rsid w:val="00DE5AB1"/>
    <w:rsid w:val="00DF0559"/>
    <w:rsid w:val="00DF59EE"/>
    <w:rsid w:val="00E12A9C"/>
    <w:rsid w:val="00E15860"/>
    <w:rsid w:val="00E17064"/>
    <w:rsid w:val="00E17602"/>
    <w:rsid w:val="00E21177"/>
    <w:rsid w:val="00E23569"/>
    <w:rsid w:val="00E30D4B"/>
    <w:rsid w:val="00E36938"/>
    <w:rsid w:val="00E42CF2"/>
    <w:rsid w:val="00E44BF7"/>
    <w:rsid w:val="00E46880"/>
    <w:rsid w:val="00E5616B"/>
    <w:rsid w:val="00E56AF2"/>
    <w:rsid w:val="00E602DA"/>
    <w:rsid w:val="00E61D3E"/>
    <w:rsid w:val="00E63945"/>
    <w:rsid w:val="00E71FFB"/>
    <w:rsid w:val="00E74936"/>
    <w:rsid w:val="00E804EC"/>
    <w:rsid w:val="00E85294"/>
    <w:rsid w:val="00E86C53"/>
    <w:rsid w:val="00E87C09"/>
    <w:rsid w:val="00E87F9F"/>
    <w:rsid w:val="00E9044F"/>
    <w:rsid w:val="00E92238"/>
    <w:rsid w:val="00E93D71"/>
    <w:rsid w:val="00E967CC"/>
    <w:rsid w:val="00EA5D2A"/>
    <w:rsid w:val="00EA777B"/>
    <w:rsid w:val="00EB0386"/>
    <w:rsid w:val="00EB3B5C"/>
    <w:rsid w:val="00EB42A2"/>
    <w:rsid w:val="00EC1A28"/>
    <w:rsid w:val="00EC41A9"/>
    <w:rsid w:val="00EC6742"/>
    <w:rsid w:val="00ED21AE"/>
    <w:rsid w:val="00EE57C3"/>
    <w:rsid w:val="00EE6EBA"/>
    <w:rsid w:val="00EE7FA0"/>
    <w:rsid w:val="00EF3BFB"/>
    <w:rsid w:val="00EF5D9A"/>
    <w:rsid w:val="00EF7BA3"/>
    <w:rsid w:val="00F05A73"/>
    <w:rsid w:val="00F10889"/>
    <w:rsid w:val="00F11975"/>
    <w:rsid w:val="00F1248D"/>
    <w:rsid w:val="00F17384"/>
    <w:rsid w:val="00F24933"/>
    <w:rsid w:val="00F25892"/>
    <w:rsid w:val="00F31F0B"/>
    <w:rsid w:val="00F344A3"/>
    <w:rsid w:val="00F4141C"/>
    <w:rsid w:val="00F451BD"/>
    <w:rsid w:val="00F52206"/>
    <w:rsid w:val="00F546E5"/>
    <w:rsid w:val="00F65DFB"/>
    <w:rsid w:val="00F75387"/>
    <w:rsid w:val="00F80AAF"/>
    <w:rsid w:val="00F80D2E"/>
    <w:rsid w:val="00F840AB"/>
    <w:rsid w:val="00F91878"/>
    <w:rsid w:val="00F93F3D"/>
    <w:rsid w:val="00FA4CB1"/>
    <w:rsid w:val="00FB25C0"/>
    <w:rsid w:val="00FB364E"/>
    <w:rsid w:val="00FC2584"/>
    <w:rsid w:val="00FC2966"/>
    <w:rsid w:val="00FC5091"/>
    <w:rsid w:val="00FD2E19"/>
    <w:rsid w:val="00FD4C60"/>
    <w:rsid w:val="00FE06E7"/>
    <w:rsid w:val="00FE0C28"/>
    <w:rsid w:val="00FE170F"/>
    <w:rsid w:val="00FE3604"/>
    <w:rsid w:val="00FE3C39"/>
    <w:rsid w:val="00FE765B"/>
    <w:rsid w:val="00FF6886"/>
    <w:rsid w:val="57B9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A9"/>
    <w:pPr>
      <w:spacing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 w:type="paragraph" w:customStyle="1" w:styleId="Default">
    <w:name w:val="Default"/>
    <w:rsid w:val="001B66E8"/>
    <w:pPr>
      <w:autoSpaceDE w:val="0"/>
      <w:autoSpaceDN w:val="0"/>
      <w:adjustRightInd w:val="0"/>
    </w:pPr>
    <w:rPr>
      <w:rFonts w:ascii="Arial" w:eastAsia="Calibri" w:hAnsi="Arial" w:cs="Arial"/>
      <w:color w:val="000000"/>
      <w:sz w:val="24"/>
      <w:szCs w:val="24"/>
    </w:rPr>
  </w:style>
  <w:style w:type="paragraph" w:styleId="TOCHeading">
    <w:name w:val="TOC Heading"/>
    <w:basedOn w:val="Heading1"/>
    <w:next w:val="Normal"/>
    <w:uiPriority w:val="39"/>
    <w:unhideWhenUsed/>
    <w:qFormat/>
    <w:rsid w:val="001B66E8"/>
    <w:pPr>
      <w:spacing w:before="480"/>
      <w:outlineLvl w:val="9"/>
    </w:pPr>
    <w:rPr>
      <w:rFonts w:ascii="Cambria" w:hAnsi="Cambria"/>
      <w:color w:val="365F91"/>
      <w:sz w:val="28"/>
      <w:lang w:val="en-US" w:eastAsia="en-US"/>
    </w:rPr>
  </w:style>
  <w:style w:type="character" w:customStyle="1" w:styleId="pnopadding">
    <w:name w:val="pnopadding"/>
    <w:basedOn w:val="DefaultParagraphFont"/>
    <w:rsid w:val="001B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bsa.nhs.uk/our-policies/privacy/nhs-pensions-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sbsa.nhs.uk/member-hub/annual-allow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nhs.uk/nhs-pen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E08F6-B100-476D-9EBB-03FC7103481A}">
  <ds:schemaRefs>
    <ds:schemaRef ds:uri="http://schemas.openxmlformats.org/officeDocument/2006/bibliography"/>
  </ds:schemaRefs>
</ds:datastoreItem>
</file>

<file path=customXml/itemProps2.xml><?xml version="1.0" encoding="utf-8"?>
<ds:datastoreItem xmlns:ds="http://schemas.openxmlformats.org/officeDocument/2006/customXml" ds:itemID="{4632E1E2-6061-46B3-AC41-6C4609C7D589}">
  <ds:schemaRefs>
    <ds:schemaRef ds:uri="http://schemas.microsoft.com/sharepoint/v3/contenttype/forms"/>
  </ds:schemaRefs>
</ds:datastoreItem>
</file>

<file path=customXml/itemProps3.xml><?xml version="1.0" encoding="utf-8"?>
<ds:datastoreItem xmlns:ds="http://schemas.openxmlformats.org/officeDocument/2006/customXml" ds:itemID="{BA3ADDD6-F4C7-4F1D-803F-B4BF0850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A9E4A-BDCA-4668-9822-625EA575BD5B}">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1207</Words>
  <Characters>6880</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Process for calculating the Annual Allowance</vt:lpstr>
    </vt:vector>
  </TitlesOfParts>
  <Company>CDS</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calculating the Annual Allowance</dc:title>
  <dc:creator>Claire Anderson</dc:creator>
  <cp:keywords/>
  <cp:lastModifiedBy>Beverley Battersby</cp:lastModifiedBy>
  <cp:revision>19</cp:revision>
  <cp:lastPrinted>2023-08-14T17:47:00Z</cp:lastPrinted>
  <dcterms:created xsi:type="dcterms:W3CDTF">2026-01-22T14:22:00Z</dcterms:created>
  <dcterms:modified xsi:type="dcterms:W3CDTF">2026-01-22T16:33:00Z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y fmtid="{D5CDD505-2E9C-101B-9397-08002B2CF9AE}" pid="10" name="MSIP_Label_f52d287b-af50-4fcf-9040-106ecb50d969_Enabled">
    <vt:lpwstr>true</vt:lpwstr>
  </property>
  <property fmtid="{D5CDD505-2E9C-101B-9397-08002B2CF9AE}" pid="11" name="MSIP_Label_f52d287b-af50-4fcf-9040-106ecb50d969_SetDate">
    <vt:lpwstr>2024-12-05T14:11:20Z</vt:lpwstr>
  </property>
  <property fmtid="{D5CDD505-2E9C-101B-9397-08002B2CF9AE}" pid="12" name="MSIP_Label_f52d287b-af50-4fcf-9040-106ecb50d969_Method">
    <vt:lpwstr>Standard</vt:lpwstr>
  </property>
  <property fmtid="{D5CDD505-2E9C-101B-9397-08002B2CF9AE}" pid="13" name="MSIP_Label_f52d287b-af50-4fcf-9040-106ecb50d969_Name">
    <vt:lpwstr>f52d287b-af50-4fcf-9040-106ecb50d969</vt:lpwstr>
  </property>
  <property fmtid="{D5CDD505-2E9C-101B-9397-08002B2CF9AE}" pid="14" name="MSIP_Label_f52d287b-af50-4fcf-9040-106ecb50d969_SiteId">
    <vt:lpwstr>cf6d0482-86b1-4f88-8c0c-3b4de4cb402c</vt:lpwstr>
  </property>
  <property fmtid="{D5CDD505-2E9C-101B-9397-08002B2CF9AE}" pid="15" name="MSIP_Label_f52d287b-af50-4fcf-9040-106ecb50d969_ActionId">
    <vt:lpwstr>2ffa4a44-711e-44f0-9791-95495e5d7472</vt:lpwstr>
  </property>
  <property fmtid="{D5CDD505-2E9C-101B-9397-08002B2CF9AE}" pid="16" name="MSIP_Label_f52d287b-af50-4fcf-9040-106ecb50d969_ContentBits">
    <vt:lpwstr>0</vt:lpwstr>
  </property>
  <property fmtid="{D5CDD505-2E9C-101B-9397-08002B2CF9AE}" pid="17" name="o3a3c54fcb954df5bc9a110c60848d6a">
    <vt:lpwstr/>
  </property>
  <property fmtid="{D5CDD505-2E9C-101B-9397-08002B2CF9AE}" pid="18" name="MHCategory">
    <vt:lpwstr/>
  </property>
  <property fmtid="{D5CDD505-2E9C-101B-9397-08002B2CF9AE}" pid="19" name="IntranetCategory">
    <vt:lpwstr/>
  </property>
  <property fmtid="{D5CDD505-2E9C-101B-9397-08002B2CF9AE}" pid="20" name="MHArea">
    <vt:lpwstr>2;#NHS Pensions|39649027-c677-47a7-a78d-4cdb9cec5687</vt:lpwstr>
  </property>
  <property fmtid="{D5CDD505-2E9C-101B-9397-08002B2CF9AE}" pid="21" name="Test">
    <vt:bool>true</vt:bool>
  </property>
  <property fmtid="{D5CDD505-2E9C-101B-9397-08002B2CF9AE}" pid="22" name="Typeofdocument">
    <vt:lpwstr/>
  </property>
  <property fmtid="{D5CDD505-2E9C-101B-9397-08002B2CF9AE}" pid="23" name="Category">
    <vt:lpwstr>Template</vt:lpwstr>
  </property>
  <property fmtid="{D5CDD505-2E9C-101B-9397-08002B2CF9AE}" pid="24" name="Audience">
    <vt:lpwstr/>
  </property>
  <property fmtid="{D5CDD505-2E9C-101B-9397-08002B2CF9AE}" pid="25" name="Descriptionofdoc">
    <vt:lpwstr/>
  </property>
</Properties>
</file>