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9264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089EBC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0028CECD" w14:textId="3E7733B0" w:rsidR="00011FEB" w:rsidRPr="00C76428" w:rsidRDefault="00011FEB" w:rsidP="00A2075A"/>
    <w:p w14:paraId="76679843" w14:textId="77777777" w:rsidR="008B5C39" w:rsidRDefault="008B5C39" w:rsidP="002354F3"/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7FF56774" w14:textId="77777777" w:rsidR="00B973A6" w:rsidRPr="00F30AFD" w:rsidRDefault="00B973A6" w:rsidP="00B973A6">
      <w:pPr>
        <w:pStyle w:val="Heading1"/>
      </w:pPr>
      <w:r>
        <w:t>8</w:t>
      </w:r>
      <w:r w:rsidRPr="00F30AFD">
        <w:t xml:space="preserve">. </w:t>
      </w:r>
      <w:r>
        <w:t>E-Forms Overview</w:t>
      </w:r>
    </w:p>
    <w:p w14:paraId="048EC7A7" w14:textId="77777777" w:rsidR="00B973A6" w:rsidRDefault="00B973A6" w:rsidP="00B973A6"/>
    <w:p w14:paraId="748E048B" w14:textId="77777777" w:rsidR="00B973A6" w:rsidRDefault="00B973A6" w:rsidP="00B973A6"/>
    <w:p w14:paraId="07512F27" w14:textId="77777777" w:rsidR="00B973A6" w:rsidRDefault="00B973A6" w:rsidP="00B973A6"/>
    <w:p w14:paraId="508A98F3" w14:textId="77777777" w:rsidR="00B973A6" w:rsidRDefault="00B973A6" w:rsidP="00B973A6"/>
    <w:p w14:paraId="701A7B70" w14:textId="77777777" w:rsidR="00B973A6" w:rsidRDefault="00B973A6" w:rsidP="00B973A6"/>
    <w:p w14:paraId="42FE7DBC" w14:textId="77777777" w:rsidR="00B973A6" w:rsidRDefault="00B973A6" w:rsidP="00B973A6"/>
    <w:p w14:paraId="382A6D7D" w14:textId="77777777" w:rsidR="00B973A6" w:rsidRDefault="00B973A6" w:rsidP="00B973A6"/>
    <w:p w14:paraId="4EB7263B" w14:textId="77777777" w:rsidR="00B973A6" w:rsidRDefault="00B973A6" w:rsidP="00B973A6"/>
    <w:p w14:paraId="63428CC2" w14:textId="77777777" w:rsidR="00B973A6" w:rsidRDefault="00B973A6" w:rsidP="00B973A6"/>
    <w:p w14:paraId="0B1EDAD4" w14:textId="77777777" w:rsidR="00B973A6" w:rsidRDefault="00B973A6" w:rsidP="00B973A6"/>
    <w:p w14:paraId="39BD9D28" w14:textId="77777777" w:rsidR="00B973A6" w:rsidRDefault="00B973A6" w:rsidP="00B973A6"/>
    <w:p w14:paraId="3A42CC77" w14:textId="77777777" w:rsidR="00B973A6" w:rsidRDefault="00B973A6" w:rsidP="00B973A6"/>
    <w:p w14:paraId="2FAACF44" w14:textId="77777777" w:rsidR="00B973A6" w:rsidRDefault="00B973A6" w:rsidP="00B973A6"/>
    <w:p w14:paraId="46DE3BF8" w14:textId="77777777" w:rsidR="00B973A6" w:rsidRDefault="00B973A6" w:rsidP="00B973A6"/>
    <w:p w14:paraId="56AF71E2" w14:textId="77777777" w:rsidR="00B973A6" w:rsidRDefault="00B973A6" w:rsidP="00B973A6"/>
    <w:p w14:paraId="23B0CE4F" w14:textId="77777777" w:rsidR="00B973A6" w:rsidRDefault="00B973A6" w:rsidP="00B973A6"/>
    <w:p w14:paraId="50E7730E" w14:textId="77777777" w:rsidR="00B973A6" w:rsidRDefault="00B973A6" w:rsidP="00B973A6"/>
    <w:p w14:paraId="5A35CF6E" w14:textId="77777777" w:rsidR="00B973A6" w:rsidRDefault="00B973A6" w:rsidP="00B973A6"/>
    <w:p w14:paraId="5D6385A7" w14:textId="77777777" w:rsidR="00B973A6" w:rsidRDefault="00B973A6" w:rsidP="00B973A6"/>
    <w:p w14:paraId="4E0B3793" w14:textId="77777777" w:rsidR="00B973A6" w:rsidRDefault="00B973A6" w:rsidP="00B973A6">
      <w:pPr>
        <w:spacing w:after="200"/>
      </w:pPr>
      <w:r>
        <w:br w:type="page"/>
      </w:r>
    </w:p>
    <w:p w14:paraId="1F5FEF6D" w14:textId="77777777" w:rsidR="00B973A6" w:rsidRPr="00454D94" w:rsidRDefault="00B973A6" w:rsidP="00816688">
      <w:r w:rsidRPr="00454D94">
        <w:lastRenderedPageBreak/>
        <w:t xml:space="preserve">E-Forms can be selected by </w:t>
      </w:r>
      <w:r w:rsidRPr="00B973A6">
        <w:rPr>
          <w:szCs w:val="24"/>
        </w:rPr>
        <w:t>using</w:t>
      </w:r>
      <w:r w:rsidRPr="00454D94">
        <w:t xml:space="preserve"> either of the links shown on the example screen below.</w:t>
      </w:r>
    </w:p>
    <w:p w14:paraId="3E70E717" w14:textId="77777777" w:rsidR="00B973A6" w:rsidRPr="00454D94" w:rsidRDefault="00B973A6" w:rsidP="00B973A6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73F42" wp14:editId="78F3DDDB">
                <wp:simplePos x="0" y="0"/>
                <wp:positionH relativeFrom="column">
                  <wp:posOffset>508000</wp:posOffset>
                </wp:positionH>
                <wp:positionV relativeFrom="paragraph">
                  <wp:posOffset>4445</wp:posOffset>
                </wp:positionV>
                <wp:extent cx="263525" cy="1065530"/>
                <wp:effectExtent l="0" t="0" r="60325" b="5842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1065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FA544" id="Straight Connector 9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pt,.35pt" to="60.7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WmxgEAAG8DAAAOAAAAZHJzL2Uyb0RvYy54bWysU8Fu2zAMvQ/YPwi6L3ZSJNiMOD2k7S7d&#10;FqDdBzASbQuVRYFS4uTvJ6lpNnS3YToIpEg9PT5S69vTaMURORhyrZzPainQKdLG9a38+fzw6bMU&#10;IYLTYMlhK88Y5O3m44f15Btc0EBWI4sE4kIz+VYOMfqmqoIacIQwI48uBTviEWJyua80w5TQR1st&#10;6npVTcTaMykMIZ3evQblpuB3Har4o+sCRmFbmbjFsnPZ93mvNmtoegY/GHWhAf/AYgTj0qNXqDuI&#10;IA5s/oIajWIK1MWZorGirjMKSw2pmnn9rpqnATyWWpI4wV9lCv8PVn0/bt2OM3V1ck/+kdRLEI62&#10;A7geC4Hns0+Nm2epqsmH5nolO8HvWOynb6RTDhwiFRVOHY8ZMtUnTkXs81VsPEWh0uFidbNcLKVQ&#10;KTSvV8vlTelGBc3bbc8hfkUaRTZaaY3LYkADx8cQMxto3lLysaMHY21pqHViauWXjJ8jgazROVgc&#10;7vdby+IIeSTKKqW9S2M6OF3ABgR9f7EjGJtsEYsmkU1SyaLMr42opbCYfkG2XulZd9Esy5RnMjR7&#10;0ucd53D2UldLHZcJzGPzp1+yfv+TzS8AAAD//wMAUEsDBBQABgAIAAAAIQC00Qj53wAAAAcBAAAP&#10;AAAAZHJzL2Rvd25yZXYueG1sTI/NbsIwEITvlfoO1lbqrThBglohDkKV6AXaih9V5WbiJYkaryPb&#10;gfTta05w29GMZr7N54Np2RmdbyxJSEcJMKTS6oYqCfvd8kUA80GRVq0llPCHHubF40OuMm0vtMHz&#10;NlQslpDPlIQ6hC7j3Jc1GuVHtkOK3sk6o0KUruLaqUssNy0fJ8mUG9VQXKhVh281lr/b3kjYrJcr&#10;8b3qh9Id3tPP3df648cLKZ+fhsUMWMAh3MJwxY/oUESmo+1Je9ZKEEl8JUh4BXZ1x+kE2DEeUzEB&#10;XuT8nr/4BwAA//8DAFBLAQItABQABgAIAAAAIQC2gziS/gAAAOEBAAATAAAAAAAAAAAAAAAAAAAA&#10;AABbQ29udGVudF9UeXBlc10ueG1sUEsBAi0AFAAGAAgAAAAhADj9If/WAAAAlAEAAAsAAAAAAAAA&#10;AAAAAAAALwEAAF9yZWxzLy5yZWxzUEsBAi0AFAAGAAgAAAAhACmsZabGAQAAbwMAAA4AAAAAAAAA&#10;AAAAAAAALgIAAGRycy9lMm9Eb2MueG1sUEsBAi0AFAAGAAgAAAAhALTRCPnfAAAABwEAAA8AAAAA&#10;AAAAAAAAAAAAIAQAAGRycy9kb3ducmV2LnhtbFBLBQYAAAAABAAEAPMAAAAs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1FF34" wp14:editId="16EF649F">
                <wp:simplePos x="0" y="0"/>
                <wp:positionH relativeFrom="column">
                  <wp:posOffset>501650</wp:posOffset>
                </wp:positionH>
                <wp:positionV relativeFrom="paragraph">
                  <wp:posOffset>4445</wp:posOffset>
                </wp:positionV>
                <wp:extent cx="989965" cy="601980"/>
                <wp:effectExtent l="0" t="0" r="76835" b="6477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965" cy="601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C1640" id="Straight Connector 8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pt,.35pt" to="117.4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TLyAEAAG4DAAAOAAAAZHJzL2Uyb0RvYy54bWysU8FuGyEQvVfqPyDu9a4t2bJXXufgJL2k&#10;raWkHzAGdhcFGATYu/77DsRxo/ZWlQOaYYbHmzfD9m6yhp1ViBpdy+ezmjPlBErt+pb/fHn8suYs&#10;JnASDDrV8ouK/G73+dN29I1a4IBGqsAIxMVm9C0fUvJNVUUxKAtxhl45CnYYLCRyQ1/JACOhW1Mt&#10;6npVjRikDyhUjHR6/xbku4LfdUqkH10XVWKm5cQtlT2U/Zj3areFpg/gBy2uNOAfWFjQjh69Qd1D&#10;AnYK+i8oq0XAiF2aCbQVdp0WqtRA1czrP6p5HsCrUguJE/1Npvj/YMX3894dQqYuJvfsn1C8RuZw&#10;P4DrVSHwcvHUuHmWqhp9bG5XshP9IbDj+A0l5cApYVFh6oLNkFQfm4rYl5vYakpM0OFmvdmslpwJ&#10;Cq3q+WZdmlFB837Zh5i+KrQsGy032mUtoIHzU0yZDDTvKfnY4aM2pvTTODbSA8vFslyIaLTMwZwW&#10;Q3/cm8DOkCeirFIZRT6mBTw5WcAGBfLhaifQhmyWiiQpaBLJKJ5fs0pyZhR9gmy90TPuKllWKY9k&#10;bI4oL4eQw9mjppY6rgOYp+ajX7J+f5PdLwAAAP//AwBQSwMEFAAGAAgAAAAhACr0wc3fAAAABgEA&#10;AA8AAABkcnMvZG93bnJldi54bWxMj8FOwzAQRO9I/IO1SNyo00IhCXEqhFQubUFtEYKbGy9JRLyO&#10;bKcNf89ygtNqNKOZt8VitJ04og+tIwXTSQICqXKmpVrB6355lYIIUZPRnSNU8I0BFuX5WaFz4060&#10;xeMu1oJLKORaQRNjn0sZqgatDhPXI7H36bzVkaWvpfH6xOW2k7MkuZVWt8QLje7xscHqazdYBdv1&#10;cpW+rYax8h9P0+f9y3rzHlKlLi/Gh3sQEcf4F4ZffEaHkpkObiATRKfgLuNXIl8Q7M6ubzIQBwXZ&#10;fA6yLOR//PIHAAD//wMAUEsBAi0AFAAGAAgAAAAhALaDOJL+AAAA4QEAABMAAAAAAAAAAAAAAAAA&#10;AAAAAFtDb250ZW50X1R5cGVzXS54bWxQSwECLQAUAAYACAAAACEAOP0h/9YAAACUAQAACwAAAAAA&#10;AAAAAAAAAAAvAQAAX3JlbHMvLnJlbHNQSwECLQAUAAYACAAAACEA507ky8gBAABuAwAADgAAAAAA&#10;AAAAAAAAAAAuAgAAZHJzL2Uyb0RvYy54bWxQSwECLQAUAAYACAAAACEAKvTBzd8AAAAGAQAADwAA&#10;AAAAAAAAAAAAAAAiBAAAZHJzL2Rvd25yZXYueG1sUEsFBgAAAAAEAAQA8wAAAC4FAAAAAA==&#10;">
                <v:stroke endarrow="block"/>
              </v:line>
            </w:pict>
          </mc:Fallback>
        </mc:AlternateContent>
      </w:r>
    </w:p>
    <w:p w14:paraId="0C5E2391" w14:textId="77777777" w:rsidR="00B973A6" w:rsidRPr="00454D94" w:rsidRDefault="00B973A6" w:rsidP="00B973A6"/>
    <w:p w14:paraId="12872CB9" w14:textId="77777777" w:rsidR="00B973A6" w:rsidRPr="00454D94" w:rsidRDefault="00B973A6" w:rsidP="00B973A6">
      <w:r>
        <w:rPr>
          <w:noProof/>
        </w:rPr>
        <w:drawing>
          <wp:inline distT="0" distB="0" distL="0" distR="0" wp14:anchorId="13934E94" wp14:editId="4E1BE887">
            <wp:extent cx="5731510" cy="2149475"/>
            <wp:effectExtent l="0" t="0" r="2540" b="3175"/>
            <wp:docPr id="1175077766" name="Picture 1175077766" descr="Screenshot of e-form se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77766" name="Picture 1175077766" descr="Screenshot of e-form selectio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B6DC7" w14:textId="77777777" w:rsidR="00B973A6" w:rsidRDefault="00B973A6" w:rsidP="00B973A6">
      <w:pPr>
        <w:rPr>
          <w:sz w:val="22"/>
        </w:rPr>
      </w:pPr>
    </w:p>
    <w:p w14:paraId="253F4A74" w14:textId="6377E02C" w:rsidR="00B973A6" w:rsidRPr="00B973A6" w:rsidRDefault="00B973A6" w:rsidP="00B973A6">
      <w:pPr>
        <w:rPr>
          <w:szCs w:val="24"/>
        </w:rPr>
      </w:pPr>
      <w:r w:rsidRPr="00B973A6">
        <w:rPr>
          <w:szCs w:val="24"/>
        </w:rPr>
        <w:t xml:space="preserve">E-Forms allow you to electronically complete and submit pensions related forms to </w:t>
      </w:r>
      <w:r w:rsidR="00BA27C5">
        <w:rPr>
          <w:szCs w:val="24"/>
        </w:rPr>
        <w:t xml:space="preserve">NHS Pensions. </w:t>
      </w:r>
      <w:r w:rsidRPr="00B973A6">
        <w:rPr>
          <w:szCs w:val="24"/>
        </w:rPr>
        <w:t xml:space="preserve"> If you require a record of the information you have submitted via E-Forms you can print out the confirmation page when the form is successfully submitted.  </w:t>
      </w:r>
    </w:p>
    <w:p w14:paraId="081811D8" w14:textId="77777777" w:rsidR="00B973A6" w:rsidRPr="00B973A6" w:rsidRDefault="00B973A6" w:rsidP="00B973A6">
      <w:pPr>
        <w:rPr>
          <w:szCs w:val="24"/>
        </w:rPr>
      </w:pPr>
    </w:p>
    <w:p w14:paraId="1E714CCF" w14:textId="34993536" w:rsidR="00B973A6" w:rsidRPr="00B973A6" w:rsidRDefault="00B973A6" w:rsidP="00B973A6">
      <w:pPr>
        <w:rPr>
          <w:szCs w:val="24"/>
        </w:rPr>
      </w:pPr>
      <w:r w:rsidRPr="00B973A6">
        <w:rPr>
          <w:szCs w:val="24"/>
        </w:rPr>
        <w:t>The submitted form then processes through NHS</w:t>
      </w:r>
      <w:r w:rsidR="00BA27C5">
        <w:rPr>
          <w:szCs w:val="24"/>
        </w:rPr>
        <w:t xml:space="preserve"> Pensions</w:t>
      </w:r>
      <w:r w:rsidRPr="00B973A6">
        <w:rPr>
          <w:szCs w:val="24"/>
        </w:rPr>
        <w:t xml:space="preserve"> validation and a processing system before being updated to the members’ record. Not all forms process successfully and those that </w:t>
      </w:r>
      <w:r w:rsidR="00EB3D99">
        <w:rPr>
          <w:szCs w:val="24"/>
        </w:rPr>
        <w:t>‘</w:t>
      </w:r>
      <w:r w:rsidRPr="00B973A6">
        <w:rPr>
          <w:szCs w:val="24"/>
        </w:rPr>
        <w:t>fail</w:t>
      </w:r>
      <w:r w:rsidR="00EB3D99">
        <w:rPr>
          <w:szCs w:val="24"/>
        </w:rPr>
        <w:t>’</w:t>
      </w:r>
      <w:r w:rsidRPr="00B973A6">
        <w:rPr>
          <w:szCs w:val="24"/>
        </w:rPr>
        <w:t xml:space="preserve"> go into a </w:t>
      </w:r>
      <w:r w:rsidR="00EB3D99">
        <w:rPr>
          <w:szCs w:val="24"/>
        </w:rPr>
        <w:t>‘</w:t>
      </w:r>
      <w:r w:rsidRPr="00B973A6">
        <w:rPr>
          <w:szCs w:val="24"/>
        </w:rPr>
        <w:t>suspense file</w:t>
      </w:r>
      <w:r w:rsidR="00EB3D99">
        <w:rPr>
          <w:szCs w:val="24"/>
        </w:rPr>
        <w:t xml:space="preserve">’ </w:t>
      </w:r>
      <w:r w:rsidRPr="00B973A6">
        <w:rPr>
          <w:szCs w:val="24"/>
        </w:rPr>
        <w:t xml:space="preserve">and are either allocated to </w:t>
      </w:r>
      <w:r w:rsidR="00EB3D99">
        <w:rPr>
          <w:szCs w:val="24"/>
        </w:rPr>
        <w:t>NHS Pensions</w:t>
      </w:r>
      <w:r w:rsidRPr="00B973A6">
        <w:rPr>
          <w:szCs w:val="24"/>
        </w:rPr>
        <w:t xml:space="preserve"> to investigate the reason why it will not process or is allocated to yourselves for action. Forms allocated to employers for action are available in the </w:t>
      </w:r>
      <w:r w:rsidR="00EB3D99">
        <w:rPr>
          <w:szCs w:val="24"/>
        </w:rPr>
        <w:t>‘</w:t>
      </w:r>
      <w:r w:rsidRPr="00B973A6">
        <w:rPr>
          <w:szCs w:val="24"/>
        </w:rPr>
        <w:t>Error Handling</w:t>
      </w:r>
      <w:r w:rsidR="00EB3D99">
        <w:rPr>
          <w:szCs w:val="24"/>
        </w:rPr>
        <w:t>’</w:t>
      </w:r>
      <w:r w:rsidRPr="00B973A6">
        <w:rPr>
          <w:szCs w:val="24"/>
        </w:rPr>
        <w:t xml:space="preserve"> link in the main </w:t>
      </w:r>
      <w:r w:rsidR="00F33C83">
        <w:rPr>
          <w:szCs w:val="24"/>
        </w:rPr>
        <w:t>‘</w:t>
      </w:r>
      <w:r w:rsidRPr="00B973A6">
        <w:rPr>
          <w:szCs w:val="24"/>
        </w:rPr>
        <w:t>Employer Menu</w:t>
      </w:r>
      <w:r w:rsidR="00F33C83">
        <w:rPr>
          <w:szCs w:val="24"/>
        </w:rPr>
        <w:t>’</w:t>
      </w:r>
      <w:r w:rsidRPr="00B973A6">
        <w:rPr>
          <w:szCs w:val="24"/>
        </w:rPr>
        <w:t xml:space="preserve"> of Pensions Online.</w:t>
      </w:r>
    </w:p>
    <w:p w14:paraId="7B9C63A8" w14:textId="77777777" w:rsidR="00B973A6" w:rsidRPr="00B973A6" w:rsidRDefault="00B973A6" w:rsidP="00B973A6">
      <w:pPr>
        <w:rPr>
          <w:szCs w:val="24"/>
        </w:rPr>
      </w:pPr>
    </w:p>
    <w:p w14:paraId="39A828A8" w14:textId="2E74E8B9" w:rsidR="00B973A6" w:rsidRPr="00B973A6" w:rsidRDefault="00B973A6" w:rsidP="00B973A6">
      <w:pPr>
        <w:rPr>
          <w:szCs w:val="24"/>
        </w:rPr>
      </w:pPr>
      <w:r w:rsidRPr="00B973A6">
        <w:rPr>
          <w:szCs w:val="24"/>
        </w:rPr>
        <w:t xml:space="preserve">Further information about dealing with errors is explained in the Guide </w:t>
      </w:r>
      <w:r w:rsidR="00F33C83">
        <w:rPr>
          <w:szCs w:val="24"/>
        </w:rPr>
        <w:t>‘</w:t>
      </w:r>
      <w:r w:rsidRPr="00B973A6">
        <w:rPr>
          <w:szCs w:val="24"/>
        </w:rPr>
        <w:t>34. Error Handling Guide.</w:t>
      </w:r>
      <w:r w:rsidR="00F33C83">
        <w:rPr>
          <w:szCs w:val="24"/>
        </w:rPr>
        <w:t>’</w:t>
      </w:r>
    </w:p>
    <w:p w14:paraId="032C7BFE" w14:textId="77777777" w:rsidR="00B973A6" w:rsidRPr="00B973A6" w:rsidRDefault="00B973A6" w:rsidP="00B973A6">
      <w:pPr>
        <w:rPr>
          <w:szCs w:val="24"/>
        </w:rPr>
      </w:pPr>
    </w:p>
    <w:p w14:paraId="5C9D7346" w14:textId="1DCCDEB0" w:rsidR="00B973A6" w:rsidRPr="00B973A6" w:rsidRDefault="00B973A6" w:rsidP="00B973A6">
      <w:pPr>
        <w:rPr>
          <w:szCs w:val="24"/>
        </w:rPr>
      </w:pPr>
      <w:r w:rsidRPr="00B973A6">
        <w:rPr>
          <w:szCs w:val="24"/>
        </w:rPr>
        <w:t xml:space="preserve">Before you are taken to the full menu of electronic forms you will see a list of </w:t>
      </w:r>
      <w:r w:rsidRPr="00B973A6">
        <w:rPr>
          <w:b/>
          <w:szCs w:val="24"/>
        </w:rPr>
        <w:t xml:space="preserve">Automated Requests (Guide no.9) </w:t>
      </w:r>
      <w:r w:rsidRPr="00B973A6">
        <w:rPr>
          <w:szCs w:val="24"/>
        </w:rPr>
        <w:t xml:space="preserve">for information from </w:t>
      </w:r>
      <w:r w:rsidR="00F076B0">
        <w:rPr>
          <w:szCs w:val="24"/>
        </w:rPr>
        <w:t>NHS Pensions</w:t>
      </w:r>
      <w:r w:rsidRPr="00B973A6">
        <w:rPr>
          <w:szCs w:val="24"/>
        </w:rPr>
        <w:t>, as follows:</w:t>
      </w:r>
    </w:p>
    <w:p w14:paraId="1F5C2085" w14:textId="77777777" w:rsidR="00B973A6" w:rsidRPr="00454D94" w:rsidRDefault="00B973A6" w:rsidP="00B973A6">
      <w:pPr>
        <w:rPr>
          <w:sz w:val="22"/>
        </w:rPr>
      </w:pPr>
    </w:p>
    <w:p w14:paraId="2C5861DD" w14:textId="77777777" w:rsidR="00B973A6" w:rsidRPr="00454D94" w:rsidRDefault="00B973A6" w:rsidP="00B973A6">
      <w:pPr>
        <w:rPr>
          <w:sz w:val="22"/>
        </w:rPr>
      </w:pPr>
      <w:r>
        <w:rPr>
          <w:noProof/>
        </w:rPr>
        <w:drawing>
          <wp:inline distT="0" distB="0" distL="0" distR="0" wp14:anchorId="785CF50D" wp14:editId="0C33B304">
            <wp:extent cx="5731510" cy="2078990"/>
            <wp:effectExtent l="0" t="0" r="2540" b="0"/>
            <wp:docPr id="14" name="Picture 14" descr="Screenshot of automated requ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creenshot of automated request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F2311" w14:textId="77777777" w:rsidR="00B973A6" w:rsidRPr="00454D94" w:rsidRDefault="00B973A6" w:rsidP="00B973A6">
      <w:pPr>
        <w:rPr>
          <w:sz w:val="22"/>
        </w:rPr>
      </w:pPr>
    </w:p>
    <w:p w14:paraId="3AE11D77" w14:textId="77777777" w:rsidR="00B973A6" w:rsidRDefault="00B973A6" w:rsidP="00B973A6">
      <w:pPr>
        <w:rPr>
          <w:sz w:val="22"/>
        </w:rPr>
      </w:pPr>
    </w:p>
    <w:p w14:paraId="69343359" w14:textId="77777777" w:rsidR="00B973A6" w:rsidRPr="00B973A6" w:rsidRDefault="00B973A6" w:rsidP="00B973A6">
      <w:pPr>
        <w:rPr>
          <w:szCs w:val="24"/>
        </w:rPr>
      </w:pPr>
      <w:r w:rsidRPr="00B973A6">
        <w:rPr>
          <w:szCs w:val="24"/>
        </w:rPr>
        <w:t>Further detail for each of these forms is explained in the following guidance documents:</w:t>
      </w:r>
    </w:p>
    <w:p w14:paraId="12A2C45D" w14:textId="77777777" w:rsidR="00B973A6" w:rsidRPr="00B973A6" w:rsidRDefault="00B973A6" w:rsidP="00B973A6">
      <w:pPr>
        <w:rPr>
          <w:szCs w:val="24"/>
        </w:rPr>
      </w:pPr>
    </w:p>
    <w:p w14:paraId="0953CDE6" w14:textId="18BBA9C6" w:rsidR="00B973A6" w:rsidRPr="00B973A6" w:rsidRDefault="00463A4E" w:rsidP="00B973A6">
      <w:pPr>
        <w:rPr>
          <w:szCs w:val="24"/>
        </w:rPr>
      </w:pPr>
      <w:r>
        <w:rPr>
          <w:szCs w:val="24"/>
        </w:rPr>
        <w:t>‘</w:t>
      </w:r>
      <w:r w:rsidR="00B973A6" w:rsidRPr="00B973A6">
        <w:rPr>
          <w:szCs w:val="24"/>
        </w:rPr>
        <w:t>09. Automated Requests Overview</w:t>
      </w:r>
      <w:r>
        <w:rPr>
          <w:szCs w:val="24"/>
        </w:rPr>
        <w:t>’</w:t>
      </w:r>
    </w:p>
    <w:p w14:paraId="6F0EA72D" w14:textId="4B414BFB" w:rsidR="00B973A6" w:rsidRPr="00B973A6" w:rsidRDefault="00A952D7" w:rsidP="00B973A6">
      <w:pPr>
        <w:rPr>
          <w:szCs w:val="24"/>
        </w:rPr>
      </w:pPr>
      <w:r>
        <w:rPr>
          <w:szCs w:val="24"/>
        </w:rPr>
        <w:t>‘</w:t>
      </w:r>
      <w:r w:rsidR="00B973A6" w:rsidRPr="00B973A6">
        <w:rPr>
          <w:szCs w:val="24"/>
        </w:rPr>
        <w:t>10 Constructed Value SD55E</w:t>
      </w:r>
      <w:r>
        <w:rPr>
          <w:szCs w:val="24"/>
        </w:rPr>
        <w:t>’</w:t>
      </w:r>
    </w:p>
    <w:p w14:paraId="20305326" w14:textId="4DCE005B" w:rsidR="00B973A6" w:rsidRPr="00B973A6" w:rsidRDefault="00A952D7" w:rsidP="00B973A6">
      <w:pPr>
        <w:rPr>
          <w:szCs w:val="24"/>
        </w:rPr>
      </w:pPr>
      <w:r>
        <w:rPr>
          <w:szCs w:val="24"/>
        </w:rPr>
        <w:t>‘</w:t>
      </w:r>
      <w:r w:rsidR="00B973A6" w:rsidRPr="00B973A6">
        <w:rPr>
          <w:szCs w:val="24"/>
        </w:rPr>
        <w:t>11. ESR Mid Year Contribution Rate Changes</w:t>
      </w:r>
      <w:r>
        <w:rPr>
          <w:szCs w:val="24"/>
        </w:rPr>
        <w:t>’</w:t>
      </w:r>
    </w:p>
    <w:p w14:paraId="78F29E8F" w14:textId="4C4DE008" w:rsidR="00B973A6" w:rsidRPr="00B973A6" w:rsidRDefault="00A952D7" w:rsidP="00B973A6">
      <w:pPr>
        <w:rPr>
          <w:szCs w:val="24"/>
        </w:rPr>
      </w:pPr>
      <w:r>
        <w:rPr>
          <w:szCs w:val="24"/>
        </w:rPr>
        <w:t>‘</w:t>
      </w:r>
      <w:r w:rsidR="00B973A6" w:rsidRPr="00B973A6">
        <w:rPr>
          <w:szCs w:val="24"/>
        </w:rPr>
        <w:t>12. ESR Changes to Standard Hours</w:t>
      </w:r>
      <w:r>
        <w:rPr>
          <w:szCs w:val="24"/>
        </w:rPr>
        <w:t>’</w:t>
      </w:r>
    </w:p>
    <w:p w14:paraId="0EB9D847" w14:textId="60A74FA6" w:rsidR="00B973A6" w:rsidRPr="00B973A6" w:rsidRDefault="00B973A6" w:rsidP="00B973A6">
      <w:pPr>
        <w:rPr>
          <w:szCs w:val="24"/>
        </w:rPr>
      </w:pPr>
      <w:r w:rsidRPr="00B973A6">
        <w:rPr>
          <w:szCs w:val="24"/>
        </w:rPr>
        <w:t xml:space="preserve">These automated requests should be actioned as soon as possible as </w:t>
      </w:r>
      <w:r w:rsidR="00A952D7">
        <w:rPr>
          <w:szCs w:val="24"/>
        </w:rPr>
        <w:t>NHS Pensions</w:t>
      </w:r>
      <w:r w:rsidRPr="00B973A6">
        <w:rPr>
          <w:szCs w:val="24"/>
        </w:rPr>
        <w:t xml:space="preserve"> are waiting for information to enable them to update or amend the member record. </w:t>
      </w:r>
    </w:p>
    <w:p w14:paraId="0AAAC6E1" w14:textId="6A9EAD45" w:rsidR="00B973A6" w:rsidRPr="00B973A6" w:rsidRDefault="00B973A6" w:rsidP="00B973A6">
      <w:pPr>
        <w:rPr>
          <w:szCs w:val="24"/>
        </w:rPr>
      </w:pPr>
      <w:r w:rsidRPr="00B973A6">
        <w:rPr>
          <w:szCs w:val="24"/>
        </w:rPr>
        <w:t xml:space="preserve">As you complete and submit responses the number shown in red will reduce. Likewise they will increase if </w:t>
      </w:r>
      <w:r w:rsidR="008877A8">
        <w:rPr>
          <w:szCs w:val="24"/>
        </w:rPr>
        <w:t>NHS Pensions</w:t>
      </w:r>
      <w:r w:rsidRPr="00B973A6">
        <w:rPr>
          <w:szCs w:val="24"/>
        </w:rPr>
        <w:t xml:space="preserve"> require information for additional errors.</w:t>
      </w:r>
    </w:p>
    <w:p w14:paraId="549C6A39" w14:textId="77777777" w:rsidR="00B973A6" w:rsidRPr="00B973A6" w:rsidRDefault="00B973A6" w:rsidP="00B973A6">
      <w:pPr>
        <w:spacing w:after="200"/>
        <w:rPr>
          <w:szCs w:val="24"/>
        </w:rPr>
      </w:pPr>
    </w:p>
    <w:p w14:paraId="0FA3E74C" w14:textId="1A55B768" w:rsidR="00B973A6" w:rsidRPr="00B973A6" w:rsidRDefault="00B973A6" w:rsidP="00B973A6">
      <w:pPr>
        <w:rPr>
          <w:szCs w:val="24"/>
        </w:rPr>
      </w:pPr>
      <w:r w:rsidRPr="00B973A6">
        <w:rPr>
          <w:szCs w:val="24"/>
        </w:rPr>
        <w:t xml:space="preserve">To see the full list of E-Forms select the link </w:t>
      </w:r>
      <w:r w:rsidR="008770AF">
        <w:rPr>
          <w:szCs w:val="24"/>
        </w:rPr>
        <w:t>‘</w:t>
      </w:r>
      <w:r w:rsidRPr="00B973A6">
        <w:rPr>
          <w:szCs w:val="24"/>
        </w:rPr>
        <w:t>Continue to E-Forms</w:t>
      </w:r>
      <w:r w:rsidR="008770AF">
        <w:rPr>
          <w:szCs w:val="24"/>
        </w:rPr>
        <w:t>’</w:t>
      </w:r>
      <w:r w:rsidRPr="00B973A6">
        <w:rPr>
          <w:szCs w:val="24"/>
        </w:rPr>
        <w:t xml:space="preserve"> and the following menu will then be displayed:</w:t>
      </w:r>
    </w:p>
    <w:p w14:paraId="1DED193E" w14:textId="77777777" w:rsidR="00B973A6" w:rsidRPr="00454D94" w:rsidRDefault="00B973A6" w:rsidP="00B973A6">
      <w:pPr>
        <w:rPr>
          <w:sz w:val="22"/>
        </w:rPr>
      </w:pPr>
    </w:p>
    <w:p w14:paraId="2BEE0FB4" w14:textId="77777777" w:rsidR="00B973A6" w:rsidRPr="00454D94" w:rsidRDefault="00B973A6" w:rsidP="00B973A6">
      <w:pPr>
        <w:rPr>
          <w:sz w:val="22"/>
        </w:rPr>
      </w:pPr>
      <w:r>
        <w:rPr>
          <w:noProof/>
        </w:rPr>
        <w:drawing>
          <wp:inline distT="0" distB="0" distL="0" distR="0" wp14:anchorId="1245756B" wp14:editId="27228B2A">
            <wp:extent cx="5731510" cy="2415540"/>
            <wp:effectExtent l="0" t="0" r="2540" b="3810"/>
            <wp:docPr id="13" name="Picture 13" descr="Screenshot of 'continue to e-form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creenshot of 'continue to e-forms'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D3E5C" w14:textId="77777777" w:rsidR="00B973A6" w:rsidRPr="00454D94" w:rsidRDefault="00B973A6" w:rsidP="00B973A6">
      <w:pPr>
        <w:rPr>
          <w:sz w:val="22"/>
        </w:rPr>
      </w:pPr>
    </w:p>
    <w:p w14:paraId="50AE44AF" w14:textId="77777777" w:rsidR="00B973A6" w:rsidRPr="00B973A6" w:rsidRDefault="00B973A6" w:rsidP="00B973A6">
      <w:pPr>
        <w:rPr>
          <w:szCs w:val="24"/>
        </w:rPr>
      </w:pPr>
      <w:r w:rsidRPr="00B973A6">
        <w:rPr>
          <w:szCs w:val="24"/>
        </w:rPr>
        <w:t xml:space="preserve">Further guidance for each form is available in guides: </w:t>
      </w:r>
    </w:p>
    <w:p w14:paraId="488DD1AE" w14:textId="77777777" w:rsidR="00B973A6" w:rsidRPr="00B973A6" w:rsidRDefault="00B973A6" w:rsidP="00B973A6">
      <w:pPr>
        <w:rPr>
          <w:szCs w:val="24"/>
        </w:rPr>
      </w:pPr>
    </w:p>
    <w:p w14:paraId="03B1CD77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14 – Joiner form overview</w:t>
      </w:r>
    </w:p>
    <w:p w14:paraId="57240C1F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15 – SS10 joiner form</w:t>
      </w:r>
    </w:p>
    <w:p w14:paraId="1CF1DC74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16 – SS10 GP joiner form</w:t>
      </w:r>
    </w:p>
    <w:p w14:paraId="05A303CB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17 – SS14 joiner form</w:t>
      </w:r>
    </w:p>
    <w:p w14:paraId="59D53852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18 – SD55 – Annual update</w:t>
      </w:r>
    </w:p>
    <w:p w14:paraId="63DE76C2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19 – SD55 – Terminating a period of employment</w:t>
      </w:r>
    </w:p>
    <w:p w14:paraId="687EC990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21 – SD55G – Changes to personal details</w:t>
      </w:r>
    </w:p>
    <w:p w14:paraId="63079864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22 – SD55E – Amending contributions, pay and hours</w:t>
      </w:r>
    </w:p>
    <w:p w14:paraId="356E1091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23 - RFT1</w:t>
      </w:r>
    </w:p>
    <w:p w14:paraId="5A7E5527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25 – ADP4</w:t>
      </w:r>
    </w:p>
    <w:p w14:paraId="3B95A823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26 – Non-updated records</w:t>
      </w:r>
    </w:p>
    <w:p w14:paraId="776020ED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27 – AW8 – Retirement benefit claim form</w:t>
      </w:r>
    </w:p>
    <w:p w14:paraId="3DDC189D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28- Application for refund of contributions</w:t>
      </w:r>
    </w:p>
    <w:p w14:paraId="3FA903E5" w14:textId="77777777" w:rsidR="00B973A6" w:rsidRPr="00B973A6" w:rsidRDefault="00B973A6" w:rsidP="00B973A6">
      <w:pPr>
        <w:pStyle w:val="ListParagraph"/>
        <w:widowControl/>
        <w:numPr>
          <w:ilvl w:val="0"/>
          <w:numId w:val="1"/>
        </w:numPr>
        <w:autoSpaceDE/>
        <w:autoSpaceDN/>
        <w:rPr>
          <w:szCs w:val="24"/>
        </w:rPr>
      </w:pPr>
      <w:r w:rsidRPr="00B973A6">
        <w:rPr>
          <w:szCs w:val="24"/>
        </w:rPr>
        <w:t>31 – GP1 (GP Practices only)</w:t>
      </w:r>
    </w:p>
    <w:p w14:paraId="6814923C" w14:textId="77777777" w:rsidR="009465C0" w:rsidRPr="008B5C39" w:rsidRDefault="009465C0" w:rsidP="002354F3"/>
    <w:p w14:paraId="349145B8" w14:textId="44D0BD28" w:rsidR="003B14F9" w:rsidRDefault="005A6B75" w:rsidP="00A40F9E">
      <w:bookmarkStart w:id="0" w:name="_Hlk182487981"/>
      <w:r w:rsidRPr="00560D93">
        <w:br/>
      </w:r>
      <w:r w:rsidRPr="00560D93">
        <w:lastRenderedPageBreak/>
        <w:br/>
      </w:r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</w:p>
    <w:p w14:paraId="65737408" w14:textId="77777777" w:rsidR="00B973A6" w:rsidRDefault="00B973A6" w:rsidP="00A40F9E"/>
    <w:p w14:paraId="06158FE7" w14:textId="77777777" w:rsidR="00B973A6" w:rsidRDefault="00B973A6" w:rsidP="00A40F9E"/>
    <w:p w14:paraId="649EBF2E" w14:textId="77777777" w:rsidR="00B973A6" w:rsidRDefault="00B973A6" w:rsidP="00A40F9E"/>
    <w:p w14:paraId="163CB7F9" w14:textId="77777777" w:rsidR="00B973A6" w:rsidRDefault="00B973A6" w:rsidP="00A40F9E"/>
    <w:p w14:paraId="3B3E00DE" w14:textId="77777777" w:rsidR="00B973A6" w:rsidRDefault="00B973A6" w:rsidP="00A40F9E"/>
    <w:p w14:paraId="1AFFEA3C" w14:textId="77777777" w:rsidR="00B973A6" w:rsidRDefault="00B973A6" w:rsidP="00A40F9E"/>
    <w:p w14:paraId="642E67BF" w14:textId="77777777" w:rsidR="00B973A6" w:rsidRDefault="00B973A6" w:rsidP="00A40F9E"/>
    <w:p w14:paraId="64F53279" w14:textId="77777777" w:rsidR="00B973A6" w:rsidRDefault="00B973A6" w:rsidP="00A40F9E"/>
    <w:p w14:paraId="16FECD3C" w14:textId="77777777" w:rsidR="00A40F9E" w:rsidRDefault="00A40F9E" w:rsidP="00A40F9E"/>
    <w:p w14:paraId="48395604" w14:textId="77777777" w:rsidR="00A40F9E" w:rsidRDefault="00A40F9E" w:rsidP="00A40F9E"/>
    <w:p w14:paraId="29A9576D" w14:textId="77777777" w:rsidR="00B973A6" w:rsidRDefault="00B973A6" w:rsidP="00A40F9E"/>
    <w:p w14:paraId="6B9A769C" w14:textId="77777777" w:rsidR="00B973A6" w:rsidRDefault="00B973A6" w:rsidP="00A40F9E"/>
    <w:p w14:paraId="6BDC16C6" w14:textId="77777777" w:rsidR="00B973A6" w:rsidRDefault="00B973A6" w:rsidP="00A40F9E"/>
    <w:p w14:paraId="6306649D" w14:textId="77777777" w:rsidR="00B973A6" w:rsidRDefault="00B973A6" w:rsidP="00A40F9E"/>
    <w:p w14:paraId="75439B97" w14:textId="77777777" w:rsidR="00B973A6" w:rsidRDefault="00B973A6" w:rsidP="00A40F9E"/>
    <w:p w14:paraId="60CF082E" w14:textId="77777777" w:rsidR="00B973A6" w:rsidRDefault="00B973A6" w:rsidP="00A40F9E"/>
    <w:p w14:paraId="32CC22D6" w14:textId="77777777" w:rsidR="00B973A6" w:rsidRDefault="00B973A6" w:rsidP="00A40F9E"/>
    <w:p w14:paraId="2978915E" w14:textId="77777777" w:rsidR="00A40F9E" w:rsidRDefault="00A40F9E" w:rsidP="00A40F9E"/>
    <w:p w14:paraId="2263ED99" w14:textId="77777777" w:rsidR="00B973A6" w:rsidRDefault="00B973A6" w:rsidP="00A40F9E"/>
    <w:p w14:paraId="5E8D727E" w14:textId="77777777" w:rsidR="00B973A6" w:rsidRDefault="00B973A6" w:rsidP="00A40F9E"/>
    <w:p w14:paraId="54D008E3" w14:textId="6E9ED63A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5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00F9B61" w14:textId="5D8F014B" w:rsidR="00560D93" w:rsidRDefault="00B973A6" w:rsidP="002354F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Pensions Online (POL) 8.E-Forms Overview</w:t>
      </w:r>
    </w:p>
    <w:p w14:paraId="1FEDC6B1" w14:textId="77777777" w:rsidR="00560D93" w:rsidRPr="00560D93" w:rsidRDefault="00560D93" w:rsidP="002354F3"/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16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footerReference w:type="default" r:id="rId1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2665" w14:textId="77777777" w:rsidR="00040C34" w:rsidRDefault="00040C34" w:rsidP="002354F3">
      <w:r>
        <w:separator/>
      </w:r>
    </w:p>
  </w:endnote>
  <w:endnote w:type="continuationSeparator" w:id="0">
    <w:p w14:paraId="1E9A73EB" w14:textId="77777777" w:rsidR="00040C34" w:rsidRDefault="00040C34" w:rsidP="002354F3">
      <w:r>
        <w:continuationSeparator/>
      </w:r>
    </w:p>
  </w:endnote>
  <w:endnote w:type="continuationNotice" w:id="1">
    <w:p w14:paraId="739C4214" w14:textId="77777777" w:rsidR="00040C34" w:rsidRDefault="00040C34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5CFD97A6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>NHS Pensions-POL Guide</w:t>
    </w:r>
    <w:r w:rsidR="00B973A6">
      <w:rPr>
        <w:sz w:val="20"/>
        <w:szCs w:val="20"/>
      </w:rPr>
      <w:t xml:space="preserve"> 8. E-Forms Overview</w:t>
    </w:r>
    <w:r w:rsidRPr="00D43B7B">
      <w:rPr>
        <w:sz w:val="20"/>
        <w:szCs w:val="20"/>
      </w:rPr>
      <w:t>-</w:t>
    </w:r>
    <w:r w:rsidR="00B973A6">
      <w:rPr>
        <w:sz w:val="20"/>
        <w:szCs w:val="20"/>
      </w:rPr>
      <w:t>20260</w:t>
    </w:r>
    <w:r w:rsidR="00580834">
      <w:rPr>
        <w:sz w:val="20"/>
        <w:szCs w:val="20"/>
      </w:rPr>
      <w:t>413</w:t>
    </w:r>
    <w:r w:rsidRPr="00D43B7B">
      <w:rPr>
        <w:sz w:val="20"/>
        <w:szCs w:val="20"/>
      </w:rPr>
      <w:t>-(V</w:t>
    </w:r>
    <w:r w:rsidR="00B973A6">
      <w:rPr>
        <w:sz w:val="20"/>
        <w:szCs w:val="20"/>
      </w:rPr>
      <w:t>5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1037" w14:textId="77777777" w:rsidR="00040C34" w:rsidRDefault="00040C34" w:rsidP="002354F3">
      <w:r>
        <w:separator/>
      </w:r>
    </w:p>
  </w:footnote>
  <w:footnote w:type="continuationSeparator" w:id="0">
    <w:p w14:paraId="6D10FAF7" w14:textId="77777777" w:rsidR="00040C34" w:rsidRDefault="00040C34" w:rsidP="002354F3">
      <w:r>
        <w:continuationSeparator/>
      </w:r>
    </w:p>
  </w:footnote>
  <w:footnote w:type="continuationNotice" w:id="1">
    <w:p w14:paraId="163BCB9C" w14:textId="77777777" w:rsidR="00040C34" w:rsidRDefault="00040C34" w:rsidP="00235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18E"/>
    <w:multiLevelType w:val="hybridMultilevel"/>
    <w:tmpl w:val="AC72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29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26605"/>
    <w:rsid w:val="00032A7E"/>
    <w:rsid w:val="00040C34"/>
    <w:rsid w:val="0007283F"/>
    <w:rsid w:val="000A6787"/>
    <w:rsid w:val="001118DC"/>
    <w:rsid w:val="00126DE1"/>
    <w:rsid w:val="0014120B"/>
    <w:rsid w:val="00190096"/>
    <w:rsid w:val="001C0891"/>
    <w:rsid w:val="001D39CA"/>
    <w:rsid w:val="002354F3"/>
    <w:rsid w:val="002507C4"/>
    <w:rsid w:val="00261750"/>
    <w:rsid w:val="00270C99"/>
    <w:rsid w:val="002C0A03"/>
    <w:rsid w:val="002C2AF1"/>
    <w:rsid w:val="002E2A78"/>
    <w:rsid w:val="003A740F"/>
    <w:rsid w:val="003B14F9"/>
    <w:rsid w:val="003E3892"/>
    <w:rsid w:val="003E4D4F"/>
    <w:rsid w:val="003F057E"/>
    <w:rsid w:val="004238F5"/>
    <w:rsid w:val="00463A4E"/>
    <w:rsid w:val="00474440"/>
    <w:rsid w:val="004D1EC8"/>
    <w:rsid w:val="004F07BD"/>
    <w:rsid w:val="004F5EF6"/>
    <w:rsid w:val="0051423F"/>
    <w:rsid w:val="00560D93"/>
    <w:rsid w:val="00580834"/>
    <w:rsid w:val="005974A2"/>
    <w:rsid w:val="005A6B75"/>
    <w:rsid w:val="005C6EB9"/>
    <w:rsid w:val="005F5D94"/>
    <w:rsid w:val="00602045"/>
    <w:rsid w:val="00624E6F"/>
    <w:rsid w:val="006D5C43"/>
    <w:rsid w:val="007506E0"/>
    <w:rsid w:val="007D05A8"/>
    <w:rsid w:val="007D1C32"/>
    <w:rsid w:val="00815E53"/>
    <w:rsid w:val="00816688"/>
    <w:rsid w:val="00820CC0"/>
    <w:rsid w:val="008770AF"/>
    <w:rsid w:val="008877A8"/>
    <w:rsid w:val="008A3AFC"/>
    <w:rsid w:val="008B5C39"/>
    <w:rsid w:val="00913526"/>
    <w:rsid w:val="00913736"/>
    <w:rsid w:val="00926B5F"/>
    <w:rsid w:val="009465C0"/>
    <w:rsid w:val="0098076D"/>
    <w:rsid w:val="00A2075A"/>
    <w:rsid w:val="00A40F9E"/>
    <w:rsid w:val="00A45CC9"/>
    <w:rsid w:val="00A952D7"/>
    <w:rsid w:val="00AA722B"/>
    <w:rsid w:val="00AB67FD"/>
    <w:rsid w:val="00AD0087"/>
    <w:rsid w:val="00AF5D11"/>
    <w:rsid w:val="00B52D2E"/>
    <w:rsid w:val="00B74328"/>
    <w:rsid w:val="00B7604A"/>
    <w:rsid w:val="00B9214D"/>
    <w:rsid w:val="00B973A6"/>
    <w:rsid w:val="00BA27C5"/>
    <w:rsid w:val="00BB5C39"/>
    <w:rsid w:val="00BB685E"/>
    <w:rsid w:val="00BC2FC5"/>
    <w:rsid w:val="00BD29A1"/>
    <w:rsid w:val="00C13806"/>
    <w:rsid w:val="00C15533"/>
    <w:rsid w:val="00C76428"/>
    <w:rsid w:val="00C850D0"/>
    <w:rsid w:val="00C87442"/>
    <w:rsid w:val="00CA1A11"/>
    <w:rsid w:val="00CE3FEA"/>
    <w:rsid w:val="00D43B7B"/>
    <w:rsid w:val="00E446D0"/>
    <w:rsid w:val="00E67254"/>
    <w:rsid w:val="00E76F9C"/>
    <w:rsid w:val="00EA3CE8"/>
    <w:rsid w:val="00EB3D99"/>
    <w:rsid w:val="00EC3FA9"/>
    <w:rsid w:val="00EE580D"/>
    <w:rsid w:val="00F0631C"/>
    <w:rsid w:val="00F076B0"/>
    <w:rsid w:val="00F141FB"/>
    <w:rsid w:val="00F15C3D"/>
    <w:rsid w:val="00F176A1"/>
    <w:rsid w:val="00F31C7C"/>
    <w:rsid w:val="00F33C83"/>
    <w:rsid w:val="00F70E6A"/>
    <w:rsid w:val="00F855CA"/>
    <w:rsid w:val="00FC7433"/>
    <w:rsid w:val="00FD7D61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bsa.nhs.uk/nhs-pens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nhsbsa.nhs.uk/our-policies/privacy/nhs-pensions-privacy-notic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6F276-510A-4489-BB7F-EFECCA694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F81E5-9FB8-4904-99FC-9536AB3BF16A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customXml/itemProps4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Pensions-POL Guide 8. E-Forms Overview</dc:title>
  <dc:subject/>
  <dc:creator>Nicola Ratcliffe</dc:creator>
  <cp:keywords/>
  <dc:description/>
  <cp:lastModifiedBy>Beverley Battersby</cp:lastModifiedBy>
  <cp:revision>15</cp:revision>
  <dcterms:created xsi:type="dcterms:W3CDTF">2026-03-26T11:02:00Z</dcterms:created>
  <dcterms:modified xsi:type="dcterms:W3CDTF">2026-04-13T10:13:00Z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