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548F" w14:textId="76E0DE49" w:rsidR="00A41009" w:rsidRDefault="00A41009" w:rsidP="00CC3046">
      <w:pPr>
        <w:pStyle w:val="Heading1"/>
        <w:rPr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3A05DFA" wp14:editId="2BBC8C62">
            <wp:simplePos x="0" y="0"/>
            <wp:positionH relativeFrom="page">
              <wp:align>left</wp:align>
            </wp:positionH>
            <wp:positionV relativeFrom="paragraph">
              <wp:posOffset>-718327</wp:posOffset>
            </wp:positionV>
            <wp:extent cx="7559040" cy="1706880"/>
            <wp:effectExtent l="0" t="0" r="3810" b="7620"/>
            <wp:wrapNone/>
            <wp:docPr id="1" name="Picture 1" descr="Swish A4 Portrait -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sh A4 Portrait - 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A9EFF" w14:textId="31E30F55" w:rsidR="00A41009" w:rsidRDefault="00A41009" w:rsidP="00CC3046">
      <w:pPr>
        <w:pStyle w:val="Heading1"/>
        <w:rPr>
          <w:sz w:val="48"/>
          <w:szCs w:val="48"/>
        </w:rPr>
      </w:pPr>
    </w:p>
    <w:p w14:paraId="0BEFF6CE" w14:textId="7CE84D0D" w:rsidR="007B7B25" w:rsidRDefault="007B7B25" w:rsidP="00CC3046">
      <w:pPr>
        <w:pStyle w:val="Heading1"/>
        <w:rPr>
          <w:sz w:val="48"/>
          <w:szCs w:val="48"/>
        </w:rPr>
      </w:pPr>
    </w:p>
    <w:p w14:paraId="532BB60C" w14:textId="79D56024" w:rsidR="005D1138" w:rsidRDefault="001630A8" w:rsidP="00A66BC2">
      <w:pPr>
        <w:pStyle w:val="Heading2"/>
        <w:rPr>
          <w:color w:val="005EB8"/>
          <w:sz w:val="36"/>
          <w:szCs w:val="36"/>
        </w:rPr>
      </w:pPr>
      <w:r>
        <w:rPr>
          <w:color w:val="005EB8"/>
          <w:sz w:val="36"/>
          <w:szCs w:val="36"/>
        </w:rPr>
        <w:t>Technical terms glossary</w:t>
      </w:r>
      <w:r w:rsidR="00A66BC2">
        <w:rPr>
          <w:color w:val="005EB8"/>
          <w:sz w:val="36"/>
          <w:szCs w:val="36"/>
        </w:rPr>
        <w:t xml:space="preserve"> </w:t>
      </w:r>
    </w:p>
    <w:p w14:paraId="035A2D14" w14:textId="77777777" w:rsidR="00A66BC2" w:rsidRPr="00A66BC2" w:rsidRDefault="00A66BC2" w:rsidP="00A66BC2"/>
    <w:p w14:paraId="78921529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Adult dependant pension</w:t>
      </w:r>
    </w:p>
    <w:p w14:paraId="1742C9B2" w14:textId="3AF3CD61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>An adult dependant pension may provide benefits to their surviving spouse, registered civil partner or qualifying scheme partner in the event of a member</w:t>
      </w:r>
      <w:r w:rsidR="00C72D99">
        <w:rPr>
          <w:rFonts w:ascii="Arial" w:eastAsia="Segoe UI" w:hAnsi="Arial" w:cs="Arial"/>
        </w:rPr>
        <w:t>’</w:t>
      </w:r>
      <w:r w:rsidRPr="00D235F3">
        <w:rPr>
          <w:rFonts w:ascii="Arial" w:eastAsia="Segoe UI" w:hAnsi="Arial" w:cs="Arial"/>
        </w:rPr>
        <w:t>s death.</w:t>
      </w:r>
    </w:p>
    <w:p w14:paraId="293D9C27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7840789E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Additional lump sum</w:t>
      </w:r>
    </w:p>
    <w:p w14:paraId="5C604620" w14:textId="30CB936C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>An additional lump sum is where a member cho</w:t>
      </w:r>
      <w:r w:rsidR="00116663">
        <w:rPr>
          <w:rFonts w:ascii="Arial" w:eastAsia="Segoe UI" w:hAnsi="Arial" w:cs="Arial"/>
        </w:rPr>
        <w:t>o</w:t>
      </w:r>
      <w:r w:rsidRPr="00D235F3">
        <w:rPr>
          <w:rFonts w:ascii="Arial" w:eastAsia="Segoe UI" w:hAnsi="Arial" w:cs="Arial"/>
        </w:rPr>
        <w:t>ses to exchange part of their annual pension </w:t>
      </w:r>
      <w:proofErr w:type="gramStart"/>
      <w:r w:rsidRPr="00D235F3">
        <w:rPr>
          <w:rFonts w:ascii="Arial" w:eastAsia="Segoe UI" w:hAnsi="Arial" w:cs="Arial"/>
        </w:rPr>
        <w:t>in order to</w:t>
      </w:r>
      <w:proofErr w:type="gramEnd"/>
      <w:r w:rsidRPr="00D235F3">
        <w:rPr>
          <w:rFonts w:ascii="Arial" w:eastAsia="Segoe UI" w:hAnsi="Arial" w:cs="Arial"/>
        </w:rPr>
        <w:t> receive a higher amount of money at the payable date of pension.</w:t>
      </w:r>
    </w:p>
    <w:p w14:paraId="77D80F84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746F15DC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Annual benefit statement</w:t>
      </w:r>
    </w:p>
    <w:p w14:paraId="64A689C3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>An annual benefit statement provides members with the value of their pension each year.</w:t>
      </w:r>
    </w:p>
    <w:p w14:paraId="21AFB047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63FFECF5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AW8</w:t>
      </w:r>
    </w:p>
    <w:p w14:paraId="6C325B27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>An AW8 is the application for retirement benefits to be completed by members who are claiming benefits from active NHS employment. Parts 1 to 5 are filled out by the employer, parts 6 to 14 are filled out by the member.</w:t>
      </w:r>
    </w:p>
    <w:p w14:paraId="657064CA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62DFD370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AW8/11A</w:t>
      </w:r>
    </w:p>
    <w:p w14:paraId="3FBF5BA9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>An AW8/11A is the form required when a member wishes to allocate part of their pension to a person who is dependent on them.</w:t>
      </w:r>
    </w:p>
    <w:p w14:paraId="2126216D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2B2C326B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AW8P</w:t>
      </w:r>
    </w:p>
    <w:p w14:paraId="59970C69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 xml:space="preserve">An AW8P is the application for retirement benefits when members have left the scheme more than 12 months before the payable date of </w:t>
      </w:r>
      <w:proofErr w:type="gramStart"/>
      <w:r w:rsidRPr="00D235F3">
        <w:rPr>
          <w:rFonts w:ascii="Arial" w:eastAsia="Segoe UI" w:hAnsi="Arial" w:cs="Arial"/>
        </w:rPr>
        <w:t>benefits</w:t>
      </w:r>
      <w:proofErr w:type="gramEnd"/>
      <w:r w:rsidRPr="00D235F3">
        <w:rPr>
          <w:rFonts w:ascii="Arial" w:eastAsia="Segoe UI" w:hAnsi="Arial" w:cs="Arial"/>
        </w:rPr>
        <w:t xml:space="preserve"> or they are claiming a period of previously deferred membership.</w:t>
      </w:r>
    </w:p>
    <w:p w14:paraId="1169CB21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12C3F44F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HMRC</w:t>
      </w:r>
    </w:p>
    <w:p w14:paraId="02803E37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>HMRC, His Majesty’s Revenue and Customs, is the government office responsible for collecting all types of tax from individuals and businesses in the UK.</w:t>
      </w:r>
    </w:p>
    <w:p w14:paraId="49E6C70F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0CDF6A59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Lifetime allowance</w:t>
      </w:r>
    </w:p>
    <w:p w14:paraId="71FF8BCF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>Lifetime allowance is the maximum amount of pension benefits that can be taken from registered pension schemes before a tax charge applies. </w:t>
      </w:r>
    </w:p>
    <w:p w14:paraId="0DE5B6DE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73A36CDD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Lump sum and death benefit allowance (LSDBA) </w:t>
      </w:r>
    </w:p>
    <w:p w14:paraId="5F9441C2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A relevant lump sum payable from the NHS Pension Scheme for the lump sum and death benefit allowance is: </w:t>
      </w:r>
    </w:p>
    <w:p w14:paraId="55ABA9D5" w14:textId="77777777" w:rsidR="00F1672F" w:rsidRPr="00F1672F" w:rsidRDefault="00F1672F" w:rsidP="00F1672F">
      <w:pPr>
        <w:pStyle w:val="ListParagraph"/>
        <w:numPr>
          <w:ilvl w:val="0"/>
          <w:numId w:val="3"/>
        </w:numPr>
        <w:spacing w:before="210" w:after="210" w:line="300" w:lineRule="auto"/>
        <w:rPr>
          <w:rFonts w:ascii="Arial" w:hAnsi="Arial" w:cs="Arial"/>
        </w:rPr>
      </w:pPr>
      <w:r w:rsidRPr="00F1672F">
        <w:rPr>
          <w:rFonts w:ascii="Arial" w:eastAsia="Segoe UI" w:hAnsi="Arial" w:cs="Arial"/>
        </w:rPr>
        <w:t>A pension commencement lump sum, also called a retirement lump sum </w:t>
      </w:r>
    </w:p>
    <w:p w14:paraId="359F41F9" w14:textId="77777777" w:rsidR="00F1672F" w:rsidRPr="00F1672F" w:rsidRDefault="00F1672F" w:rsidP="00F1672F">
      <w:pPr>
        <w:pStyle w:val="ListParagraph"/>
        <w:numPr>
          <w:ilvl w:val="0"/>
          <w:numId w:val="3"/>
        </w:numPr>
        <w:spacing w:before="210" w:after="210" w:line="300" w:lineRule="auto"/>
        <w:rPr>
          <w:rFonts w:ascii="Arial" w:hAnsi="Arial" w:cs="Arial"/>
        </w:rPr>
      </w:pPr>
      <w:r w:rsidRPr="00F1672F">
        <w:rPr>
          <w:rFonts w:ascii="Arial" w:eastAsia="Segoe UI" w:hAnsi="Arial" w:cs="Arial"/>
        </w:rPr>
        <w:t>A serious ill health lump sum </w:t>
      </w:r>
    </w:p>
    <w:p w14:paraId="39B2AF05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OR </w:t>
      </w:r>
    </w:p>
    <w:p w14:paraId="16F12A30" w14:textId="77777777" w:rsidR="00F1672F" w:rsidRPr="00F1672F" w:rsidRDefault="00F1672F" w:rsidP="00F1672F">
      <w:pPr>
        <w:pStyle w:val="ListParagraph"/>
        <w:numPr>
          <w:ilvl w:val="0"/>
          <w:numId w:val="4"/>
        </w:numPr>
        <w:spacing w:before="210" w:after="210" w:line="300" w:lineRule="auto"/>
        <w:rPr>
          <w:rFonts w:ascii="Arial" w:hAnsi="Arial" w:cs="Arial"/>
        </w:rPr>
      </w:pPr>
      <w:r w:rsidRPr="00F1672F">
        <w:rPr>
          <w:rFonts w:ascii="Arial" w:eastAsia="Segoe UI" w:hAnsi="Arial" w:cs="Arial"/>
        </w:rPr>
        <w:t>A defined benefit lump sum death benefit, also called a lump sum on death </w:t>
      </w:r>
    </w:p>
    <w:p w14:paraId="3CEC1EF9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The payment of NHS Pension Scheme benefits as a trivial commutation lump sum or small lump sum payment does not use up any of these allowances. </w:t>
      </w:r>
    </w:p>
    <w:p w14:paraId="496CFE63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  </w:t>
      </w:r>
    </w:p>
    <w:p w14:paraId="75680430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Lump sum retiring allowance</w:t>
      </w:r>
    </w:p>
    <w:p w14:paraId="327598AE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>A lump sum retiring allowance is an amount that may be paid initially when pension benefits are put into payment.</w:t>
      </w:r>
    </w:p>
    <w:p w14:paraId="17C8CD6E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646F0CC5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Mandaroty lump sum</w:t>
      </w:r>
    </w:p>
    <w:p w14:paraId="1349DF4D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 xml:space="preserve">A mandatory lump sum is relevant to some </w:t>
      </w:r>
      <w:proofErr w:type="gramStart"/>
      <w:r w:rsidRPr="00D235F3">
        <w:rPr>
          <w:rFonts w:ascii="Arial" w:eastAsia="Segoe UI" w:hAnsi="Arial" w:cs="Arial"/>
        </w:rPr>
        <w:t>members,</w:t>
      </w:r>
      <w:proofErr w:type="gramEnd"/>
      <w:r w:rsidRPr="00D235F3">
        <w:rPr>
          <w:rFonts w:ascii="Arial" w:eastAsia="Segoe UI" w:hAnsi="Arial" w:cs="Arial"/>
        </w:rPr>
        <w:t xml:space="preserve"> they are entitled to an amount of money when benefits are first put into payment without needing to exchange part of their pension.</w:t>
      </w:r>
    </w:p>
    <w:p w14:paraId="5837AB66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14083882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Opting out </w:t>
      </w:r>
    </w:p>
    <w:p w14:paraId="1A6C9B29" w14:textId="422FE185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lastRenderedPageBreak/>
        <w:t>Opting out is when a member cho</w:t>
      </w:r>
      <w:r w:rsidR="00D75D29">
        <w:rPr>
          <w:rFonts w:ascii="Arial" w:eastAsia="Segoe UI" w:hAnsi="Arial" w:cs="Arial"/>
        </w:rPr>
        <w:t>o</w:t>
      </w:r>
      <w:r w:rsidRPr="00D235F3">
        <w:rPr>
          <w:rFonts w:ascii="Arial" w:eastAsia="Segoe UI" w:hAnsi="Arial" w:cs="Arial"/>
        </w:rPr>
        <w:t>ses to stop contributing to the NHS Pension Scheme whilst continuing in NHS employment</w:t>
      </w:r>
      <w:r>
        <w:rPr>
          <w:rFonts w:ascii="Arial" w:eastAsia="Segoe UI" w:hAnsi="Arial" w:cs="Arial"/>
        </w:rPr>
        <w:t>.</w:t>
      </w:r>
    </w:p>
    <w:p w14:paraId="1DC36AF1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538935C1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Overseas transfer allowance</w:t>
      </w:r>
    </w:p>
    <w:p w14:paraId="51E0205A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>The overseas transfer allowance (OTA) applies when the transfer value is paid to an overseas pension scheme. </w:t>
      </w:r>
    </w:p>
    <w:p w14:paraId="6C132E13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1E460479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Pension commutation</w:t>
      </w:r>
    </w:p>
    <w:p w14:paraId="7F265F62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>Pension commutation is the exchange of annual pension to receive either an increased lump sum or a lump sum where there is no mandatory lump sum.</w:t>
      </w:r>
    </w:p>
    <w:p w14:paraId="60700DF2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7E26331A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Relevant benefit crystallisation event</w:t>
      </w:r>
    </w:p>
    <w:p w14:paraId="1A835A11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A relevant benefit crystallisation event (RBCE) occurs when a tax-free relevant lump sum is paid after the 5th of April 2024. This happens when you, retire, die or transfer your pension rights overseas.</w:t>
      </w:r>
    </w:p>
    <w:p w14:paraId="3C230E20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>At each RBCE, the relevant lump sum payment is checked against one or more of these allowances. </w:t>
      </w:r>
    </w:p>
    <w:p w14:paraId="443ADA96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27E1B433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Retirement benefits</w:t>
      </w:r>
    </w:p>
    <w:p w14:paraId="18CAC273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>Retirement benefits are any benefits included in your pension including your pension payments.</w:t>
      </w:r>
    </w:p>
    <w:p w14:paraId="00FA89DF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359278EA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Standard lifetime allowance</w:t>
      </w:r>
    </w:p>
    <w:p w14:paraId="3E973C47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t>A standard lifetime allowance means the lifetime allowance is the total amount you can build up from all your pension savings in your lifetime without incurring a tax charge. The standard lifetime allowance is the normal maximum amount set by HM revenue and customs. Some members have special arrangements in place to increase their </w:t>
      </w:r>
      <w:proofErr w:type="gramStart"/>
      <w:r w:rsidRPr="00D235F3">
        <w:rPr>
          <w:rFonts w:ascii="Arial" w:eastAsia="Segoe UI" w:hAnsi="Arial" w:cs="Arial"/>
        </w:rPr>
        <w:t>tax free</w:t>
      </w:r>
      <w:proofErr w:type="gramEnd"/>
      <w:r w:rsidRPr="00D235F3">
        <w:rPr>
          <w:rFonts w:ascii="Arial" w:eastAsia="Segoe UI" w:hAnsi="Arial" w:cs="Arial"/>
        </w:rPr>
        <w:t> amount.  From the 6th of April 2024, the Lifetime allowance was abolished, from that date new allowances were introduced. More information is available on our website.</w:t>
      </w:r>
    </w:p>
    <w:p w14:paraId="4F357941" w14:textId="289D88D6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  </w:t>
      </w:r>
    </w:p>
    <w:p w14:paraId="5179A10F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Total reward statement</w:t>
      </w:r>
    </w:p>
    <w:p w14:paraId="42248C3F" w14:textId="77777777" w:rsidR="00F1672F" w:rsidRDefault="00F1672F" w:rsidP="00F1672F">
      <w:pPr>
        <w:spacing w:before="210" w:after="210" w:line="300" w:lineRule="auto"/>
        <w:rPr>
          <w:rFonts w:ascii="Arial" w:eastAsia="Segoe UI" w:hAnsi="Arial" w:cs="Arial"/>
        </w:rPr>
      </w:pPr>
      <w:r w:rsidRPr="00D235F3">
        <w:rPr>
          <w:rFonts w:ascii="Arial" w:eastAsia="Segoe UI" w:hAnsi="Arial" w:cs="Arial"/>
        </w:rPr>
        <w:lastRenderedPageBreak/>
        <w:t>A Total reward statement is the online portal providing most NHS workers with details of their employment benefits including their pension annual benefit statement.</w:t>
      </w:r>
    </w:p>
    <w:p w14:paraId="1E90807A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</w:p>
    <w:p w14:paraId="0F2537E3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TUPE</w:t>
      </w:r>
    </w:p>
    <w:p w14:paraId="21DDC1A1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TUPE is Transfer of Undertakings (Protection of Employment). TUPE regulations protect employee's terms and conditions when they have a compulsory transfer from one employer to another. </w:t>
      </w:r>
    </w:p>
    <w:p w14:paraId="5359FFE0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This applies to all NHS employees who </w:t>
      </w:r>
      <w:proofErr w:type="gramStart"/>
      <w:r w:rsidRPr="00D235F3">
        <w:rPr>
          <w:rFonts w:ascii="Arial" w:eastAsia="Segoe UI" w:hAnsi="Arial" w:cs="Arial"/>
        </w:rPr>
        <w:t>have to</w:t>
      </w:r>
      <w:proofErr w:type="gramEnd"/>
      <w:r w:rsidRPr="00D235F3">
        <w:rPr>
          <w:rFonts w:ascii="Arial" w:eastAsia="Segoe UI" w:hAnsi="Arial" w:cs="Arial"/>
        </w:rPr>
        <w:t> move to a private sector employer. </w:t>
      </w:r>
    </w:p>
    <w:p w14:paraId="3EBA0BAB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If you have a query about access to the NHS Pension Scheme or a member is applying for their pension after TUPE, contact the Scheme Access Team at </w:t>
      </w:r>
      <w:hyperlink r:id="rId9">
        <w:r w:rsidRPr="00D235F3">
          <w:rPr>
            <w:rStyle w:val="Hyperlink"/>
            <w:rFonts w:ascii="Arial" w:eastAsia="Segoe UI" w:hAnsi="Arial" w:cs="Arial"/>
          </w:rPr>
          <w:t>schemeaccess@nhsbsa.nhs.uk</w:t>
        </w:r>
      </w:hyperlink>
      <w:r w:rsidRPr="00D235F3">
        <w:rPr>
          <w:rFonts w:ascii="Arial" w:eastAsia="Segoe UI" w:hAnsi="Arial" w:cs="Arial"/>
        </w:rPr>
        <w:t> </w:t>
      </w:r>
    </w:p>
    <w:p w14:paraId="025E6A0E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 </w:t>
      </w:r>
    </w:p>
    <w:p w14:paraId="7B1740C6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Voluntary deduction</w:t>
      </w:r>
    </w:p>
    <w:p w14:paraId="461CD3C8" w14:textId="77777777" w:rsidR="00F1672F" w:rsidRPr="00D235F3" w:rsidRDefault="00F1672F" w:rsidP="00F1672F">
      <w:pPr>
        <w:spacing w:before="210" w:after="210" w:line="300" w:lineRule="auto"/>
        <w:rPr>
          <w:rFonts w:ascii="Arial" w:hAnsi="Arial" w:cs="Arial"/>
        </w:rPr>
      </w:pPr>
      <w:r w:rsidRPr="00D235F3">
        <w:rPr>
          <w:rFonts w:ascii="Arial" w:eastAsia="Segoe UI" w:hAnsi="Arial" w:cs="Arial"/>
        </w:rPr>
        <w:t>Voluntary deduction is where you can apply to have part of your pension paid to an organisation.</w:t>
      </w:r>
    </w:p>
    <w:p w14:paraId="4F7A17E2" w14:textId="77777777" w:rsidR="004D1566" w:rsidRPr="008A4F37" w:rsidRDefault="004D1566" w:rsidP="00F1672F">
      <w:pPr>
        <w:pStyle w:val="BasicParagraph"/>
        <w:spacing w:line="320" w:lineRule="atLeast"/>
        <w:rPr>
          <w:rFonts w:ascii="Arial" w:hAnsi="Arial" w:cs="Arial"/>
        </w:rPr>
      </w:pPr>
    </w:p>
    <w:sectPr w:rsidR="004D1566" w:rsidRPr="008A4F37" w:rsidSect="00BD561F">
      <w:headerReference w:type="default" r:id="rId10"/>
      <w:pgSz w:w="11900" w:h="16840"/>
      <w:pgMar w:top="1134" w:right="1134" w:bottom="1077" w:left="1134" w:header="5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C62E" w14:textId="77777777" w:rsidR="00D95270" w:rsidRDefault="00D95270" w:rsidP="00D023EC">
      <w:r>
        <w:separator/>
      </w:r>
    </w:p>
  </w:endnote>
  <w:endnote w:type="continuationSeparator" w:id="0">
    <w:p w14:paraId="31F0DE33" w14:textId="77777777" w:rsidR="00D95270" w:rsidRDefault="00D95270" w:rsidP="00D0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94E4" w14:textId="77777777" w:rsidR="00D95270" w:rsidRDefault="00D95270" w:rsidP="00D023EC">
      <w:r>
        <w:separator/>
      </w:r>
    </w:p>
  </w:footnote>
  <w:footnote w:type="continuationSeparator" w:id="0">
    <w:p w14:paraId="390B53CA" w14:textId="77777777" w:rsidR="00D95270" w:rsidRDefault="00D95270" w:rsidP="00D0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7ED3" w14:textId="77777777" w:rsidR="00080904" w:rsidRDefault="00080904" w:rsidP="0070180D">
    <w:pPr>
      <w:pStyle w:val="Header"/>
      <w:ind w:left="-964" w:right="-9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383"/>
    <w:multiLevelType w:val="hybridMultilevel"/>
    <w:tmpl w:val="64906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7ACB"/>
    <w:multiLevelType w:val="hybridMultilevel"/>
    <w:tmpl w:val="41DCF204"/>
    <w:lvl w:ilvl="0" w:tplc="06C4E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42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EC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4E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0E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0E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DEC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562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7A3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83554E"/>
    <w:multiLevelType w:val="hybridMultilevel"/>
    <w:tmpl w:val="C0AAC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655E"/>
    <w:multiLevelType w:val="hybridMultilevel"/>
    <w:tmpl w:val="2CDECA02"/>
    <w:lvl w:ilvl="0" w:tplc="39A49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46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C0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67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BA2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2E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28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61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C1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98030080">
    <w:abstractNumId w:val="1"/>
  </w:num>
  <w:num w:numId="2" w16cid:durableId="2059625735">
    <w:abstractNumId w:val="3"/>
  </w:num>
  <w:num w:numId="3" w16cid:durableId="523370935">
    <w:abstractNumId w:val="0"/>
  </w:num>
  <w:num w:numId="4" w16cid:durableId="1466505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12"/>
    <w:rsid w:val="00080904"/>
    <w:rsid w:val="000F2B0A"/>
    <w:rsid w:val="00116663"/>
    <w:rsid w:val="00136D79"/>
    <w:rsid w:val="001630A8"/>
    <w:rsid w:val="00166FB2"/>
    <w:rsid w:val="001F2FBF"/>
    <w:rsid w:val="00232DB0"/>
    <w:rsid w:val="0028475E"/>
    <w:rsid w:val="00285628"/>
    <w:rsid w:val="002A72D7"/>
    <w:rsid w:val="002B5692"/>
    <w:rsid w:val="00350100"/>
    <w:rsid w:val="0037267E"/>
    <w:rsid w:val="00386F12"/>
    <w:rsid w:val="00391EE2"/>
    <w:rsid w:val="004074DA"/>
    <w:rsid w:val="004125C9"/>
    <w:rsid w:val="004D1566"/>
    <w:rsid w:val="004E7088"/>
    <w:rsid w:val="004F7882"/>
    <w:rsid w:val="00527F40"/>
    <w:rsid w:val="005939AB"/>
    <w:rsid w:val="005D1138"/>
    <w:rsid w:val="005F38BB"/>
    <w:rsid w:val="0063459D"/>
    <w:rsid w:val="00670A55"/>
    <w:rsid w:val="0070180D"/>
    <w:rsid w:val="0076496E"/>
    <w:rsid w:val="0076635F"/>
    <w:rsid w:val="00771FE7"/>
    <w:rsid w:val="007A2E5D"/>
    <w:rsid w:val="007B7B25"/>
    <w:rsid w:val="007F72E6"/>
    <w:rsid w:val="00872D5F"/>
    <w:rsid w:val="00894078"/>
    <w:rsid w:val="008A4F37"/>
    <w:rsid w:val="008A6CBF"/>
    <w:rsid w:val="008D30C5"/>
    <w:rsid w:val="00901BBA"/>
    <w:rsid w:val="00933DE2"/>
    <w:rsid w:val="00955E6C"/>
    <w:rsid w:val="009C0CA6"/>
    <w:rsid w:val="009C6B1F"/>
    <w:rsid w:val="009D6BBF"/>
    <w:rsid w:val="009E7E66"/>
    <w:rsid w:val="009F1AC1"/>
    <w:rsid w:val="00A33623"/>
    <w:rsid w:val="00A41009"/>
    <w:rsid w:val="00A47BDC"/>
    <w:rsid w:val="00A66BC2"/>
    <w:rsid w:val="00A90E8F"/>
    <w:rsid w:val="00AA0019"/>
    <w:rsid w:val="00AA3310"/>
    <w:rsid w:val="00AA531C"/>
    <w:rsid w:val="00B67C44"/>
    <w:rsid w:val="00BC1E8F"/>
    <w:rsid w:val="00BD561F"/>
    <w:rsid w:val="00BE001E"/>
    <w:rsid w:val="00C25EA4"/>
    <w:rsid w:val="00C45C77"/>
    <w:rsid w:val="00C46460"/>
    <w:rsid w:val="00C65736"/>
    <w:rsid w:val="00C72D99"/>
    <w:rsid w:val="00CC3046"/>
    <w:rsid w:val="00D023EC"/>
    <w:rsid w:val="00D75D29"/>
    <w:rsid w:val="00D9463F"/>
    <w:rsid w:val="00D95270"/>
    <w:rsid w:val="00DA2BBD"/>
    <w:rsid w:val="00DF0559"/>
    <w:rsid w:val="00E0577F"/>
    <w:rsid w:val="00E15507"/>
    <w:rsid w:val="00E602DA"/>
    <w:rsid w:val="00E967CC"/>
    <w:rsid w:val="00F1672F"/>
    <w:rsid w:val="00F52D85"/>
    <w:rsid w:val="00F65DFB"/>
    <w:rsid w:val="00F9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04C95FE"/>
  <w15:docId w15:val="{2DD352F5-F96D-41AC-A6B2-1EA2AA1C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7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046"/>
    <w:pPr>
      <w:keepNext/>
      <w:keepLines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046"/>
    <w:pPr>
      <w:keepNext/>
      <w:keepLines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138"/>
    <w:pPr>
      <w:keepNext/>
      <w:keepLines/>
      <w:outlineLvl w:val="2"/>
    </w:pPr>
    <w:rPr>
      <w:rFonts w:ascii="Arial" w:eastAsiaTheme="majorEastAsia" w:hAnsi="Arial" w:cstheme="majorBidi"/>
      <w:b/>
      <w:bCs/>
      <w:color w:val="005EB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65B2"/>
    <w:rPr>
      <w:rFonts w:ascii="Lucida Grande" w:hAnsi="Lucida Grande"/>
      <w:sz w:val="18"/>
      <w:szCs w:val="18"/>
    </w:rPr>
  </w:style>
  <w:style w:type="character" w:styleId="PageNumber">
    <w:name w:val="page number"/>
    <w:rsid w:val="00CA33A1"/>
    <w:rPr>
      <w:rFonts w:ascii="Arial" w:hAnsi="Arial"/>
      <w:b/>
      <w:color w:val="333333"/>
      <w:sz w:val="28"/>
    </w:rPr>
  </w:style>
  <w:style w:type="paragraph" w:customStyle="1" w:styleId="contentsheading">
    <w:name w:val="contents heading"/>
    <w:next w:val="Normal"/>
    <w:autoRedefine/>
    <w:rsid w:val="006337C9"/>
    <w:pPr>
      <w:spacing w:before="400" w:after="60"/>
      <w:ind w:left="1701" w:right="-199"/>
    </w:pPr>
    <w:rPr>
      <w:rFonts w:ascii="Arial" w:hAnsi="Arial" w:cs="HelveticaNeue-Light"/>
      <w:color w:val="59528F"/>
      <w:kern w:val="32"/>
      <w:sz w:val="26"/>
      <w:szCs w:val="26"/>
      <w:lang w:eastAsia="en-US" w:bidi="en-US"/>
    </w:rPr>
  </w:style>
  <w:style w:type="paragraph" w:customStyle="1" w:styleId="BasicParagraph">
    <w:name w:val="[Basic Paragraph]"/>
    <w:basedOn w:val="Normal"/>
    <w:uiPriority w:val="99"/>
    <w:rsid w:val="00136D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023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3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23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3EC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D1566"/>
    <w:rPr>
      <w:color w:val="0000FF"/>
      <w:u w:val="single"/>
    </w:rPr>
  </w:style>
  <w:style w:type="table" w:styleId="TableGrid">
    <w:name w:val="Table Grid"/>
    <w:basedOn w:val="TableNormal"/>
    <w:uiPriority w:val="59"/>
    <w:rsid w:val="004D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3046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3046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D1138"/>
    <w:rPr>
      <w:rFonts w:ascii="Arial" w:eastAsiaTheme="majorEastAsia" w:hAnsi="Arial" w:cstheme="majorBidi"/>
      <w:b/>
      <w:bCs/>
      <w:color w:val="005EB8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5E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180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277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8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33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052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23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13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908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29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1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12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emeaccess@nhsbsa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A2CAD0-C1A6-46D3-BE48-CABCAE10F6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CDS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Jones</dc:creator>
  <cp:lastModifiedBy>Brian Brady</cp:lastModifiedBy>
  <cp:revision>2</cp:revision>
  <cp:lastPrinted>2013-06-25T15:38:00Z</cp:lastPrinted>
  <dcterms:created xsi:type="dcterms:W3CDTF">2026-05-12T13:26:00Z</dcterms:created>
  <dcterms:modified xsi:type="dcterms:W3CDTF">2026-05-12T13:26:00Z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d287b-af50-4fcf-9040-106ecb50d969_Enabled">
    <vt:lpwstr>true</vt:lpwstr>
  </property>
  <property fmtid="{D5CDD505-2E9C-101B-9397-08002B2CF9AE}" pid="3" name="MSIP_Label_f52d287b-af50-4fcf-9040-106ecb50d969_SetDate">
    <vt:lpwstr>2025-05-12T13:26:28Z</vt:lpwstr>
  </property>
  <property fmtid="{D5CDD505-2E9C-101B-9397-08002B2CF9AE}" pid="4" name="MSIP_Label_f52d287b-af50-4fcf-9040-106ecb50d969_Method">
    <vt:lpwstr>Standard</vt:lpwstr>
  </property>
  <property fmtid="{D5CDD505-2E9C-101B-9397-08002B2CF9AE}" pid="5" name="MSIP_Label_f52d287b-af50-4fcf-9040-106ecb50d969_Name">
    <vt:lpwstr>f52d287b-af50-4fcf-9040-106ecb50d969</vt:lpwstr>
  </property>
  <property fmtid="{D5CDD505-2E9C-101B-9397-08002B2CF9AE}" pid="6" name="MSIP_Label_f52d287b-af50-4fcf-9040-106ecb50d969_SiteId">
    <vt:lpwstr>cf6d0482-86b1-4f88-8c0c-3b4de4cb402c</vt:lpwstr>
  </property>
  <property fmtid="{D5CDD505-2E9C-101B-9397-08002B2CF9AE}" pid="7" name="MSIP_Label_f52d287b-af50-4fcf-9040-106ecb50d969_ActionId">
    <vt:lpwstr>ad53637a-58b1-4ab3-b301-8b78d4941b06</vt:lpwstr>
  </property>
  <property fmtid="{D5CDD505-2E9C-101B-9397-08002B2CF9AE}" pid="8" name="MSIP_Label_f52d287b-af50-4fcf-9040-106ecb50d969_ContentBits">
    <vt:lpwstr>0</vt:lpwstr>
  </property>
  <property fmtid="{D5CDD505-2E9C-101B-9397-08002B2CF9AE}" pid="9" name="MSIP_Label_f52d287b-af50-4fcf-9040-106ecb50d969_Tag">
    <vt:lpwstr>10, 3, 0, 1</vt:lpwstr>
  </property>
</Properties>
</file>