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CE54" w14:textId="062345EC" w:rsidR="00513351" w:rsidRPr="00945D4C" w:rsidRDefault="005E65A0" w:rsidP="00E12931">
      <w:pPr>
        <w:pStyle w:val="Heading1"/>
        <w:spacing w:before="1920"/>
        <w:rPr>
          <w:rFonts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E625DF" wp14:editId="0D29A84D">
            <wp:simplePos x="0" y="0"/>
            <wp:positionH relativeFrom="page">
              <wp:align>left</wp:align>
            </wp:positionH>
            <wp:positionV relativeFrom="topMargin">
              <wp:posOffset>10795</wp:posOffset>
            </wp:positionV>
            <wp:extent cx="7632000" cy="1789200"/>
            <wp:effectExtent l="0" t="0" r="7620" b="1905"/>
            <wp:wrapNone/>
            <wp:docPr id="18" name="Picture 18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32000" cy="17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931" w:rsidRPr="00E12931">
        <w:t>NHS Pension Scheme Contribution Rates (2015–2025)</w:t>
      </w:r>
      <w:r w:rsidR="00E12931">
        <w:t xml:space="preserve"> </w:t>
      </w:r>
    </w:p>
    <w:p w14:paraId="386FA256" w14:textId="77777777" w:rsidR="00806E49" w:rsidRDefault="00806E49" w:rsidP="002E6C6B">
      <w:pPr>
        <w:rPr>
          <w:rFonts w:cs="Arial"/>
        </w:rPr>
      </w:pPr>
    </w:p>
    <w:p w14:paraId="6E43CC45" w14:textId="1E965F40" w:rsidR="00AF0AC5" w:rsidRDefault="00AF0AC5" w:rsidP="002E6C6B">
      <w:pPr>
        <w:rPr>
          <w:rFonts w:cs="Arial"/>
        </w:rPr>
      </w:pPr>
      <w:r w:rsidRPr="00AF0AC5">
        <w:rPr>
          <w:rFonts w:cs="Arial"/>
        </w:rPr>
        <w:t>This document provides a consolidated view of NHS Pension Scheme member and employer contribution rates, including historical data (2015–2022), 2023/24, and 2024/25. It is intended for employer reference.</w:t>
      </w:r>
    </w:p>
    <w:p w14:paraId="2FD21AE9" w14:textId="77777777" w:rsidR="00AF0AC5" w:rsidRPr="007561AB" w:rsidRDefault="00AF0AC5" w:rsidP="002E6C6B">
      <w:pPr>
        <w:rPr>
          <w:rFonts w:cs="Arial"/>
        </w:rPr>
      </w:pPr>
    </w:p>
    <w:p w14:paraId="4A30A5F7" w14:textId="6964F406" w:rsidR="000C2BF6" w:rsidRDefault="00AF0AC5" w:rsidP="005F04DD">
      <w:pPr>
        <w:pStyle w:val="Heading2"/>
      </w:pPr>
      <w:bookmarkStart w:id="0" w:name="_Hlk140593960"/>
      <w:r w:rsidRPr="00AF0AC5">
        <w:t>Historical Member Contribution Rates (2015–</w:t>
      </w:r>
      <w:r w:rsidR="002037D3">
        <w:t xml:space="preserve">30 September </w:t>
      </w:r>
      <w:r w:rsidRPr="00AF0AC5">
        <w:t>2022)</w:t>
      </w:r>
    </w:p>
    <w:p w14:paraId="74F29180" w14:textId="77777777" w:rsidR="00AF0AC5" w:rsidRDefault="00AF0AC5" w:rsidP="005E5C3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F0AC5" w:rsidRPr="00AF0AC5" w14:paraId="1394A336" w14:textId="77777777" w:rsidTr="005F04DD">
        <w:trPr>
          <w:trHeight w:val="454"/>
          <w:jc w:val="center"/>
        </w:trPr>
        <w:tc>
          <w:tcPr>
            <w:tcW w:w="3120" w:type="dxa"/>
            <w:vAlign w:val="center"/>
          </w:tcPr>
          <w:p w14:paraId="6A784D51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Tier</w:t>
            </w:r>
          </w:p>
        </w:tc>
        <w:tc>
          <w:tcPr>
            <w:tcW w:w="3120" w:type="dxa"/>
            <w:vAlign w:val="center"/>
          </w:tcPr>
          <w:p w14:paraId="243B01F5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Pay Band</w:t>
            </w:r>
          </w:p>
        </w:tc>
        <w:tc>
          <w:tcPr>
            <w:tcW w:w="3120" w:type="dxa"/>
            <w:vAlign w:val="center"/>
          </w:tcPr>
          <w:p w14:paraId="06C6CC34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Rate</w:t>
            </w:r>
          </w:p>
        </w:tc>
      </w:tr>
      <w:tr w:rsidR="00AF0AC5" w14:paraId="3FA56CFB" w14:textId="77777777" w:rsidTr="005F04DD">
        <w:trPr>
          <w:trHeight w:val="454"/>
          <w:jc w:val="center"/>
        </w:trPr>
        <w:tc>
          <w:tcPr>
            <w:tcW w:w="3120" w:type="dxa"/>
            <w:vAlign w:val="center"/>
          </w:tcPr>
          <w:p w14:paraId="48460A8F" w14:textId="77777777" w:rsidR="00AF0AC5" w:rsidRDefault="00AF0AC5" w:rsidP="00AF0AC5">
            <w:r>
              <w:t>1</w:t>
            </w:r>
          </w:p>
        </w:tc>
        <w:tc>
          <w:tcPr>
            <w:tcW w:w="3120" w:type="dxa"/>
            <w:vAlign w:val="center"/>
          </w:tcPr>
          <w:p w14:paraId="420FF5C7" w14:textId="77777777" w:rsidR="00AF0AC5" w:rsidRDefault="00AF0AC5" w:rsidP="00AF0AC5">
            <w:r>
              <w:t>£0 – £15,431</w:t>
            </w:r>
          </w:p>
        </w:tc>
        <w:tc>
          <w:tcPr>
            <w:tcW w:w="3120" w:type="dxa"/>
            <w:vAlign w:val="center"/>
          </w:tcPr>
          <w:p w14:paraId="7954A75C" w14:textId="77777777" w:rsidR="00AF0AC5" w:rsidRDefault="00AF0AC5" w:rsidP="00AF0AC5">
            <w:r>
              <w:t>5.0%</w:t>
            </w:r>
          </w:p>
        </w:tc>
      </w:tr>
      <w:tr w:rsidR="00AF0AC5" w14:paraId="6B8B65E3" w14:textId="77777777" w:rsidTr="005F04DD">
        <w:trPr>
          <w:trHeight w:val="454"/>
          <w:jc w:val="center"/>
        </w:trPr>
        <w:tc>
          <w:tcPr>
            <w:tcW w:w="3120" w:type="dxa"/>
            <w:vAlign w:val="center"/>
          </w:tcPr>
          <w:p w14:paraId="4852BD10" w14:textId="77777777" w:rsidR="00AF0AC5" w:rsidRDefault="00AF0AC5" w:rsidP="00AF0AC5">
            <w:r>
              <w:t>2</w:t>
            </w:r>
          </w:p>
        </w:tc>
        <w:tc>
          <w:tcPr>
            <w:tcW w:w="3120" w:type="dxa"/>
            <w:vAlign w:val="center"/>
          </w:tcPr>
          <w:p w14:paraId="292BED86" w14:textId="77777777" w:rsidR="00AF0AC5" w:rsidRDefault="00AF0AC5" w:rsidP="00AF0AC5">
            <w:r>
              <w:t>£15,432 – £21,477</w:t>
            </w:r>
          </w:p>
        </w:tc>
        <w:tc>
          <w:tcPr>
            <w:tcW w:w="3120" w:type="dxa"/>
            <w:vAlign w:val="center"/>
          </w:tcPr>
          <w:p w14:paraId="1543F7F0" w14:textId="77777777" w:rsidR="00AF0AC5" w:rsidRDefault="00AF0AC5" w:rsidP="00AF0AC5">
            <w:r>
              <w:t>5.6%</w:t>
            </w:r>
          </w:p>
        </w:tc>
      </w:tr>
      <w:tr w:rsidR="00AF0AC5" w14:paraId="7F72A47B" w14:textId="77777777" w:rsidTr="005F04DD">
        <w:trPr>
          <w:trHeight w:val="454"/>
          <w:jc w:val="center"/>
        </w:trPr>
        <w:tc>
          <w:tcPr>
            <w:tcW w:w="3120" w:type="dxa"/>
            <w:vAlign w:val="center"/>
          </w:tcPr>
          <w:p w14:paraId="5DD09C0A" w14:textId="77777777" w:rsidR="00AF0AC5" w:rsidRDefault="00AF0AC5" w:rsidP="00AF0AC5">
            <w:r>
              <w:t>3</w:t>
            </w:r>
          </w:p>
        </w:tc>
        <w:tc>
          <w:tcPr>
            <w:tcW w:w="3120" w:type="dxa"/>
            <w:vAlign w:val="center"/>
          </w:tcPr>
          <w:p w14:paraId="26FF1F19" w14:textId="77777777" w:rsidR="00AF0AC5" w:rsidRDefault="00AF0AC5" w:rsidP="00AF0AC5">
            <w:r>
              <w:t>£21,478 – £26,823</w:t>
            </w:r>
          </w:p>
        </w:tc>
        <w:tc>
          <w:tcPr>
            <w:tcW w:w="3120" w:type="dxa"/>
            <w:vAlign w:val="center"/>
          </w:tcPr>
          <w:p w14:paraId="2458D867" w14:textId="77777777" w:rsidR="00AF0AC5" w:rsidRDefault="00AF0AC5" w:rsidP="00AF0AC5">
            <w:r>
              <w:t>7.1%</w:t>
            </w:r>
          </w:p>
        </w:tc>
      </w:tr>
      <w:tr w:rsidR="00AF0AC5" w14:paraId="3D52498A" w14:textId="77777777" w:rsidTr="005F04DD">
        <w:trPr>
          <w:trHeight w:val="454"/>
          <w:jc w:val="center"/>
        </w:trPr>
        <w:tc>
          <w:tcPr>
            <w:tcW w:w="3120" w:type="dxa"/>
            <w:vAlign w:val="center"/>
          </w:tcPr>
          <w:p w14:paraId="6C1D044F" w14:textId="77777777" w:rsidR="00AF0AC5" w:rsidRDefault="00AF0AC5" w:rsidP="00AF0AC5">
            <w:r>
              <w:t>4</w:t>
            </w:r>
          </w:p>
        </w:tc>
        <w:tc>
          <w:tcPr>
            <w:tcW w:w="3120" w:type="dxa"/>
            <w:vAlign w:val="center"/>
          </w:tcPr>
          <w:p w14:paraId="303B2DD5" w14:textId="77777777" w:rsidR="00AF0AC5" w:rsidRDefault="00AF0AC5" w:rsidP="00AF0AC5">
            <w:r>
              <w:t>£26,824 – £47,845</w:t>
            </w:r>
          </w:p>
        </w:tc>
        <w:tc>
          <w:tcPr>
            <w:tcW w:w="3120" w:type="dxa"/>
            <w:vAlign w:val="center"/>
          </w:tcPr>
          <w:p w14:paraId="695A03D7" w14:textId="77777777" w:rsidR="00AF0AC5" w:rsidRDefault="00AF0AC5" w:rsidP="00AF0AC5">
            <w:r>
              <w:t>9.3%</w:t>
            </w:r>
          </w:p>
        </w:tc>
      </w:tr>
      <w:tr w:rsidR="00AF0AC5" w14:paraId="496F0FC8" w14:textId="77777777" w:rsidTr="005F04DD">
        <w:trPr>
          <w:trHeight w:val="454"/>
          <w:jc w:val="center"/>
        </w:trPr>
        <w:tc>
          <w:tcPr>
            <w:tcW w:w="3120" w:type="dxa"/>
            <w:vAlign w:val="center"/>
          </w:tcPr>
          <w:p w14:paraId="18DC0555" w14:textId="77777777" w:rsidR="00AF0AC5" w:rsidRDefault="00AF0AC5" w:rsidP="00AF0AC5">
            <w:r>
              <w:t>5</w:t>
            </w:r>
          </w:p>
        </w:tc>
        <w:tc>
          <w:tcPr>
            <w:tcW w:w="3120" w:type="dxa"/>
            <w:vAlign w:val="center"/>
          </w:tcPr>
          <w:p w14:paraId="4BC54B52" w14:textId="77777777" w:rsidR="00AF0AC5" w:rsidRDefault="00AF0AC5" w:rsidP="00AF0AC5">
            <w:r>
              <w:t>£47,846 – £70,630</w:t>
            </w:r>
          </w:p>
        </w:tc>
        <w:tc>
          <w:tcPr>
            <w:tcW w:w="3120" w:type="dxa"/>
            <w:vAlign w:val="center"/>
          </w:tcPr>
          <w:p w14:paraId="6AE76087" w14:textId="77777777" w:rsidR="00AF0AC5" w:rsidRDefault="00AF0AC5" w:rsidP="00AF0AC5">
            <w:r>
              <w:t>12.5%</w:t>
            </w:r>
          </w:p>
        </w:tc>
      </w:tr>
      <w:tr w:rsidR="00AF0AC5" w14:paraId="47D7CF15" w14:textId="77777777" w:rsidTr="005F04DD">
        <w:trPr>
          <w:trHeight w:val="454"/>
          <w:jc w:val="center"/>
        </w:trPr>
        <w:tc>
          <w:tcPr>
            <w:tcW w:w="3120" w:type="dxa"/>
            <w:vAlign w:val="center"/>
          </w:tcPr>
          <w:p w14:paraId="44BD457F" w14:textId="77777777" w:rsidR="00AF0AC5" w:rsidRDefault="00AF0AC5" w:rsidP="00AF0AC5">
            <w:r>
              <w:t>6</w:t>
            </w:r>
          </w:p>
        </w:tc>
        <w:tc>
          <w:tcPr>
            <w:tcW w:w="3120" w:type="dxa"/>
            <w:vAlign w:val="center"/>
          </w:tcPr>
          <w:p w14:paraId="2C1FEACF" w14:textId="4B3AA07A" w:rsidR="00AF0AC5" w:rsidRDefault="00AF0AC5" w:rsidP="00AF0AC5">
            <w:r>
              <w:t>£70,631</w:t>
            </w:r>
            <w:r w:rsidR="7CFBA221">
              <w:t xml:space="preserve"> - £111,376.</w:t>
            </w:r>
          </w:p>
        </w:tc>
        <w:tc>
          <w:tcPr>
            <w:tcW w:w="3120" w:type="dxa"/>
            <w:vAlign w:val="center"/>
          </w:tcPr>
          <w:p w14:paraId="5F7FE096" w14:textId="77777777" w:rsidR="00AF0AC5" w:rsidRDefault="00AF0AC5" w:rsidP="00AF0AC5">
            <w:r>
              <w:t>13.5%</w:t>
            </w:r>
          </w:p>
        </w:tc>
      </w:tr>
      <w:tr w:rsidR="175E1CE0" w14:paraId="1A47B09A" w14:textId="77777777" w:rsidTr="005F04DD">
        <w:trPr>
          <w:trHeight w:val="454"/>
          <w:jc w:val="center"/>
        </w:trPr>
        <w:tc>
          <w:tcPr>
            <w:tcW w:w="3120" w:type="dxa"/>
            <w:vAlign w:val="center"/>
          </w:tcPr>
          <w:p w14:paraId="470C7159" w14:textId="1824D709" w:rsidR="69F09B1F" w:rsidRDefault="69F09B1F" w:rsidP="175E1CE0">
            <w:r>
              <w:t>7</w:t>
            </w:r>
          </w:p>
        </w:tc>
        <w:tc>
          <w:tcPr>
            <w:tcW w:w="3120" w:type="dxa"/>
            <w:vAlign w:val="center"/>
          </w:tcPr>
          <w:p w14:paraId="29535925" w14:textId="09D87B12" w:rsidR="69F09B1F" w:rsidRDefault="69F09B1F" w:rsidP="175E1CE0">
            <w:r>
              <w:t>£111.377.00 and above</w:t>
            </w:r>
          </w:p>
        </w:tc>
        <w:tc>
          <w:tcPr>
            <w:tcW w:w="3120" w:type="dxa"/>
            <w:vAlign w:val="center"/>
          </w:tcPr>
          <w:p w14:paraId="250CEBB6" w14:textId="72D70A26" w:rsidR="175E1CE0" w:rsidRDefault="69F09B1F" w:rsidP="175E1CE0">
            <w:r>
              <w:t>14.5%</w:t>
            </w:r>
          </w:p>
        </w:tc>
      </w:tr>
    </w:tbl>
    <w:p w14:paraId="134FA0F8" w14:textId="77777777" w:rsidR="005E5C34" w:rsidRDefault="005E5C34" w:rsidP="005E5C34"/>
    <w:p w14:paraId="14113A1E" w14:textId="07803557" w:rsidR="002037D3" w:rsidRDefault="002037D3" w:rsidP="00D2572C">
      <w:pPr>
        <w:pStyle w:val="Heading2"/>
      </w:pPr>
      <w:r>
        <w:t xml:space="preserve">Member Contribution Rates (1 </w:t>
      </w:r>
      <w:r w:rsidRPr="00D2572C">
        <w:t>October</w:t>
      </w:r>
      <w:r>
        <w:t xml:space="preserve"> </w:t>
      </w:r>
      <w:r w:rsidR="00F47304">
        <w:t>2022</w:t>
      </w:r>
      <w:r w:rsidR="00F47304" w:rsidRPr="00AF0AC5">
        <w:t>–</w:t>
      </w:r>
      <w:r w:rsidR="009F2ACC">
        <w:t>31 March</w:t>
      </w:r>
      <w:r w:rsidR="001767A8">
        <w:t xml:space="preserve"> 2023</w:t>
      </w:r>
      <w:r>
        <w:t>)</w:t>
      </w:r>
    </w:p>
    <w:p w14:paraId="42E311E2" w14:textId="77777777" w:rsidR="00705C22" w:rsidRPr="00705C22" w:rsidRDefault="00705C22" w:rsidP="00705C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05C22" w:rsidRPr="00AF0AC5" w14:paraId="62DA42DE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2EDC2B7D" w14:textId="77777777" w:rsidR="00705C22" w:rsidRPr="00AF0AC5" w:rsidRDefault="00705C22" w:rsidP="00764252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Tier</w:t>
            </w:r>
          </w:p>
        </w:tc>
        <w:tc>
          <w:tcPr>
            <w:tcW w:w="3120" w:type="dxa"/>
            <w:vAlign w:val="center"/>
          </w:tcPr>
          <w:p w14:paraId="4F7D2975" w14:textId="77777777" w:rsidR="00705C22" w:rsidRPr="00AF0AC5" w:rsidRDefault="00705C22" w:rsidP="00764252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Pay Band</w:t>
            </w:r>
          </w:p>
        </w:tc>
        <w:tc>
          <w:tcPr>
            <w:tcW w:w="3120" w:type="dxa"/>
            <w:vAlign w:val="center"/>
          </w:tcPr>
          <w:p w14:paraId="0FAC5F8C" w14:textId="77777777" w:rsidR="00705C22" w:rsidRPr="00AF0AC5" w:rsidRDefault="00705C22" w:rsidP="00764252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Rate</w:t>
            </w:r>
          </w:p>
        </w:tc>
      </w:tr>
      <w:tr w:rsidR="00705C22" w14:paraId="13150C42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6A4423A6" w14:textId="77777777" w:rsidR="00705C22" w:rsidRDefault="00705C22" w:rsidP="00764252">
            <w:r>
              <w:t>1</w:t>
            </w:r>
          </w:p>
        </w:tc>
        <w:tc>
          <w:tcPr>
            <w:tcW w:w="3120" w:type="dxa"/>
            <w:vAlign w:val="center"/>
          </w:tcPr>
          <w:p w14:paraId="531891D0" w14:textId="295DB28F" w:rsidR="00705C22" w:rsidRDefault="00D346FF" w:rsidP="007C1C0A">
            <w:pPr>
              <w:spacing w:line="259" w:lineRule="auto"/>
            </w:pPr>
            <w:r>
              <w:t>Up</w:t>
            </w:r>
            <w:r w:rsidR="64A61C9B">
              <w:t xml:space="preserve"> to</w:t>
            </w:r>
            <w:r>
              <w:t xml:space="preserve"> </w:t>
            </w:r>
            <w:r w:rsidR="00775EED">
              <w:t xml:space="preserve">– </w:t>
            </w:r>
            <w:r w:rsidR="2F9BA93D">
              <w:t xml:space="preserve"> </w:t>
            </w:r>
            <w:r w:rsidR="0210331B">
              <w:t>£</w:t>
            </w:r>
            <w:r w:rsidR="15FB6EF7">
              <w:t>13,246</w:t>
            </w:r>
          </w:p>
        </w:tc>
        <w:tc>
          <w:tcPr>
            <w:tcW w:w="3120" w:type="dxa"/>
            <w:vAlign w:val="center"/>
          </w:tcPr>
          <w:p w14:paraId="709EB1B9" w14:textId="0A97EA00" w:rsidR="00705C22" w:rsidRDefault="57A6C24E" w:rsidP="00764252">
            <w:r>
              <w:t xml:space="preserve"> 5.1%</w:t>
            </w:r>
          </w:p>
        </w:tc>
      </w:tr>
      <w:tr w:rsidR="00705C22" w14:paraId="0C00B869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2983F1CE" w14:textId="77777777" w:rsidR="00705C22" w:rsidRDefault="00705C22" w:rsidP="00764252">
            <w:r>
              <w:t>2</w:t>
            </w:r>
          </w:p>
        </w:tc>
        <w:tc>
          <w:tcPr>
            <w:tcW w:w="3120" w:type="dxa"/>
            <w:vAlign w:val="center"/>
          </w:tcPr>
          <w:p w14:paraId="45E03DA8" w14:textId="7B0FC2F4" w:rsidR="00705C22" w:rsidRDefault="693D7EAC" w:rsidP="007C1C0A">
            <w:pPr>
              <w:spacing w:line="259" w:lineRule="auto"/>
            </w:pPr>
            <w:r>
              <w:t>£</w:t>
            </w:r>
            <w:r w:rsidR="7BFF3099">
              <w:t>13,247</w:t>
            </w:r>
            <w:r w:rsidR="2BE34795">
              <w:t xml:space="preserve"> – </w:t>
            </w:r>
            <w:r w:rsidR="7C74C915">
              <w:t>£</w:t>
            </w:r>
            <w:r w:rsidR="2BE34795">
              <w:t>16,831</w:t>
            </w:r>
          </w:p>
        </w:tc>
        <w:tc>
          <w:tcPr>
            <w:tcW w:w="3120" w:type="dxa"/>
            <w:vAlign w:val="center"/>
          </w:tcPr>
          <w:p w14:paraId="46AA3D5B" w14:textId="26B6FE2F" w:rsidR="00705C22" w:rsidRDefault="73C0AF38" w:rsidP="00764252">
            <w:r>
              <w:t xml:space="preserve"> 5.7%</w:t>
            </w:r>
          </w:p>
        </w:tc>
      </w:tr>
      <w:tr w:rsidR="00705C22" w14:paraId="548B159D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12AF3A49" w14:textId="7E9FCA94" w:rsidR="00705C22" w:rsidRDefault="00705C22" w:rsidP="007C1C0A">
            <w:pPr>
              <w:spacing w:line="259" w:lineRule="auto"/>
            </w:pPr>
            <w:r>
              <w:t>3</w:t>
            </w:r>
          </w:p>
        </w:tc>
        <w:tc>
          <w:tcPr>
            <w:tcW w:w="3120" w:type="dxa"/>
            <w:vAlign w:val="center"/>
          </w:tcPr>
          <w:p w14:paraId="675BC774" w14:textId="6382F9E7" w:rsidR="00705C22" w:rsidRDefault="53A8C734" w:rsidP="00764252">
            <w:r>
              <w:t>£16</w:t>
            </w:r>
            <w:r w:rsidR="0A094198">
              <w:t>,</w:t>
            </w:r>
            <w:r>
              <w:t>832</w:t>
            </w:r>
            <w:r w:rsidR="2361AEC4">
              <w:t xml:space="preserve"> – £22,878</w:t>
            </w:r>
          </w:p>
        </w:tc>
        <w:tc>
          <w:tcPr>
            <w:tcW w:w="3120" w:type="dxa"/>
            <w:vAlign w:val="center"/>
          </w:tcPr>
          <w:p w14:paraId="46FF8B2D" w14:textId="0E8B8417" w:rsidR="00705C22" w:rsidRDefault="05375CE5" w:rsidP="00764252">
            <w:r>
              <w:t xml:space="preserve"> 6.1%</w:t>
            </w:r>
          </w:p>
        </w:tc>
      </w:tr>
      <w:tr w:rsidR="00705C22" w14:paraId="0F04E224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76C900D2" w14:textId="77777777" w:rsidR="00705C22" w:rsidRDefault="00705C22" w:rsidP="00764252">
            <w:r>
              <w:t>4</w:t>
            </w:r>
          </w:p>
        </w:tc>
        <w:tc>
          <w:tcPr>
            <w:tcW w:w="3120" w:type="dxa"/>
            <w:vAlign w:val="center"/>
          </w:tcPr>
          <w:p w14:paraId="183181DC" w14:textId="6E16222B" w:rsidR="00705C22" w:rsidRDefault="219FBF95" w:rsidP="00764252">
            <w:r>
              <w:t>£22,879 – £23,948</w:t>
            </w:r>
          </w:p>
        </w:tc>
        <w:tc>
          <w:tcPr>
            <w:tcW w:w="3120" w:type="dxa"/>
            <w:vAlign w:val="center"/>
          </w:tcPr>
          <w:p w14:paraId="3E4F9B48" w14:textId="26327C48" w:rsidR="00705C22" w:rsidRDefault="68951C58" w:rsidP="00764252">
            <w:r>
              <w:t xml:space="preserve"> 6.8%</w:t>
            </w:r>
          </w:p>
        </w:tc>
      </w:tr>
      <w:tr w:rsidR="00705C22" w14:paraId="5525FFDB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49642F68" w14:textId="64AF2DFF" w:rsidR="00705C22" w:rsidRDefault="00705C22" w:rsidP="007C1C0A">
            <w:pPr>
              <w:spacing w:line="259" w:lineRule="auto"/>
            </w:pPr>
            <w:r>
              <w:t>5</w:t>
            </w:r>
          </w:p>
        </w:tc>
        <w:tc>
          <w:tcPr>
            <w:tcW w:w="3120" w:type="dxa"/>
            <w:vAlign w:val="center"/>
          </w:tcPr>
          <w:p w14:paraId="237B88B1" w14:textId="7667E42C" w:rsidR="00705C22" w:rsidRDefault="1A3FA58A" w:rsidP="00764252">
            <w:r>
              <w:t>£23,949 - £28,223</w:t>
            </w:r>
          </w:p>
        </w:tc>
        <w:tc>
          <w:tcPr>
            <w:tcW w:w="3120" w:type="dxa"/>
            <w:vAlign w:val="center"/>
          </w:tcPr>
          <w:p w14:paraId="5537B4F5" w14:textId="59AE21B3" w:rsidR="00705C22" w:rsidRDefault="7845D4D9" w:rsidP="00764252">
            <w:r>
              <w:t xml:space="preserve"> 7.7%</w:t>
            </w:r>
          </w:p>
        </w:tc>
      </w:tr>
      <w:tr w:rsidR="00705C22" w14:paraId="7F2FC65B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2DD56122" w14:textId="77777777" w:rsidR="00705C22" w:rsidRDefault="00705C22" w:rsidP="00764252">
            <w:r>
              <w:t>6</w:t>
            </w:r>
          </w:p>
        </w:tc>
        <w:tc>
          <w:tcPr>
            <w:tcW w:w="3120" w:type="dxa"/>
            <w:vAlign w:val="center"/>
          </w:tcPr>
          <w:p w14:paraId="6DFC1065" w14:textId="4F6797D7" w:rsidR="00705C22" w:rsidRDefault="59739CA3" w:rsidP="00764252">
            <w:r>
              <w:t>£28,224 - £29,179</w:t>
            </w:r>
          </w:p>
        </w:tc>
        <w:tc>
          <w:tcPr>
            <w:tcW w:w="3120" w:type="dxa"/>
            <w:vAlign w:val="center"/>
          </w:tcPr>
          <w:p w14:paraId="7A0DD19F" w14:textId="27AB6CD4" w:rsidR="00705C22" w:rsidRDefault="3E819F4E" w:rsidP="00764252">
            <w:r>
              <w:t xml:space="preserve"> 8.8%</w:t>
            </w:r>
          </w:p>
        </w:tc>
      </w:tr>
      <w:tr w:rsidR="00D346FF" w14:paraId="2798AAE9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2ED64627" w14:textId="01C207C5" w:rsidR="00D346FF" w:rsidRDefault="00D346FF" w:rsidP="007C1C0A">
            <w:pPr>
              <w:spacing w:line="259" w:lineRule="auto"/>
            </w:pPr>
            <w:r>
              <w:t>7</w:t>
            </w:r>
          </w:p>
        </w:tc>
        <w:tc>
          <w:tcPr>
            <w:tcW w:w="3120" w:type="dxa"/>
            <w:vAlign w:val="center"/>
          </w:tcPr>
          <w:p w14:paraId="6D4E23E7" w14:textId="60BBB146" w:rsidR="00D346FF" w:rsidRDefault="5FD3E798" w:rsidP="00764252">
            <w:r>
              <w:t>£29,180 - £43,805</w:t>
            </w:r>
          </w:p>
        </w:tc>
        <w:tc>
          <w:tcPr>
            <w:tcW w:w="3120" w:type="dxa"/>
            <w:vAlign w:val="center"/>
          </w:tcPr>
          <w:p w14:paraId="69C437AC" w14:textId="6193DB40" w:rsidR="00D346FF" w:rsidRDefault="074A2001" w:rsidP="007C1C0A">
            <w:pPr>
              <w:spacing w:line="259" w:lineRule="auto"/>
            </w:pPr>
            <w:r>
              <w:t xml:space="preserve"> 9.8%</w:t>
            </w:r>
          </w:p>
        </w:tc>
      </w:tr>
      <w:tr w:rsidR="175E1CE0" w14:paraId="7D687496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6BE25E58" w14:textId="1A70C271" w:rsidR="074A2001" w:rsidRDefault="074A2001" w:rsidP="175E1CE0">
            <w:pPr>
              <w:spacing w:line="259" w:lineRule="auto"/>
            </w:pPr>
            <w:r>
              <w:t>8</w:t>
            </w:r>
          </w:p>
        </w:tc>
        <w:tc>
          <w:tcPr>
            <w:tcW w:w="3120" w:type="dxa"/>
            <w:vAlign w:val="center"/>
          </w:tcPr>
          <w:p w14:paraId="2BF5323B" w14:textId="3D7238BC" w:rsidR="074A2001" w:rsidRDefault="074A2001" w:rsidP="175E1CE0">
            <w:r>
              <w:t>£43,806 - £49,245</w:t>
            </w:r>
          </w:p>
        </w:tc>
        <w:tc>
          <w:tcPr>
            <w:tcW w:w="3120" w:type="dxa"/>
            <w:vAlign w:val="center"/>
          </w:tcPr>
          <w:p w14:paraId="101F39D4" w14:textId="63D826E1" w:rsidR="074A2001" w:rsidRDefault="074A2001" w:rsidP="175E1CE0">
            <w:pPr>
              <w:spacing w:line="259" w:lineRule="auto"/>
            </w:pPr>
            <w:r>
              <w:t>10%</w:t>
            </w:r>
          </w:p>
        </w:tc>
      </w:tr>
      <w:tr w:rsidR="175E1CE0" w14:paraId="656D0A07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19DE2617" w14:textId="40D49D42" w:rsidR="074A2001" w:rsidRDefault="074A2001" w:rsidP="175E1CE0">
            <w:pPr>
              <w:spacing w:line="259" w:lineRule="auto"/>
            </w:pPr>
            <w:r>
              <w:t>9</w:t>
            </w:r>
          </w:p>
        </w:tc>
        <w:tc>
          <w:tcPr>
            <w:tcW w:w="3120" w:type="dxa"/>
            <w:vAlign w:val="center"/>
          </w:tcPr>
          <w:p w14:paraId="39D3B800" w14:textId="72588249" w:rsidR="074A2001" w:rsidRDefault="074A2001" w:rsidP="175E1CE0">
            <w:r>
              <w:t>£49,246 - £56,163</w:t>
            </w:r>
          </w:p>
        </w:tc>
        <w:tc>
          <w:tcPr>
            <w:tcW w:w="3120" w:type="dxa"/>
            <w:vAlign w:val="center"/>
          </w:tcPr>
          <w:p w14:paraId="33AE75F4" w14:textId="526FD3F0" w:rsidR="074A2001" w:rsidRDefault="074A2001" w:rsidP="175E1CE0">
            <w:pPr>
              <w:spacing w:line="259" w:lineRule="auto"/>
            </w:pPr>
            <w:r>
              <w:t>11.6%</w:t>
            </w:r>
          </w:p>
        </w:tc>
      </w:tr>
      <w:tr w:rsidR="175E1CE0" w14:paraId="4DFF8F61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1148864C" w14:textId="288616B0" w:rsidR="074A2001" w:rsidRDefault="074A2001" w:rsidP="175E1CE0">
            <w:pPr>
              <w:spacing w:line="259" w:lineRule="auto"/>
            </w:pPr>
            <w:r>
              <w:t>10</w:t>
            </w:r>
          </w:p>
        </w:tc>
        <w:tc>
          <w:tcPr>
            <w:tcW w:w="3120" w:type="dxa"/>
            <w:vAlign w:val="center"/>
          </w:tcPr>
          <w:p w14:paraId="16BEA610" w14:textId="39018C02" w:rsidR="074A2001" w:rsidRDefault="074A2001" w:rsidP="175E1CE0">
            <w:r>
              <w:t>£56,164 - £72,030</w:t>
            </w:r>
          </w:p>
        </w:tc>
        <w:tc>
          <w:tcPr>
            <w:tcW w:w="3120" w:type="dxa"/>
            <w:vAlign w:val="center"/>
          </w:tcPr>
          <w:p w14:paraId="2C070726" w14:textId="69EF0441" w:rsidR="074A2001" w:rsidRDefault="074A2001" w:rsidP="175E1CE0">
            <w:pPr>
              <w:spacing w:line="259" w:lineRule="auto"/>
            </w:pPr>
            <w:r>
              <w:t>12.5%</w:t>
            </w:r>
          </w:p>
        </w:tc>
      </w:tr>
      <w:tr w:rsidR="175E1CE0" w14:paraId="2FA107DE" w14:textId="77777777" w:rsidTr="0032248E">
        <w:trPr>
          <w:trHeight w:val="454"/>
          <w:jc w:val="center"/>
        </w:trPr>
        <w:tc>
          <w:tcPr>
            <w:tcW w:w="3120" w:type="dxa"/>
            <w:vAlign w:val="center"/>
          </w:tcPr>
          <w:p w14:paraId="4ED5FED5" w14:textId="68ED7962" w:rsidR="074A2001" w:rsidRDefault="074A2001" w:rsidP="175E1CE0">
            <w:pPr>
              <w:spacing w:line="259" w:lineRule="auto"/>
            </w:pPr>
            <w:r>
              <w:t>11</w:t>
            </w:r>
          </w:p>
        </w:tc>
        <w:tc>
          <w:tcPr>
            <w:tcW w:w="3120" w:type="dxa"/>
            <w:vAlign w:val="center"/>
          </w:tcPr>
          <w:p w14:paraId="41103055" w14:textId="62E885E1" w:rsidR="074A2001" w:rsidRDefault="074A2001" w:rsidP="175E1CE0">
            <w:r>
              <w:t>£72,031 and above</w:t>
            </w:r>
          </w:p>
        </w:tc>
        <w:tc>
          <w:tcPr>
            <w:tcW w:w="3120" w:type="dxa"/>
            <w:vAlign w:val="center"/>
          </w:tcPr>
          <w:p w14:paraId="05E9B298" w14:textId="36C05048" w:rsidR="074A2001" w:rsidRDefault="074A2001" w:rsidP="175E1CE0">
            <w:pPr>
              <w:spacing w:line="259" w:lineRule="auto"/>
            </w:pPr>
            <w:r>
              <w:t>13.5%</w:t>
            </w:r>
          </w:p>
        </w:tc>
      </w:tr>
    </w:tbl>
    <w:p w14:paraId="39D45576" w14:textId="122F1ED6" w:rsidR="00AF0AC5" w:rsidRDefault="00AF0AC5" w:rsidP="00AF0AC5">
      <w:pPr>
        <w:pStyle w:val="Heading2"/>
      </w:pPr>
      <w:r>
        <w:lastRenderedPageBreak/>
        <w:t>Member Contribution Rates (2023/24)</w:t>
      </w:r>
    </w:p>
    <w:p w14:paraId="51D4F3C4" w14:textId="77777777" w:rsidR="00AF0AC5" w:rsidRPr="00AF0AC5" w:rsidRDefault="00AF0AC5" w:rsidP="00AF0AC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F0AC5" w:rsidRPr="00AF0AC5" w14:paraId="3CC4ADA6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21DF6750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Tier</w:t>
            </w:r>
          </w:p>
        </w:tc>
        <w:tc>
          <w:tcPr>
            <w:tcW w:w="3120" w:type="dxa"/>
            <w:vAlign w:val="center"/>
          </w:tcPr>
          <w:p w14:paraId="128B1A91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Pay Band</w:t>
            </w:r>
          </w:p>
        </w:tc>
        <w:tc>
          <w:tcPr>
            <w:tcW w:w="3120" w:type="dxa"/>
            <w:vAlign w:val="center"/>
          </w:tcPr>
          <w:p w14:paraId="7D86F07C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Rate</w:t>
            </w:r>
          </w:p>
        </w:tc>
      </w:tr>
      <w:tr w:rsidR="00AF0AC5" w14:paraId="086D16B8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604682A8" w14:textId="77777777" w:rsidR="00AF0AC5" w:rsidRDefault="00AF0AC5" w:rsidP="00AF0AC5">
            <w:r>
              <w:t>1</w:t>
            </w:r>
          </w:p>
        </w:tc>
        <w:tc>
          <w:tcPr>
            <w:tcW w:w="3120" w:type="dxa"/>
            <w:vAlign w:val="center"/>
          </w:tcPr>
          <w:p w14:paraId="0C0F6092" w14:textId="7A1386EB" w:rsidR="00AF0AC5" w:rsidRDefault="00AF6062" w:rsidP="00AF0AC5">
            <w:r>
              <w:t xml:space="preserve">Up to </w:t>
            </w:r>
            <w:r w:rsidR="00AF0AC5">
              <w:t>£13,246</w:t>
            </w:r>
          </w:p>
        </w:tc>
        <w:tc>
          <w:tcPr>
            <w:tcW w:w="3120" w:type="dxa"/>
            <w:vAlign w:val="center"/>
          </w:tcPr>
          <w:p w14:paraId="44F865FB" w14:textId="77777777" w:rsidR="00AF0AC5" w:rsidRDefault="00AF0AC5" w:rsidP="00AF0AC5">
            <w:r>
              <w:t>5.1%</w:t>
            </w:r>
          </w:p>
        </w:tc>
      </w:tr>
      <w:tr w:rsidR="00AF0AC5" w14:paraId="052A0F5D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5C0D3DB9" w14:textId="77777777" w:rsidR="00AF0AC5" w:rsidRDefault="00AF0AC5" w:rsidP="00AF0AC5">
            <w:r>
              <w:t>2</w:t>
            </w:r>
          </w:p>
        </w:tc>
        <w:tc>
          <w:tcPr>
            <w:tcW w:w="3120" w:type="dxa"/>
            <w:vAlign w:val="center"/>
          </w:tcPr>
          <w:p w14:paraId="0305DAD8" w14:textId="77777777" w:rsidR="00AF0AC5" w:rsidRDefault="00AF0AC5" w:rsidP="00AF0AC5">
            <w:r>
              <w:t>£13,247 – £17,673</w:t>
            </w:r>
          </w:p>
        </w:tc>
        <w:tc>
          <w:tcPr>
            <w:tcW w:w="3120" w:type="dxa"/>
            <w:vAlign w:val="center"/>
          </w:tcPr>
          <w:p w14:paraId="12A954E2" w14:textId="77777777" w:rsidR="00AF0AC5" w:rsidRDefault="00AF0AC5" w:rsidP="00AF0AC5">
            <w:r>
              <w:t>5.7%</w:t>
            </w:r>
          </w:p>
        </w:tc>
      </w:tr>
      <w:tr w:rsidR="00AF0AC5" w14:paraId="713CD325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399C222D" w14:textId="77777777" w:rsidR="00AF0AC5" w:rsidRDefault="00AF0AC5" w:rsidP="00AF0AC5">
            <w:r>
              <w:t>3</w:t>
            </w:r>
          </w:p>
        </w:tc>
        <w:tc>
          <w:tcPr>
            <w:tcW w:w="3120" w:type="dxa"/>
            <w:vAlign w:val="center"/>
          </w:tcPr>
          <w:p w14:paraId="35D7E573" w14:textId="77777777" w:rsidR="00AF0AC5" w:rsidRDefault="00AF0AC5" w:rsidP="00AF0AC5">
            <w:r>
              <w:t>£17,674 – £24,022</w:t>
            </w:r>
          </w:p>
        </w:tc>
        <w:tc>
          <w:tcPr>
            <w:tcW w:w="3120" w:type="dxa"/>
            <w:vAlign w:val="center"/>
          </w:tcPr>
          <w:p w14:paraId="368A4318" w14:textId="77777777" w:rsidR="00AF0AC5" w:rsidRDefault="00AF0AC5" w:rsidP="00AF0AC5">
            <w:r>
              <w:t>6.1%</w:t>
            </w:r>
          </w:p>
        </w:tc>
      </w:tr>
      <w:tr w:rsidR="00AF0AC5" w14:paraId="1665E89C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457D3411" w14:textId="77777777" w:rsidR="00AF0AC5" w:rsidRDefault="00AF0AC5" w:rsidP="00AF0AC5">
            <w:r>
              <w:t>4</w:t>
            </w:r>
          </w:p>
        </w:tc>
        <w:tc>
          <w:tcPr>
            <w:tcW w:w="3120" w:type="dxa"/>
            <w:vAlign w:val="center"/>
          </w:tcPr>
          <w:p w14:paraId="6F43534E" w14:textId="77777777" w:rsidR="00AF0AC5" w:rsidRDefault="00AF0AC5" w:rsidP="00AF0AC5">
            <w:r>
              <w:t>£24,023 – £25,146</w:t>
            </w:r>
          </w:p>
        </w:tc>
        <w:tc>
          <w:tcPr>
            <w:tcW w:w="3120" w:type="dxa"/>
            <w:vAlign w:val="center"/>
          </w:tcPr>
          <w:p w14:paraId="04DFBD18" w14:textId="77777777" w:rsidR="00AF0AC5" w:rsidRDefault="00AF0AC5" w:rsidP="00AF0AC5">
            <w:r>
              <w:t>6.8%</w:t>
            </w:r>
          </w:p>
        </w:tc>
      </w:tr>
      <w:tr w:rsidR="00AF0AC5" w14:paraId="04EB4488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5E996690" w14:textId="77777777" w:rsidR="00AF0AC5" w:rsidRDefault="00AF0AC5" w:rsidP="00AF0AC5">
            <w:r>
              <w:t>5</w:t>
            </w:r>
          </w:p>
        </w:tc>
        <w:tc>
          <w:tcPr>
            <w:tcW w:w="3120" w:type="dxa"/>
            <w:vAlign w:val="center"/>
          </w:tcPr>
          <w:p w14:paraId="3E007D80" w14:textId="77777777" w:rsidR="00AF0AC5" w:rsidRDefault="00AF0AC5" w:rsidP="00AF0AC5">
            <w:r>
              <w:t>£25,147 – £29,635</w:t>
            </w:r>
          </w:p>
        </w:tc>
        <w:tc>
          <w:tcPr>
            <w:tcW w:w="3120" w:type="dxa"/>
            <w:vAlign w:val="center"/>
          </w:tcPr>
          <w:p w14:paraId="33DB7383" w14:textId="77777777" w:rsidR="00AF0AC5" w:rsidRDefault="00AF0AC5" w:rsidP="00AF0AC5">
            <w:r>
              <w:t>7.7%</w:t>
            </w:r>
          </w:p>
        </w:tc>
      </w:tr>
      <w:tr w:rsidR="00AF0AC5" w14:paraId="5A775AD5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50B0C403" w14:textId="77777777" w:rsidR="00AF0AC5" w:rsidRDefault="00AF0AC5" w:rsidP="00AF0AC5">
            <w:r>
              <w:t>6</w:t>
            </w:r>
          </w:p>
        </w:tc>
        <w:tc>
          <w:tcPr>
            <w:tcW w:w="3120" w:type="dxa"/>
            <w:vAlign w:val="center"/>
          </w:tcPr>
          <w:p w14:paraId="285C802E" w14:textId="77777777" w:rsidR="00AF0AC5" w:rsidRDefault="00AF0AC5" w:rsidP="00AF0AC5">
            <w:r>
              <w:t>£29,636 – £30,638</w:t>
            </w:r>
          </w:p>
        </w:tc>
        <w:tc>
          <w:tcPr>
            <w:tcW w:w="3120" w:type="dxa"/>
            <w:vAlign w:val="center"/>
          </w:tcPr>
          <w:p w14:paraId="7FAE3D6C" w14:textId="77777777" w:rsidR="00AF0AC5" w:rsidRDefault="00AF0AC5" w:rsidP="00AF0AC5">
            <w:r>
              <w:t>8.8%</w:t>
            </w:r>
          </w:p>
        </w:tc>
      </w:tr>
      <w:tr w:rsidR="00AF0AC5" w14:paraId="1DBFCE39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2FE48E4C" w14:textId="77777777" w:rsidR="00AF0AC5" w:rsidRDefault="00AF0AC5" w:rsidP="00AF0AC5">
            <w:r>
              <w:t>7</w:t>
            </w:r>
          </w:p>
        </w:tc>
        <w:tc>
          <w:tcPr>
            <w:tcW w:w="3120" w:type="dxa"/>
            <w:vAlign w:val="center"/>
          </w:tcPr>
          <w:p w14:paraId="6E33C92E" w14:textId="77777777" w:rsidR="00AF0AC5" w:rsidRDefault="00AF0AC5" w:rsidP="00AF0AC5">
            <w:r>
              <w:t>£30,639 – £45,996</w:t>
            </w:r>
          </w:p>
        </w:tc>
        <w:tc>
          <w:tcPr>
            <w:tcW w:w="3120" w:type="dxa"/>
            <w:vAlign w:val="center"/>
          </w:tcPr>
          <w:p w14:paraId="53B9E62A" w14:textId="77777777" w:rsidR="00AF0AC5" w:rsidRDefault="00AF0AC5" w:rsidP="00AF0AC5">
            <w:r>
              <w:t>9.8%</w:t>
            </w:r>
          </w:p>
        </w:tc>
      </w:tr>
      <w:tr w:rsidR="00AF0AC5" w14:paraId="31F520B0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625728F0" w14:textId="77777777" w:rsidR="00AF0AC5" w:rsidRDefault="00AF0AC5" w:rsidP="00AF0AC5">
            <w:r>
              <w:t>8</w:t>
            </w:r>
          </w:p>
        </w:tc>
        <w:tc>
          <w:tcPr>
            <w:tcW w:w="3120" w:type="dxa"/>
            <w:vAlign w:val="center"/>
          </w:tcPr>
          <w:p w14:paraId="44CA5CEC" w14:textId="77777777" w:rsidR="00AF0AC5" w:rsidRDefault="00AF0AC5" w:rsidP="00AF0AC5">
            <w:r>
              <w:t>£45,997 – £51,708</w:t>
            </w:r>
          </w:p>
        </w:tc>
        <w:tc>
          <w:tcPr>
            <w:tcW w:w="3120" w:type="dxa"/>
            <w:vAlign w:val="center"/>
          </w:tcPr>
          <w:p w14:paraId="225BAC7E" w14:textId="77777777" w:rsidR="00AF0AC5" w:rsidRDefault="00AF0AC5" w:rsidP="00AF0AC5">
            <w:r>
              <w:t>10%</w:t>
            </w:r>
          </w:p>
        </w:tc>
      </w:tr>
      <w:tr w:rsidR="00AF0AC5" w14:paraId="20C571F7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23F3BB48" w14:textId="77777777" w:rsidR="00AF0AC5" w:rsidRDefault="00AF0AC5" w:rsidP="00AF0AC5">
            <w:r>
              <w:t>9</w:t>
            </w:r>
          </w:p>
        </w:tc>
        <w:tc>
          <w:tcPr>
            <w:tcW w:w="3120" w:type="dxa"/>
            <w:vAlign w:val="center"/>
          </w:tcPr>
          <w:p w14:paraId="58648D99" w14:textId="77777777" w:rsidR="00AF0AC5" w:rsidRDefault="00AF0AC5" w:rsidP="00AF0AC5">
            <w:r>
              <w:t>£51,709 – £58,972</w:t>
            </w:r>
          </w:p>
        </w:tc>
        <w:tc>
          <w:tcPr>
            <w:tcW w:w="3120" w:type="dxa"/>
            <w:vAlign w:val="center"/>
          </w:tcPr>
          <w:p w14:paraId="24991B9F" w14:textId="77777777" w:rsidR="00AF0AC5" w:rsidRDefault="00AF0AC5" w:rsidP="00AF0AC5">
            <w:r>
              <w:t>11.6%</w:t>
            </w:r>
          </w:p>
        </w:tc>
      </w:tr>
      <w:tr w:rsidR="00AF0AC5" w14:paraId="79B98806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51B1C3FB" w14:textId="77777777" w:rsidR="00AF0AC5" w:rsidRDefault="00AF0AC5" w:rsidP="00AF0AC5">
            <w:r>
              <w:t>10</w:t>
            </w:r>
          </w:p>
        </w:tc>
        <w:tc>
          <w:tcPr>
            <w:tcW w:w="3120" w:type="dxa"/>
            <w:vAlign w:val="center"/>
          </w:tcPr>
          <w:p w14:paraId="2BB85751" w14:textId="77777777" w:rsidR="00AF0AC5" w:rsidRDefault="00AF0AC5" w:rsidP="00AF0AC5">
            <w:r>
              <w:t>£58,973 – £75,632</w:t>
            </w:r>
          </w:p>
        </w:tc>
        <w:tc>
          <w:tcPr>
            <w:tcW w:w="3120" w:type="dxa"/>
            <w:vAlign w:val="center"/>
          </w:tcPr>
          <w:p w14:paraId="59FA7DD0" w14:textId="77777777" w:rsidR="00AF0AC5" w:rsidRDefault="00AF0AC5" w:rsidP="00AF0AC5">
            <w:r>
              <w:t>12.5%</w:t>
            </w:r>
          </w:p>
        </w:tc>
      </w:tr>
      <w:tr w:rsidR="00AF0AC5" w14:paraId="1F6299FD" w14:textId="77777777" w:rsidTr="00D2572C">
        <w:trPr>
          <w:trHeight w:val="454"/>
          <w:jc w:val="center"/>
        </w:trPr>
        <w:tc>
          <w:tcPr>
            <w:tcW w:w="3120" w:type="dxa"/>
            <w:vAlign w:val="center"/>
          </w:tcPr>
          <w:p w14:paraId="5DA44ADC" w14:textId="77777777" w:rsidR="00AF0AC5" w:rsidRDefault="00AF0AC5" w:rsidP="00AF0AC5">
            <w:r>
              <w:t>11</w:t>
            </w:r>
          </w:p>
        </w:tc>
        <w:tc>
          <w:tcPr>
            <w:tcW w:w="3120" w:type="dxa"/>
            <w:vAlign w:val="center"/>
          </w:tcPr>
          <w:p w14:paraId="02D8BD5B" w14:textId="297AB566" w:rsidR="00AF6062" w:rsidRDefault="00AF0AC5" w:rsidP="00AF6062">
            <w:r>
              <w:t>£75,633</w:t>
            </w:r>
            <w:r w:rsidR="00D2572C">
              <w:t xml:space="preserve"> </w:t>
            </w:r>
            <w:r w:rsidR="00AF6062">
              <w:t>and above</w:t>
            </w:r>
          </w:p>
        </w:tc>
        <w:tc>
          <w:tcPr>
            <w:tcW w:w="3120" w:type="dxa"/>
            <w:vAlign w:val="center"/>
          </w:tcPr>
          <w:p w14:paraId="4FE500F5" w14:textId="77777777" w:rsidR="00AF0AC5" w:rsidRDefault="00AF0AC5" w:rsidP="00AF0AC5">
            <w:r>
              <w:t>13.5%</w:t>
            </w:r>
          </w:p>
        </w:tc>
      </w:tr>
    </w:tbl>
    <w:p w14:paraId="4DFB6118" w14:textId="77777777" w:rsidR="00AF0AC5" w:rsidRPr="00AF0AC5" w:rsidRDefault="00AF0AC5" w:rsidP="00AF0AC5">
      <w:pPr>
        <w:rPr>
          <w:lang w:eastAsia="en-GB"/>
        </w:rPr>
      </w:pPr>
    </w:p>
    <w:p w14:paraId="24BA475E" w14:textId="71987B05" w:rsidR="00AF0AC5" w:rsidRDefault="00AF0AC5" w:rsidP="00AF0AC5">
      <w:pPr>
        <w:pStyle w:val="Heading2"/>
      </w:pPr>
      <w:r>
        <w:t>Member Contribution Rates (2024/25)</w:t>
      </w:r>
    </w:p>
    <w:p w14:paraId="46191C5C" w14:textId="77777777" w:rsidR="00AF0AC5" w:rsidRPr="00AF0AC5" w:rsidRDefault="00AF0AC5" w:rsidP="00AF0AC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F0AC5" w:rsidRPr="00AF0AC5" w14:paraId="0C68D5D8" w14:textId="77777777" w:rsidTr="00AF0AC5">
        <w:trPr>
          <w:trHeight w:val="397"/>
          <w:jc w:val="center"/>
        </w:trPr>
        <w:tc>
          <w:tcPr>
            <w:tcW w:w="3120" w:type="dxa"/>
            <w:vAlign w:val="center"/>
          </w:tcPr>
          <w:p w14:paraId="1950AD6E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Tier</w:t>
            </w:r>
          </w:p>
        </w:tc>
        <w:tc>
          <w:tcPr>
            <w:tcW w:w="3120" w:type="dxa"/>
            <w:vAlign w:val="center"/>
          </w:tcPr>
          <w:p w14:paraId="471A04FD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Pay Band</w:t>
            </w:r>
          </w:p>
        </w:tc>
        <w:tc>
          <w:tcPr>
            <w:tcW w:w="3120" w:type="dxa"/>
            <w:vAlign w:val="center"/>
          </w:tcPr>
          <w:p w14:paraId="4C3E484F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Rate</w:t>
            </w:r>
          </w:p>
        </w:tc>
      </w:tr>
      <w:tr w:rsidR="00AF0AC5" w14:paraId="48AE5414" w14:textId="77777777" w:rsidTr="00AF0AC5">
        <w:trPr>
          <w:trHeight w:val="397"/>
          <w:jc w:val="center"/>
        </w:trPr>
        <w:tc>
          <w:tcPr>
            <w:tcW w:w="3120" w:type="dxa"/>
            <w:vAlign w:val="center"/>
          </w:tcPr>
          <w:p w14:paraId="2CE07C76" w14:textId="77777777" w:rsidR="00AF0AC5" w:rsidRDefault="00AF0AC5" w:rsidP="00AF0AC5">
            <w:r>
              <w:t>1</w:t>
            </w:r>
          </w:p>
        </w:tc>
        <w:tc>
          <w:tcPr>
            <w:tcW w:w="3120" w:type="dxa"/>
            <w:vAlign w:val="center"/>
          </w:tcPr>
          <w:p w14:paraId="3B138F2A" w14:textId="16437385" w:rsidR="00AF0AC5" w:rsidRDefault="00AF6062" w:rsidP="00AF0AC5">
            <w:r>
              <w:t>Up to</w:t>
            </w:r>
            <w:r w:rsidR="00AF0AC5">
              <w:t xml:space="preserve"> £13,259</w:t>
            </w:r>
          </w:p>
        </w:tc>
        <w:tc>
          <w:tcPr>
            <w:tcW w:w="3120" w:type="dxa"/>
            <w:vAlign w:val="center"/>
          </w:tcPr>
          <w:p w14:paraId="7867FEFE" w14:textId="77777777" w:rsidR="00AF0AC5" w:rsidRDefault="00AF0AC5" w:rsidP="00AF0AC5">
            <w:r>
              <w:t>5.2%</w:t>
            </w:r>
          </w:p>
        </w:tc>
      </w:tr>
      <w:tr w:rsidR="00AF0AC5" w14:paraId="46E562B2" w14:textId="77777777" w:rsidTr="00AF0AC5">
        <w:trPr>
          <w:trHeight w:val="397"/>
          <w:jc w:val="center"/>
        </w:trPr>
        <w:tc>
          <w:tcPr>
            <w:tcW w:w="3120" w:type="dxa"/>
            <w:vAlign w:val="center"/>
          </w:tcPr>
          <w:p w14:paraId="62DC5C34" w14:textId="77777777" w:rsidR="00AF0AC5" w:rsidRDefault="00AF0AC5" w:rsidP="00AF0AC5">
            <w:r>
              <w:t>2</w:t>
            </w:r>
          </w:p>
        </w:tc>
        <w:tc>
          <w:tcPr>
            <w:tcW w:w="3120" w:type="dxa"/>
            <w:vAlign w:val="center"/>
          </w:tcPr>
          <w:p w14:paraId="3ACA2808" w14:textId="77777777" w:rsidR="00AF0AC5" w:rsidRDefault="00AF0AC5" w:rsidP="00AF0AC5">
            <w:r>
              <w:t>£13,260 – £26,831</w:t>
            </w:r>
          </w:p>
        </w:tc>
        <w:tc>
          <w:tcPr>
            <w:tcW w:w="3120" w:type="dxa"/>
            <w:vAlign w:val="center"/>
          </w:tcPr>
          <w:p w14:paraId="786E9F62" w14:textId="77777777" w:rsidR="00AF0AC5" w:rsidRDefault="00AF0AC5" w:rsidP="00AF0AC5">
            <w:r>
              <w:t>6.5%</w:t>
            </w:r>
          </w:p>
        </w:tc>
      </w:tr>
      <w:tr w:rsidR="00AF0AC5" w14:paraId="52830A9E" w14:textId="77777777" w:rsidTr="00AF0AC5">
        <w:trPr>
          <w:trHeight w:val="397"/>
          <w:jc w:val="center"/>
        </w:trPr>
        <w:tc>
          <w:tcPr>
            <w:tcW w:w="3120" w:type="dxa"/>
            <w:vAlign w:val="center"/>
          </w:tcPr>
          <w:p w14:paraId="69081650" w14:textId="77777777" w:rsidR="00AF0AC5" w:rsidRDefault="00AF0AC5" w:rsidP="00AF0AC5">
            <w:r>
              <w:t>3</w:t>
            </w:r>
          </w:p>
        </w:tc>
        <w:tc>
          <w:tcPr>
            <w:tcW w:w="3120" w:type="dxa"/>
            <w:vAlign w:val="center"/>
          </w:tcPr>
          <w:p w14:paraId="764CD81F" w14:textId="77777777" w:rsidR="00AF0AC5" w:rsidRDefault="00AF0AC5" w:rsidP="00AF0AC5">
            <w:r>
              <w:t>£26,832 – £32,691</w:t>
            </w:r>
          </w:p>
        </w:tc>
        <w:tc>
          <w:tcPr>
            <w:tcW w:w="3120" w:type="dxa"/>
            <w:vAlign w:val="center"/>
          </w:tcPr>
          <w:p w14:paraId="7D0C0E07" w14:textId="77777777" w:rsidR="00AF0AC5" w:rsidRDefault="00AF0AC5" w:rsidP="00AF0AC5">
            <w:r>
              <w:t>8.3%</w:t>
            </w:r>
          </w:p>
        </w:tc>
      </w:tr>
      <w:tr w:rsidR="00AF0AC5" w14:paraId="0CBBF105" w14:textId="77777777" w:rsidTr="00AF0AC5">
        <w:trPr>
          <w:trHeight w:val="397"/>
          <w:jc w:val="center"/>
        </w:trPr>
        <w:tc>
          <w:tcPr>
            <w:tcW w:w="3120" w:type="dxa"/>
            <w:vAlign w:val="center"/>
          </w:tcPr>
          <w:p w14:paraId="083B34C8" w14:textId="77777777" w:rsidR="00AF0AC5" w:rsidRDefault="00AF0AC5" w:rsidP="00AF0AC5">
            <w:r>
              <w:t>4</w:t>
            </w:r>
          </w:p>
        </w:tc>
        <w:tc>
          <w:tcPr>
            <w:tcW w:w="3120" w:type="dxa"/>
            <w:vAlign w:val="center"/>
          </w:tcPr>
          <w:p w14:paraId="626486EA" w14:textId="77777777" w:rsidR="00AF0AC5" w:rsidRDefault="00AF0AC5" w:rsidP="00AF0AC5">
            <w:r>
              <w:t>£32,692 – £49,078</w:t>
            </w:r>
          </w:p>
        </w:tc>
        <w:tc>
          <w:tcPr>
            <w:tcW w:w="3120" w:type="dxa"/>
            <w:vAlign w:val="center"/>
          </w:tcPr>
          <w:p w14:paraId="4598A9EE" w14:textId="77777777" w:rsidR="00AF0AC5" w:rsidRDefault="00AF0AC5" w:rsidP="00AF0AC5">
            <w:r>
              <w:t>9.8%</w:t>
            </w:r>
          </w:p>
        </w:tc>
      </w:tr>
      <w:tr w:rsidR="00AF0AC5" w14:paraId="53726891" w14:textId="77777777" w:rsidTr="00AF0AC5">
        <w:trPr>
          <w:trHeight w:val="397"/>
          <w:jc w:val="center"/>
        </w:trPr>
        <w:tc>
          <w:tcPr>
            <w:tcW w:w="3120" w:type="dxa"/>
            <w:vAlign w:val="center"/>
          </w:tcPr>
          <w:p w14:paraId="211A1353" w14:textId="77777777" w:rsidR="00AF0AC5" w:rsidRDefault="00AF0AC5" w:rsidP="00AF0AC5">
            <w:r>
              <w:t>5</w:t>
            </w:r>
          </w:p>
        </w:tc>
        <w:tc>
          <w:tcPr>
            <w:tcW w:w="3120" w:type="dxa"/>
            <w:vAlign w:val="center"/>
          </w:tcPr>
          <w:p w14:paraId="00642E13" w14:textId="77777777" w:rsidR="00AF0AC5" w:rsidRDefault="00AF0AC5" w:rsidP="00AF0AC5">
            <w:r>
              <w:t>£49,079 – £62,924</w:t>
            </w:r>
          </w:p>
        </w:tc>
        <w:tc>
          <w:tcPr>
            <w:tcW w:w="3120" w:type="dxa"/>
            <w:vAlign w:val="center"/>
          </w:tcPr>
          <w:p w14:paraId="1E4836FE" w14:textId="77777777" w:rsidR="00AF0AC5" w:rsidRDefault="00AF0AC5" w:rsidP="00AF0AC5">
            <w:r>
              <w:t>10.7%</w:t>
            </w:r>
          </w:p>
        </w:tc>
      </w:tr>
      <w:tr w:rsidR="00AF0AC5" w14:paraId="327311F5" w14:textId="77777777" w:rsidTr="00AF0AC5">
        <w:trPr>
          <w:trHeight w:val="397"/>
          <w:jc w:val="center"/>
        </w:trPr>
        <w:tc>
          <w:tcPr>
            <w:tcW w:w="3120" w:type="dxa"/>
            <w:vAlign w:val="center"/>
          </w:tcPr>
          <w:p w14:paraId="6722770A" w14:textId="77777777" w:rsidR="00AF0AC5" w:rsidRDefault="00AF0AC5" w:rsidP="00AF0AC5">
            <w:r>
              <w:t>6</w:t>
            </w:r>
          </w:p>
        </w:tc>
        <w:tc>
          <w:tcPr>
            <w:tcW w:w="3120" w:type="dxa"/>
            <w:vAlign w:val="center"/>
          </w:tcPr>
          <w:p w14:paraId="303D97D8" w14:textId="34B3620D" w:rsidR="00AF0AC5" w:rsidRDefault="00AF0AC5" w:rsidP="00AF0AC5">
            <w:r>
              <w:t>£62,925</w:t>
            </w:r>
            <w:r w:rsidR="00AF6062">
              <w:t xml:space="preserve"> and above</w:t>
            </w:r>
          </w:p>
        </w:tc>
        <w:tc>
          <w:tcPr>
            <w:tcW w:w="3120" w:type="dxa"/>
            <w:vAlign w:val="center"/>
          </w:tcPr>
          <w:p w14:paraId="45F711CF" w14:textId="77777777" w:rsidR="00AF0AC5" w:rsidRDefault="00AF0AC5" w:rsidP="00AF0AC5">
            <w:r>
              <w:t>12.5%</w:t>
            </w:r>
          </w:p>
        </w:tc>
      </w:tr>
    </w:tbl>
    <w:p w14:paraId="622D82AD" w14:textId="77777777" w:rsidR="00D2572C" w:rsidRDefault="00D2572C" w:rsidP="00D2572C"/>
    <w:p w14:paraId="0384C318" w14:textId="06BED63C" w:rsidR="00AF0AC5" w:rsidRDefault="00AF0AC5" w:rsidP="00AF0AC5">
      <w:pPr>
        <w:pStyle w:val="Heading2"/>
      </w:pPr>
      <w:r>
        <w:t>Employer Contribution Rates</w:t>
      </w:r>
    </w:p>
    <w:p w14:paraId="4DEC5121" w14:textId="77777777" w:rsidR="00AF0AC5" w:rsidRPr="00AF0AC5" w:rsidRDefault="00AF0AC5" w:rsidP="00AF0AC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AF0AC5" w:rsidRPr="00AF0AC5" w14:paraId="1BFB9F04" w14:textId="77777777" w:rsidTr="00AF0AC5">
        <w:trPr>
          <w:trHeight w:val="397"/>
          <w:jc w:val="center"/>
        </w:trPr>
        <w:tc>
          <w:tcPr>
            <w:tcW w:w="4680" w:type="dxa"/>
            <w:vAlign w:val="center"/>
          </w:tcPr>
          <w:p w14:paraId="173D1017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Period</w:t>
            </w:r>
          </w:p>
        </w:tc>
        <w:tc>
          <w:tcPr>
            <w:tcW w:w="4680" w:type="dxa"/>
            <w:vAlign w:val="center"/>
          </w:tcPr>
          <w:p w14:paraId="1C9F07D1" w14:textId="77777777" w:rsidR="00AF0AC5" w:rsidRPr="00AF0AC5" w:rsidRDefault="00AF0AC5" w:rsidP="00AF0AC5">
            <w:pPr>
              <w:rPr>
                <w:b/>
                <w:bCs/>
              </w:rPr>
            </w:pPr>
            <w:r w:rsidRPr="00AF0AC5">
              <w:rPr>
                <w:b/>
                <w:bCs/>
              </w:rPr>
              <w:t>Employer Rate</w:t>
            </w:r>
          </w:p>
        </w:tc>
      </w:tr>
      <w:tr w:rsidR="00AF0AC5" w14:paraId="46ED9D27" w14:textId="77777777" w:rsidTr="00A45E59">
        <w:trPr>
          <w:trHeight w:val="850"/>
          <w:jc w:val="center"/>
        </w:trPr>
        <w:tc>
          <w:tcPr>
            <w:tcW w:w="4680" w:type="dxa"/>
            <w:vAlign w:val="center"/>
          </w:tcPr>
          <w:p w14:paraId="1F1017E0" w14:textId="5A2BDD2E" w:rsidR="00AF0AC5" w:rsidRDefault="00AF0AC5" w:rsidP="00AF0AC5">
            <w:r>
              <w:t>1 Apr 2019 – 31 Mar 2024</w:t>
            </w:r>
          </w:p>
        </w:tc>
        <w:tc>
          <w:tcPr>
            <w:tcW w:w="4680" w:type="dxa"/>
            <w:vAlign w:val="center"/>
          </w:tcPr>
          <w:p w14:paraId="4770A16D" w14:textId="77777777" w:rsidR="00AF0AC5" w:rsidRDefault="00AF0AC5" w:rsidP="00AF0AC5">
            <w:r>
              <w:t>20.6% + 0.08% levy (14.38% collected, balance funded centrally)</w:t>
            </w:r>
          </w:p>
        </w:tc>
      </w:tr>
      <w:tr w:rsidR="00AF0AC5" w14:paraId="2709306D" w14:textId="77777777" w:rsidTr="00A45E59">
        <w:trPr>
          <w:trHeight w:val="850"/>
          <w:jc w:val="center"/>
        </w:trPr>
        <w:tc>
          <w:tcPr>
            <w:tcW w:w="4680" w:type="dxa"/>
            <w:vAlign w:val="center"/>
          </w:tcPr>
          <w:p w14:paraId="24B2B0BE" w14:textId="5FD118A2" w:rsidR="00AF0AC5" w:rsidRDefault="00AF0AC5" w:rsidP="00AF0AC5">
            <w:r>
              <w:t>From 1 Apr 2024</w:t>
            </w:r>
          </w:p>
        </w:tc>
        <w:tc>
          <w:tcPr>
            <w:tcW w:w="4680" w:type="dxa"/>
            <w:vAlign w:val="center"/>
          </w:tcPr>
          <w:p w14:paraId="76333F1D" w14:textId="77777777" w:rsidR="00AF0AC5" w:rsidRDefault="00AF0AC5" w:rsidP="00AF0AC5">
            <w:r>
              <w:t>23.7% + 0.08% levy (14.38% collected, balance funded centrally)</w:t>
            </w:r>
          </w:p>
        </w:tc>
      </w:tr>
      <w:bookmarkEnd w:id="0"/>
    </w:tbl>
    <w:p w14:paraId="269386DD" w14:textId="77777777" w:rsidR="00AF0AC5" w:rsidRDefault="00AF0AC5" w:rsidP="00AF0AC5"/>
    <w:sectPr w:rsidR="00AF0AC5" w:rsidSect="0010013D">
      <w:headerReference w:type="default" r:id="rId12"/>
      <w:footerReference w:type="default" r:id="rId13"/>
      <w:footerReference w:type="first" r:id="rId14"/>
      <w:pgSz w:w="11900" w:h="16840"/>
      <w:pgMar w:top="1134" w:right="1134" w:bottom="1077" w:left="1134" w:header="283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773E" w14:textId="77777777" w:rsidR="00F92A8A" w:rsidRDefault="00F92A8A" w:rsidP="00D023EC">
      <w:r>
        <w:separator/>
      </w:r>
    </w:p>
  </w:endnote>
  <w:endnote w:type="continuationSeparator" w:id="0">
    <w:p w14:paraId="757855FC" w14:textId="77777777" w:rsidR="00F92A8A" w:rsidRDefault="00F92A8A" w:rsidP="00D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1725944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E9502" w14:textId="77777777" w:rsidR="00CE1F66" w:rsidRPr="00012431" w:rsidRDefault="00CE1F66" w:rsidP="00CE1F66">
        <w:pPr>
          <w:pStyle w:val="Footer"/>
          <w:jc w:val="right"/>
          <w:rPr>
            <w:rFonts w:cs="Arial"/>
            <w:sz w:val="18"/>
            <w:szCs w:val="18"/>
          </w:rPr>
        </w:pPr>
        <w:r w:rsidRPr="00012431">
          <w:rPr>
            <w:rFonts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996247C" wp14:editId="41545795">
                  <wp:simplePos x="0" y="0"/>
                  <wp:positionH relativeFrom="column">
                    <wp:posOffset>-27511</wp:posOffset>
                  </wp:positionH>
                  <wp:positionV relativeFrom="paragraph">
                    <wp:posOffset>30480</wp:posOffset>
                  </wp:positionV>
                  <wp:extent cx="6178550" cy="0"/>
                  <wp:effectExtent l="0" t="0" r="0" b="0"/>
                  <wp:wrapNone/>
                  <wp:docPr id="9" name="Straight Connector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78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64E59AE" id="Straight Connector 9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2.4pt" to="484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jTsgEAANQDAAAOAAAAZHJzL2Uyb0RvYy54bWysU01v2zAMvQ/YfxB0X2QXaFcY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" strokecolor="black [3213]"/>
              </w:pict>
            </mc:Fallback>
          </mc:AlternateContent>
        </w:r>
      </w:p>
      <w:p w14:paraId="24F72D6B" w14:textId="6C2AC96E" w:rsidR="00CE1F66" w:rsidRPr="00B021D2" w:rsidRDefault="00AF0AC5" w:rsidP="0010013D">
        <w:pPr>
          <w:pStyle w:val="Footer"/>
          <w:jc w:val="right"/>
          <w:rPr>
            <w:rFonts w:cs="Arial"/>
            <w:sz w:val="18"/>
            <w:szCs w:val="18"/>
          </w:rPr>
        </w:pPr>
        <w:r w:rsidRPr="00AF0AC5">
          <w:rPr>
            <w:rFonts w:cs="Arial"/>
            <w:sz w:val="18"/>
            <w:szCs w:val="18"/>
          </w:rPr>
          <w:t>NHS Pension Scheme Contribution Rates (2015–2025</w:t>
        </w:r>
        <w:r w:rsidR="0010013D" w:rsidRPr="00B021D2">
          <w:rPr>
            <w:rFonts w:cs="Arial"/>
            <w:sz w:val="18"/>
            <w:szCs w:val="18"/>
          </w:rPr>
          <w:t>)</w:t>
        </w:r>
        <w:r w:rsidR="000F2CEE">
          <w:rPr>
            <w:rFonts w:cs="Arial"/>
            <w:sz w:val="18"/>
            <w:szCs w:val="18"/>
          </w:rPr>
          <w:t>-20260617-(V2)</w:t>
        </w:r>
        <w:r w:rsidR="00AD5083">
          <w:rPr>
            <w:rFonts w:cs="Arial"/>
            <w:sz w:val="18"/>
            <w:szCs w:val="18"/>
          </w:rPr>
          <w:t xml:space="preserve">     </w:t>
        </w:r>
        <w:r w:rsidR="00CE1F66" w:rsidRPr="00B021D2">
          <w:rPr>
            <w:sz w:val="18"/>
            <w:szCs w:val="18"/>
          </w:rPr>
          <w:t xml:space="preserve"> </w:t>
        </w:r>
        <w:r w:rsidR="00CE1F66" w:rsidRPr="00B021D2">
          <w:rPr>
            <w:rFonts w:cs="Arial"/>
            <w:sz w:val="18"/>
            <w:szCs w:val="18"/>
          </w:rPr>
          <w:fldChar w:fldCharType="begin"/>
        </w:r>
        <w:r w:rsidR="00CE1F66" w:rsidRPr="00B021D2">
          <w:rPr>
            <w:rFonts w:cs="Arial"/>
            <w:sz w:val="18"/>
            <w:szCs w:val="18"/>
          </w:rPr>
          <w:instrText xml:space="preserve"> PAGE   \* MERGEFORMAT </w:instrText>
        </w:r>
        <w:r w:rsidR="00CE1F66" w:rsidRPr="00B021D2">
          <w:rPr>
            <w:rFonts w:cs="Arial"/>
            <w:sz w:val="18"/>
            <w:szCs w:val="18"/>
          </w:rPr>
          <w:fldChar w:fldCharType="separate"/>
        </w:r>
        <w:r w:rsidR="00CE1F66" w:rsidRPr="00B021D2">
          <w:rPr>
            <w:rFonts w:cs="Arial"/>
            <w:sz w:val="18"/>
            <w:szCs w:val="18"/>
          </w:rPr>
          <w:t>1</w:t>
        </w:r>
        <w:r w:rsidR="00CE1F66" w:rsidRPr="00B021D2">
          <w:rPr>
            <w:rFonts w:cs="Arial"/>
            <w:noProof/>
            <w:sz w:val="18"/>
            <w:szCs w:val="18"/>
          </w:rPr>
          <w:fldChar w:fldCharType="end"/>
        </w:r>
      </w:p>
    </w:sdtContent>
  </w:sdt>
  <w:p w14:paraId="329AA7AD" w14:textId="77777777" w:rsidR="00437B3C" w:rsidRPr="00CE1F66" w:rsidRDefault="00437B3C" w:rsidP="00CE1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2480" w14:textId="2E633489" w:rsidR="005E1D02" w:rsidRDefault="005E1D02">
    <w:pPr>
      <w:pStyle w:val="Footer"/>
      <w:jc w:val="righ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47021B" wp14:editId="5BB0BA5B">
              <wp:simplePos x="0" y="0"/>
              <wp:positionH relativeFrom="column">
                <wp:posOffset>-21796</wp:posOffset>
              </wp:positionH>
              <wp:positionV relativeFrom="paragraph">
                <wp:posOffset>30480</wp:posOffset>
              </wp:positionV>
              <wp:extent cx="6178550" cy="0"/>
              <wp:effectExtent l="0" t="0" r="0" b="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8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0D853" id="Straight Connector 7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2.4pt" to="484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jTsgEAANQDAAAOAAAAZHJzL2Uyb0RvYy54bWysU01v2zAMvQ/YfxB0X2QXaFcY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" strokecolor="black [3213]"/>
          </w:pict>
        </mc:Fallback>
      </mc:AlternateContent>
    </w:r>
  </w:p>
  <w:p w14:paraId="460484E7" w14:textId="7217C4DD" w:rsidR="00437B3C" w:rsidRPr="00CE2144" w:rsidRDefault="00124222" w:rsidP="00A42AA5">
    <w:pPr>
      <w:pStyle w:val="Footer"/>
      <w:jc w:val="right"/>
      <w:rPr>
        <w:rFonts w:cs="Arial"/>
        <w:color w:val="808080" w:themeColor="background1" w:themeShade="80"/>
        <w:sz w:val="18"/>
        <w:szCs w:val="18"/>
      </w:rPr>
    </w:pPr>
    <w:r w:rsidRPr="00124222">
      <w:rPr>
        <w:rFonts w:cs="Arial"/>
        <w:sz w:val="18"/>
        <w:szCs w:val="18"/>
      </w:rPr>
      <w:t xml:space="preserve">                                                     </w:t>
    </w:r>
    <w:r w:rsidR="00827BC3">
      <w:rPr>
        <w:rFonts w:cs="Arial"/>
        <w:sz w:val="18"/>
        <w:szCs w:val="18"/>
      </w:rPr>
      <w:t xml:space="preserve">                                           </w:t>
    </w:r>
    <w:r w:rsidRPr="00124222">
      <w:rPr>
        <w:rFonts w:cs="Arial"/>
        <w:sz w:val="18"/>
        <w:szCs w:val="18"/>
      </w:rPr>
      <w:t xml:space="preserve">  </w:t>
    </w:r>
    <w:r w:rsidR="00827BC3" w:rsidRPr="00D312CF">
      <w:rPr>
        <w:rFonts w:cs="Arial"/>
        <w:color w:val="595959" w:themeColor="text1" w:themeTint="A6"/>
        <w:sz w:val="18"/>
        <w:szCs w:val="18"/>
      </w:rPr>
      <w:t xml:space="preserve">Factsheet name - Date (V1)     </w:t>
    </w:r>
    <w:r w:rsidR="00827BC3" w:rsidRPr="00D312CF">
      <w:rPr>
        <w:rFonts w:cs="Arial"/>
        <w:color w:val="595959" w:themeColor="text1" w:themeTint="A6"/>
        <w:sz w:val="18"/>
        <w:szCs w:val="18"/>
      </w:rPr>
      <w:fldChar w:fldCharType="begin"/>
    </w:r>
    <w:r w:rsidR="00827BC3" w:rsidRPr="00D312CF">
      <w:rPr>
        <w:rFonts w:cs="Arial"/>
        <w:color w:val="595959" w:themeColor="text1" w:themeTint="A6"/>
        <w:sz w:val="18"/>
        <w:szCs w:val="18"/>
      </w:rPr>
      <w:instrText xml:space="preserve"> PAGE   \* MERGEFORMAT </w:instrText>
    </w:r>
    <w:r w:rsidR="00827BC3" w:rsidRPr="00D312CF">
      <w:rPr>
        <w:rFonts w:cs="Arial"/>
        <w:color w:val="595959" w:themeColor="text1" w:themeTint="A6"/>
        <w:sz w:val="18"/>
        <w:szCs w:val="18"/>
      </w:rPr>
      <w:fldChar w:fldCharType="separate"/>
    </w:r>
    <w:r w:rsidR="00827BC3" w:rsidRPr="00D312CF">
      <w:rPr>
        <w:rFonts w:cs="Arial"/>
        <w:color w:val="595959" w:themeColor="text1" w:themeTint="A6"/>
        <w:sz w:val="18"/>
        <w:szCs w:val="18"/>
      </w:rPr>
      <w:t>1</w:t>
    </w:r>
    <w:r w:rsidR="00827BC3" w:rsidRPr="00D312CF">
      <w:rPr>
        <w:rFonts w:cs="Arial"/>
        <w:color w:val="595959" w:themeColor="text1" w:themeTint="A6"/>
        <w:sz w:val="18"/>
        <w:szCs w:val="18"/>
      </w:rPr>
      <w:fldChar w:fldCharType="end"/>
    </w:r>
  </w:p>
  <w:p w14:paraId="11A3666B" w14:textId="77777777" w:rsidR="00437B3C" w:rsidRDefault="00437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7535" w14:textId="77777777" w:rsidR="00F92A8A" w:rsidRDefault="00F92A8A" w:rsidP="00D023EC">
      <w:r>
        <w:separator/>
      </w:r>
    </w:p>
  </w:footnote>
  <w:footnote w:type="continuationSeparator" w:id="0">
    <w:p w14:paraId="6091711F" w14:textId="77777777" w:rsidR="00F92A8A" w:rsidRDefault="00F92A8A" w:rsidP="00D0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63A6" w14:textId="77777777" w:rsidR="00080904" w:rsidRDefault="00080904" w:rsidP="0070180D">
    <w:pPr>
      <w:pStyle w:val="Header"/>
      <w:ind w:left="-964" w:right="-9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1571"/>
    <w:multiLevelType w:val="hybridMultilevel"/>
    <w:tmpl w:val="803E5C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B7265"/>
    <w:multiLevelType w:val="multilevel"/>
    <w:tmpl w:val="A21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70E8B"/>
    <w:multiLevelType w:val="hybridMultilevel"/>
    <w:tmpl w:val="A0F4599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F659A"/>
    <w:multiLevelType w:val="hybridMultilevel"/>
    <w:tmpl w:val="34284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1042"/>
    <w:multiLevelType w:val="hybridMultilevel"/>
    <w:tmpl w:val="B6A0A202"/>
    <w:lvl w:ilvl="0" w:tplc="CFFEC22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2536C"/>
    <w:multiLevelType w:val="hybridMultilevel"/>
    <w:tmpl w:val="72384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2187"/>
    <w:multiLevelType w:val="hybridMultilevel"/>
    <w:tmpl w:val="1E285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0C3"/>
    <w:multiLevelType w:val="hybridMultilevel"/>
    <w:tmpl w:val="2994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A2297"/>
    <w:multiLevelType w:val="hybridMultilevel"/>
    <w:tmpl w:val="51A21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94C10"/>
    <w:multiLevelType w:val="multilevel"/>
    <w:tmpl w:val="908CB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063BEF"/>
    <w:multiLevelType w:val="hybridMultilevel"/>
    <w:tmpl w:val="F6B2D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935CD"/>
    <w:multiLevelType w:val="multilevel"/>
    <w:tmpl w:val="8EE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42747"/>
    <w:multiLevelType w:val="hybridMultilevel"/>
    <w:tmpl w:val="CEC4DD76"/>
    <w:lvl w:ilvl="0" w:tplc="5CD279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7F5B03"/>
    <w:multiLevelType w:val="hybridMultilevel"/>
    <w:tmpl w:val="84AC3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E3384"/>
    <w:multiLevelType w:val="hybridMultilevel"/>
    <w:tmpl w:val="3E90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6C22"/>
    <w:multiLevelType w:val="hybridMultilevel"/>
    <w:tmpl w:val="5560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726DC"/>
    <w:multiLevelType w:val="hybridMultilevel"/>
    <w:tmpl w:val="76EA6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25A27"/>
    <w:multiLevelType w:val="hybridMultilevel"/>
    <w:tmpl w:val="A3CE7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08430">
    <w:abstractNumId w:val="5"/>
  </w:num>
  <w:num w:numId="2" w16cid:durableId="1277449050">
    <w:abstractNumId w:val="15"/>
  </w:num>
  <w:num w:numId="3" w16cid:durableId="406804780">
    <w:abstractNumId w:val="6"/>
  </w:num>
  <w:num w:numId="4" w16cid:durableId="514464793">
    <w:abstractNumId w:val="12"/>
  </w:num>
  <w:num w:numId="5" w16cid:durableId="417019885">
    <w:abstractNumId w:val="2"/>
  </w:num>
  <w:num w:numId="6" w16cid:durableId="1795634554">
    <w:abstractNumId w:val="16"/>
  </w:num>
  <w:num w:numId="7" w16cid:durableId="2086681520">
    <w:abstractNumId w:val="0"/>
  </w:num>
  <w:num w:numId="8" w16cid:durableId="263807197">
    <w:abstractNumId w:val="1"/>
  </w:num>
  <w:num w:numId="9" w16cid:durableId="1644433188">
    <w:abstractNumId w:val="11"/>
  </w:num>
  <w:num w:numId="10" w16cid:durableId="1173569333">
    <w:abstractNumId w:val="3"/>
  </w:num>
  <w:num w:numId="11" w16cid:durableId="646282171">
    <w:abstractNumId w:val="13"/>
  </w:num>
  <w:num w:numId="12" w16cid:durableId="362485997">
    <w:abstractNumId w:val="17"/>
  </w:num>
  <w:num w:numId="13" w16cid:durableId="211692240">
    <w:abstractNumId w:val="4"/>
  </w:num>
  <w:num w:numId="14" w16cid:durableId="309946236">
    <w:abstractNumId w:val="7"/>
  </w:num>
  <w:num w:numId="15" w16cid:durableId="992637131">
    <w:abstractNumId w:val="14"/>
  </w:num>
  <w:num w:numId="16" w16cid:durableId="1976594794">
    <w:abstractNumId w:val="8"/>
  </w:num>
  <w:num w:numId="17" w16cid:durableId="325715937">
    <w:abstractNumId w:val="9"/>
  </w:num>
  <w:num w:numId="18" w16cid:durableId="1852597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12"/>
    <w:rsid w:val="000046F4"/>
    <w:rsid w:val="00004EC1"/>
    <w:rsid w:val="00011238"/>
    <w:rsid w:val="00012431"/>
    <w:rsid w:val="00014BE4"/>
    <w:rsid w:val="0002552F"/>
    <w:rsid w:val="00027EE8"/>
    <w:rsid w:val="000333F4"/>
    <w:rsid w:val="0003418B"/>
    <w:rsid w:val="000365DB"/>
    <w:rsid w:val="00037498"/>
    <w:rsid w:val="00041460"/>
    <w:rsid w:val="00046CF7"/>
    <w:rsid w:val="00052FEC"/>
    <w:rsid w:val="00055308"/>
    <w:rsid w:val="000602DB"/>
    <w:rsid w:val="00061888"/>
    <w:rsid w:val="00061FB8"/>
    <w:rsid w:val="00062CF5"/>
    <w:rsid w:val="000723FC"/>
    <w:rsid w:val="0007295B"/>
    <w:rsid w:val="000778B8"/>
    <w:rsid w:val="00080904"/>
    <w:rsid w:val="000823F3"/>
    <w:rsid w:val="00092F04"/>
    <w:rsid w:val="00096734"/>
    <w:rsid w:val="00096D09"/>
    <w:rsid w:val="000A1C68"/>
    <w:rsid w:val="000A249D"/>
    <w:rsid w:val="000A38F2"/>
    <w:rsid w:val="000B20BB"/>
    <w:rsid w:val="000B4E09"/>
    <w:rsid w:val="000B6F2A"/>
    <w:rsid w:val="000B7A05"/>
    <w:rsid w:val="000B7DD1"/>
    <w:rsid w:val="000C2BF6"/>
    <w:rsid w:val="000C69E6"/>
    <w:rsid w:val="000D1003"/>
    <w:rsid w:val="000D24BE"/>
    <w:rsid w:val="000D6CD7"/>
    <w:rsid w:val="000D7320"/>
    <w:rsid w:val="000E0830"/>
    <w:rsid w:val="000E096F"/>
    <w:rsid w:val="000E26C7"/>
    <w:rsid w:val="000F2CEE"/>
    <w:rsid w:val="000F3973"/>
    <w:rsid w:val="000F505A"/>
    <w:rsid w:val="0010013D"/>
    <w:rsid w:val="00102BB9"/>
    <w:rsid w:val="00102EA7"/>
    <w:rsid w:val="001056AB"/>
    <w:rsid w:val="00107F7E"/>
    <w:rsid w:val="001129FE"/>
    <w:rsid w:val="00115A8A"/>
    <w:rsid w:val="00120B4E"/>
    <w:rsid w:val="00122D1C"/>
    <w:rsid w:val="00123B29"/>
    <w:rsid w:val="00124222"/>
    <w:rsid w:val="001249B0"/>
    <w:rsid w:val="001251CC"/>
    <w:rsid w:val="00131002"/>
    <w:rsid w:val="00136D79"/>
    <w:rsid w:val="00136E45"/>
    <w:rsid w:val="00143684"/>
    <w:rsid w:val="00152427"/>
    <w:rsid w:val="0015548B"/>
    <w:rsid w:val="001558AF"/>
    <w:rsid w:val="001658E3"/>
    <w:rsid w:val="0016671F"/>
    <w:rsid w:val="00166C5E"/>
    <w:rsid w:val="001673AE"/>
    <w:rsid w:val="001710C3"/>
    <w:rsid w:val="0017223F"/>
    <w:rsid w:val="001727E9"/>
    <w:rsid w:val="00175A53"/>
    <w:rsid w:val="00175E7E"/>
    <w:rsid w:val="001767A8"/>
    <w:rsid w:val="00177082"/>
    <w:rsid w:val="001841DE"/>
    <w:rsid w:val="001A098F"/>
    <w:rsid w:val="001A1447"/>
    <w:rsid w:val="001B228D"/>
    <w:rsid w:val="001B7A12"/>
    <w:rsid w:val="001D1DCE"/>
    <w:rsid w:val="001D3319"/>
    <w:rsid w:val="001D3D76"/>
    <w:rsid w:val="001D4AA7"/>
    <w:rsid w:val="001D628F"/>
    <w:rsid w:val="001E0412"/>
    <w:rsid w:val="001E26DB"/>
    <w:rsid w:val="001F02F1"/>
    <w:rsid w:val="001F2FBF"/>
    <w:rsid w:val="00200FB3"/>
    <w:rsid w:val="002037D3"/>
    <w:rsid w:val="002058F1"/>
    <w:rsid w:val="00211601"/>
    <w:rsid w:val="002131AA"/>
    <w:rsid w:val="00220B66"/>
    <w:rsid w:val="002344A6"/>
    <w:rsid w:val="00234755"/>
    <w:rsid w:val="00234C02"/>
    <w:rsid w:val="00244F7F"/>
    <w:rsid w:val="0024717C"/>
    <w:rsid w:val="00250101"/>
    <w:rsid w:val="0025460F"/>
    <w:rsid w:val="00256408"/>
    <w:rsid w:val="00263A68"/>
    <w:rsid w:val="0026548F"/>
    <w:rsid w:val="00265788"/>
    <w:rsid w:val="002730B9"/>
    <w:rsid w:val="00284DD3"/>
    <w:rsid w:val="00291983"/>
    <w:rsid w:val="002A5083"/>
    <w:rsid w:val="002B0B1B"/>
    <w:rsid w:val="002B1914"/>
    <w:rsid w:val="002B1FDF"/>
    <w:rsid w:val="002B5692"/>
    <w:rsid w:val="002C0721"/>
    <w:rsid w:val="002C17A8"/>
    <w:rsid w:val="002D0D78"/>
    <w:rsid w:val="002D1110"/>
    <w:rsid w:val="002D4682"/>
    <w:rsid w:val="002D50D0"/>
    <w:rsid w:val="002D6BAB"/>
    <w:rsid w:val="002E101F"/>
    <w:rsid w:val="002E62E8"/>
    <w:rsid w:val="002E6C6B"/>
    <w:rsid w:val="002F1095"/>
    <w:rsid w:val="002F3E6F"/>
    <w:rsid w:val="00300E02"/>
    <w:rsid w:val="003060A2"/>
    <w:rsid w:val="00306F47"/>
    <w:rsid w:val="00312B4B"/>
    <w:rsid w:val="0032248E"/>
    <w:rsid w:val="00322B63"/>
    <w:rsid w:val="00323489"/>
    <w:rsid w:val="00337CD3"/>
    <w:rsid w:val="00340461"/>
    <w:rsid w:val="00341C52"/>
    <w:rsid w:val="00350100"/>
    <w:rsid w:val="0035784D"/>
    <w:rsid w:val="003637DE"/>
    <w:rsid w:val="00377D98"/>
    <w:rsid w:val="0038677B"/>
    <w:rsid w:val="00386F12"/>
    <w:rsid w:val="00387AFF"/>
    <w:rsid w:val="00391C0B"/>
    <w:rsid w:val="00391EE2"/>
    <w:rsid w:val="003A49D5"/>
    <w:rsid w:val="003A66AB"/>
    <w:rsid w:val="003A69BC"/>
    <w:rsid w:val="003A6B98"/>
    <w:rsid w:val="003B14D6"/>
    <w:rsid w:val="003B1B63"/>
    <w:rsid w:val="003B4560"/>
    <w:rsid w:val="003B788F"/>
    <w:rsid w:val="003C2BA5"/>
    <w:rsid w:val="003C6BE8"/>
    <w:rsid w:val="003D58CF"/>
    <w:rsid w:val="003D5D43"/>
    <w:rsid w:val="003E16EC"/>
    <w:rsid w:val="003E7045"/>
    <w:rsid w:val="003F13AC"/>
    <w:rsid w:val="003F4851"/>
    <w:rsid w:val="004035A4"/>
    <w:rsid w:val="00405FFD"/>
    <w:rsid w:val="00406EBA"/>
    <w:rsid w:val="00406ED9"/>
    <w:rsid w:val="004074DA"/>
    <w:rsid w:val="004102C1"/>
    <w:rsid w:val="00421222"/>
    <w:rsid w:val="00421EAA"/>
    <w:rsid w:val="00426648"/>
    <w:rsid w:val="004340D4"/>
    <w:rsid w:val="004359DD"/>
    <w:rsid w:val="004375C5"/>
    <w:rsid w:val="00437723"/>
    <w:rsid w:val="00437B3C"/>
    <w:rsid w:val="00443C26"/>
    <w:rsid w:val="00447208"/>
    <w:rsid w:val="00457197"/>
    <w:rsid w:val="00461716"/>
    <w:rsid w:val="004619D2"/>
    <w:rsid w:val="00465B8A"/>
    <w:rsid w:val="00474227"/>
    <w:rsid w:val="00480706"/>
    <w:rsid w:val="00491E0A"/>
    <w:rsid w:val="0049328D"/>
    <w:rsid w:val="004A234B"/>
    <w:rsid w:val="004A3917"/>
    <w:rsid w:val="004A5843"/>
    <w:rsid w:val="004B0555"/>
    <w:rsid w:val="004B0C7D"/>
    <w:rsid w:val="004C0B59"/>
    <w:rsid w:val="004C30CC"/>
    <w:rsid w:val="004D1566"/>
    <w:rsid w:val="004D357E"/>
    <w:rsid w:val="004D486D"/>
    <w:rsid w:val="004D653F"/>
    <w:rsid w:val="004D6939"/>
    <w:rsid w:val="004E4751"/>
    <w:rsid w:val="004E5545"/>
    <w:rsid w:val="004F4291"/>
    <w:rsid w:val="004F7882"/>
    <w:rsid w:val="005007D4"/>
    <w:rsid w:val="00505F40"/>
    <w:rsid w:val="00507F2B"/>
    <w:rsid w:val="00511284"/>
    <w:rsid w:val="005132CA"/>
    <w:rsid w:val="00513351"/>
    <w:rsid w:val="005209BC"/>
    <w:rsid w:val="00522E90"/>
    <w:rsid w:val="00523CD5"/>
    <w:rsid w:val="00525EB6"/>
    <w:rsid w:val="00526AE4"/>
    <w:rsid w:val="00527F40"/>
    <w:rsid w:val="005440A2"/>
    <w:rsid w:val="0054760F"/>
    <w:rsid w:val="0055363D"/>
    <w:rsid w:val="00555AC0"/>
    <w:rsid w:val="00563B98"/>
    <w:rsid w:val="00567EF9"/>
    <w:rsid w:val="0057696F"/>
    <w:rsid w:val="00580C9D"/>
    <w:rsid w:val="00580CCC"/>
    <w:rsid w:val="0058499C"/>
    <w:rsid w:val="005856C3"/>
    <w:rsid w:val="00587A35"/>
    <w:rsid w:val="0059241C"/>
    <w:rsid w:val="00593715"/>
    <w:rsid w:val="005939AB"/>
    <w:rsid w:val="00595A75"/>
    <w:rsid w:val="005A0ADD"/>
    <w:rsid w:val="005A2462"/>
    <w:rsid w:val="005A4C4E"/>
    <w:rsid w:val="005B2063"/>
    <w:rsid w:val="005B3272"/>
    <w:rsid w:val="005B5DF7"/>
    <w:rsid w:val="005B6CC1"/>
    <w:rsid w:val="005C213F"/>
    <w:rsid w:val="005D00D4"/>
    <w:rsid w:val="005D03FC"/>
    <w:rsid w:val="005D710D"/>
    <w:rsid w:val="005E1C82"/>
    <w:rsid w:val="005E1D02"/>
    <w:rsid w:val="005E1EC6"/>
    <w:rsid w:val="005E5C34"/>
    <w:rsid w:val="005E65A0"/>
    <w:rsid w:val="005F04DD"/>
    <w:rsid w:val="005F43BB"/>
    <w:rsid w:val="0060017B"/>
    <w:rsid w:val="006016EB"/>
    <w:rsid w:val="00605393"/>
    <w:rsid w:val="00605DB4"/>
    <w:rsid w:val="00606890"/>
    <w:rsid w:val="00607236"/>
    <w:rsid w:val="00612AC6"/>
    <w:rsid w:val="006212A1"/>
    <w:rsid w:val="00621535"/>
    <w:rsid w:val="0062409B"/>
    <w:rsid w:val="00626FEB"/>
    <w:rsid w:val="0062784B"/>
    <w:rsid w:val="00627A65"/>
    <w:rsid w:val="00631557"/>
    <w:rsid w:val="00632440"/>
    <w:rsid w:val="0063459D"/>
    <w:rsid w:val="00636FB9"/>
    <w:rsid w:val="00640525"/>
    <w:rsid w:val="00643DEF"/>
    <w:rsid w:val="006469C4"/>
    <w:rsid w:val="0065035D"/>
    <w:rsid w:val="00652837"/>
    <w:rsid w:val="006725BC"/>
    <w:rsid w:val="006749B6"/>
    <w:rsid w:val="00680598"/>
    <w:rsid w:val="00686B27"/>
    <w:rsid w:val="00692C61"/>
    <w:rsid w:val="006939E9"/>
    <w:rsid w:val="00694EE0"/>
    <w:rsid w:val="006A38DD"/>
    <w:rsid w:val="006A4779"/>
    <w:rsid w:val="006A5C1A"/>
    <w:rsid w:val="006A73A5"/>
    <w:rsid w:val="006A7CEF"/>
    <w:rsid w:val="006B2E4F"/>
    <w:rsid w:val="006B69C8"/>
    <w:rsid w:val="006C4110"/>
    <w:rsid w:val="006D1015"/>
    <w:rsid w:val="006D14F5"/>
    <w:rsid w:val="006D15CD"/>
    <w:rsid w:val="006D194E"/>
    <w:rsid w:val="006D4193"/>
    <w:rsid w:val="006D43C7"/>
    <w:rsid w:val="006E087E"/>
    <w:rsid w:val="006E66FC"/>
    <w:rsid w:val="006F0DAC"/>
    <w:rsid w:val="0070180D"/>
    <w:rsid w:val="00705C22"/>
    <w:rsid w:val="00707371"/>
    <w:rsid w:val="00707697"/>
    <w:rsid w:val="00713ABB"/>
    <w:rsid w:val="007158FD"/>
    <w:rsid w:val="007325D5"/>
    <w:rsid w:val="007327D2"/>
    <w:rsid w:val="00733C22"/>
    <w:rsid w:val="00736D3B"/>
    <w:rsid w:val="007377DD"/>
    <w:rsid w:val="00740227"/>
    <w:rsid w:val="007403C8"/>
    <w:rsid w:val="00745534"/>
    <w:rsid w:val="007466DC"/>
    <w:rsid w:val="007561AB"/>
    <w:rsid w:val="00761C10"/>
    <w:rsid w:val="00764412"/>
    <w:rsid w:val="00775EED"/>
    <w:rsid w:val="007769D0"/>
    <w:rsid w:val="00781589"/>
    <w:rsid w:val="00796384"/>
    <w:rsid w:val="007A02D8"/>
    <w:rsid w:val="007A030E"/>
    <w:rsid w:val="007A2028"/>
    <w:rsid w:val="007A2E5D"/>
    <w:rsid w:val="007A3565"/>
    <w:rsid w:val="007A5688"/>
    <w:rsid w:val="007A5D29"/>
    <w:rsid w:val="007A6444"/>
    <w:rsid w:val="007A700D"/>
    <w:rsid w:val="007A7958"/>
    <w:rsid w:val="007B413B"/>
    <w:rsid w:val="007C1C0A"/>
    <w:rsid w:val="007D54A9"/>
    <w:rsid w:val="007D642C"/>
    <w:rsid w:val="007D6D36"/>
    <w:rsid w:val="007E54B4"/>
    <w:rsid w:val="007E77A0"/>
    <w:rsid w:val="0080622F"/>
    <w:rsid w:val="00806602"/>
    <w:rsid w:val="00806E49"/>
    <w:rsid w:val="00807CD8"/>
    <w:rsid w:val="00812999"/>
    <w:rsid w:val="00813180"/>
    <w:rsid w:val="00816A83"/>
    <w:rsid w:val="008221CC"/>
    <w:rsid w:val="00826385"/>
    <w:rsid w:val="00827BC3"/>
    <w:rsid w:val="00827E80"/>
    <w:rsid w:val="008304CD"/>
    <w:rsid w:val="00842C85"/>
    <w:rsid w:val="0084691B"/>
    <w:rsid w:val="00850307"/>
    <w:rsid w:val="00855231"/>
    <w:rsid w:val="00857465"/>
    <w:rsid w:val="008626E4"/>
    <w:rsid w:val="00862954"/>
    <w:rsid w:val="00864164"/>
    <w:rsid w:val="008674C6"/>
    <w:rsid w:val="00875284"/>
    <w:rsid w:val="00876FEA"/>
    <w:rsid w:val="00883651"/>
    <w:rsid w:val="0088621E"/>
    <w:rsid w:val="0088664D"/>
    <w:rsid w:val="00893173"/>
    <w:rsid w:val="00893312"/>
    <w:rsid w:val="008A4F37"/>
    <w:rsid w:val="008A6CBF"/>
    <w:rsid w:val="008C2D27"/>
    <w:rsid w:val="008C3303"/>
    <w:rsid w:val="008C36B1"/>
    <w:rsid w:val="008C67C2"/>
    <w:rsid w:val="008C7713"/>
    <w:rsid w:val="008D065E"/>
    <w:rsid w:val="008D30C5"/>
    <w:rsid w:val="008E26CB"/>
    <w:rsid w:val="008E4343"/>
    <w:rsid w:val="008E64B0"/>
    <w:rsid w:val="008F1A97"/>
    <w:rsid w:val="008F5838"/>
    <w:rsid w:val="008F5CB3"/>
    <w:rsid w:val="00901BBA"/>
    <w:rsid w:val="00902F19"/>
    <w:rsid w:val="00903901"/>
    <w:rsid w:val="00910691"/>
    <w:rsid w:val="00910718"/>
    <w:rsid w:val="00912ED9"/>
    <w:rsid w:val="00913EB8"/>
    <w:rsid w:val="00914626"/>
    <w:rsid w:val="00921DDD"/>
    <w:rsid w:val="009239F7"/>
    <w:rsid w:val="00927214"/>
    <w:rsid w:val="00933DE2"/>
    <w:rsid w:val="00935379"/>
    <w:rsid w:val="00935DEA"/>
    <w:rsid w:val="009367A3"/>
    <w:rsid w:val="00945D4C"/>
    <w:rsid w:val="00950492"/>
    <w:rsid w:val="00950A21"/>
    <w:rsid w:val="00954CE1"/>
    <w:rsid w:val="009562C7"/>
    <w:rsid w:val="00957895"/>
    <w:rsid w:val="00961477"/>
    <w:rsid w:val="009619F4"/>
    <w:rsid w:val="00964A9F"/>
    <w:rsid w:val="0097280F"/>
    <w:rsid w:val="00982437"/>
    <w:rsid w:val="0098546E"/>
    <w:rsid w:val="009875B3"/>
    <w:rsid w:val="009966B6"/>
    <w:rsid w:val="009A1EEE"/>
    <w:rsid w:val="009A5A5A"/>
    <w:rsid w:val="009B1108"/>
    <w:rsid w:val="009B22A7"/>
    <w:rsid w:val="009B4C79"/>
    <w:rsid w:val="009C2FF1"/>
    <w:rsid w:val="009C37BD"/>
    <w:rsid w:val="009C432B"/>
    <w:rsid w:val="009C5EFB"/>
    <w:rsid w:val="009D0309"/>
    <w:rsid w:val="009D0665"/>
    <w:rsid w:val="009D3035"/>
    <w:rsid w:val="009D36DD"/>
    <w:rsid w:val="009E2B80"/>
    <w:rsid w:val="009E4AFC"/>
    <w:rsid w:val="009E6BBF"/>
    <w:rsid w:val="009F1AC1"/>
    <w:rsid w:val="009F2ACC"/>
    <w:rsid w:val="009F6080"/>
    <w:rsid w:val="00A00383"/>
    <w:rsid w:val="00A076D8"/>
    <w:rsid w:val="00A135A7"/>
    <w:rsid w:val="00A173BC"/>
    <w:rsid w:val="00A2272D"/>
    <w:rsid w:val="00A22D8F"/>
    <w:rsid w:val="00A26892"/>
    <w:rsid w:val="00A2796B"/>
    <w:rsid w:val="00A310C3"/>
    <w:rsid w:val="00A35F91"/>
    <w:rsid w:val="00A41D48"/>
    <w:rsid w:val="00A42AA5"/>
    <w:rsid w:val="00A45E59"/>
    <w:rsid w:val="00A51ACF"/>
    <w:rsid w:val="00A52954"/>
    <w:rsid w:val="00A73C3E"/>
    <w:rsid w:val="00A82201"/>
    <w:rsid w:val="00A83315"/>
    <w:rsid w:val="00A87769"/>
    <w:rsid w:val="00AA3459"/>
    <w:rsid w:val="00AB1B09"/>
    <w:rsid w:val="00AB424F"/>
    <w:rsid w:val="00AB6DD2"/>
    <w:rsid w:val="00AC018D"/>
    <w:rsid w:val="00AC46E4"/>
    <w:rsid w:val="00AC5172"/>
    <w:rsid w:val="00AD1B42"/>
    <w:rsid w:val="00AD2917"/>
    <w:rsid w:val="00AD5083"/>
    <w:rsid w:val="00AD7499"/>
    <w:rsid w:val="00AD7A3C"/>
    <w:rsid w:val="00AE1D77"/>
    <w:rsid w:val="00AE2B1C"/>
    <w:rsid w:val="00AE4DEA"/>
    <w:rsid w:val="00AF0AC5"/>
    <w:rsid w:val="00AF1611"/>
    <w:rsid w:val="00AF2C96"/>
    <w:rsid w:val="00AF5E9D"/>
    <w:rsid w:val="00AF5EC2"/>
    <w:rsid w:val="00AF6062"/>
    <w:rsid w:val="00AF694A"/>
    <w:rsid w:val="00B00215"/>
    <w:rsid w:val="00B021D2"/>
    <w:rsid w:val="00B033AD"/>
    <w:rsid w:val="00B043F5"/>
    <w:rsid w:val="00B12F3E"/>
    <w:rsid w:val="00B16CC7"/>
    <w:rsid w:val="00B17589"/>
    <w:rsid w:val="00B24953"/>
    <w:rsid w:val="00B36EA3"/>
    <w:rsid w:val="00B52AC1"/>
    <w:rsid w:val="00B6018A"/>
    <w:rsid w:val="00B62AD2"/>
    <w:rsid w:val="00B67C44"/>
    <w:rsid w:val="00B71180"/>
    <w:rsid w:val="00B74BAF"/>
    <w:rsid w:val="00B76958"/>
    <w:rsid w:val="00B84129"/>
    <w:rsid w:val="00B94698"/>
    <w:rsid w:val="00B96D4D"/>
    <w:rsid w:val="00BA3718"/>
    <w:rsid w:val="00BA3DB0"/>
    <w:rsid w:val="00BC335E"/>
    <w:rsid w:val="00BD5FF9"/>
    <w:rsid w:val="00BE34BC"/>
    <w:rsid w:val="00BE6D85"/>
    <w:rsid w:val="00BE734C"/>
    <w:rsid w:val="00BF1A55"/>
    <w:rsid w:val="00BF49A5"/>
    <w:rsid w:val="00BF4B0E"/>
    <w:rsid w:val="00BF5E14"/>
    <w:rsid w:val="00C018AC"/>
    <w:rsid w:val="00C019BD"/>
    <w:rsid w:val="00C06015"/>
    <w:rsid w:val="00C07094"/>
    <w:rsid w:val="00C10D33"/>
    <w:rsid w:val="00C13172"/>
    <w:rsid w:val="00C14651"/>
    <w:rsid w:val="00C151BB"/>
    <w:rsid w:val="00C15435"/>
    <w:rsid w:val="00C160D6"/>
    <w:rsid w:val="00C33941"/>
    <w:rsid w:val="00C46460"/>
    <w:rsid w:val="00C469FD"/>
    <w:rsid w:val="00C50AEE"/>
    <w:rsid w:val="00C62D62"/>
    <w:rsid w:val="00C65736"/>
    <w:rsid w:val="00C66B75"/>
    <w:rsid w:val="00C816F8"/>
    <w:rsid w:val="00C85E3F"/>
    <w:rsid w:val="00C90E59"/>
    <w:rsid w:val="00C92680"/>
    <w:rsid w:val="00CB01C1"/>
    <w:rsid w:val="00CB4291"/>
    <w:rsid w:val="00CC2969"/>
    <w:rsid w:val="00CD244F"/>
    <w:rsid w:val="00CD321E"/>
    <w:rsid w:val="00CD4D9B"/>
    <w:rsid w:val="00CD5426"/>
    <w:rsid w:val="00CD5A2D"/>
    <w:rsid w:val="00CD7B20"/>
    <w:rsid w:val="00CE1F66"/>
    <w:rsid w:val="00CE2144"/>
    <w:rsid w:val="00CE2A2F"/>
    <w:rsid w:val="00CE39DE"/>
    <w:rsid w:val="00CE516C"/>
    <w:rsid w:val="00CE687A"/>
    <w:rsid w:val="00CF0A89"/>
    <w:rsid w:val="00CF0FD0"/>
    <w:rsid w:val="00CF2C5D"/>
    <w:rsid w:val="00CF4F77"/>
    <w:rsid w:val="00CF6062"/>
    <w:rsid w:val="00D023EC"/>
    <w:rsid w:val="00D06521"/>
    <w:rsid w:val="00D07561"/>
    <w:rsid w:val="00D075FE"/>
    <w:rsid w:val="00D0785A"/>
    <w:rsid w:val="00D1318B"/>
    <w:rsid w:val="00D236E9"/>
    <w:rsid w:val="00D2572C"/>
    <w:rsid w:val="00D26DC9"/>
    <w:rsid w:val="00D312CF"/>
    <w:rsid w:val="00D33C4C"/>
    <w:rsid w:val="00D346FF"/>
    <w:rsid w:val="00D3584F"/>
    <w:rsid w:val="00D36932"/>
    <w:rsid w:val="00D40683"/>
    <w:rsid w:val="00D42241"/>
    <w:rsid w:val="00D43283"/>
    <w:rsid w:val="00D53B17"/>
    <w:rsid w:val="00D642D1"/>
    <w:rsid w:val="00D6478F"/>
    <w:rsid w:val="00D65F9A"/>
    <w:rsid w:val="00D71197"/>
    <w:rsid w:val="00D7297A"/>
    <w:rsid w:val="00D771B3"/>
    <w:rsid w:val="00D902BB"/>
    <w:rsid w:val="00D90868"/>
    <w:rsid w:val="00D9282B"/>
    <w:rsid w:val="00D94DCE"/>
    <w:rsid w:val="00D971E7"/>
    <w:rsid w:val="00DA0B96"/>
    <w:rsid w:val="00DA2BBD"/>
    <w:rsid w:val="00DB36B7"/>
    <w:rsid w:val="00DB3E61"/>
    <w:rsid w:val="00DD0255"/>
    <w:rsid w:val="00DD6403"/>
    <w:rsid w:val="00DD7FEE"/>
    <w:rsid w:val="00DE354F"/>
    <w:rsid w:val="00DE5AB1"/>
    <w:rsid w:val="00DF0559"/>
    <w:rsid w:val="00DF24C1"/>
    <w:rsid w:val="00DF59EE"/>
    <w:rsid w:val="00E12931"/>
    <w:rsid w:val="00E13A3F"/>
    <w:rsid w:val="00E15860"/>
    <w:rsid w:val="00E17064"/>
    <w:rsid w:val="00E17602"/>
    <w:rsid w:val="00E21177"/>
    <w:rsid w:val="00E23569"/>
    <w:rsid w:val="00E25E6E"/>
    <w:rsid w:val="00E30D4B"/>
    <w:rsid w:val="00E36938"/>
    <w:rsid w:val="00E42CF2"/>
    <w:rsid w:val="00E44BF7"/>
    <w:rsid w:val="00E533D0"/>
    <w:rsid w:val="00E5616B"/>
    <w:rsid w:val="00E56AF2"/>
    <w:rsid w:val="00E602DA"/>
    <w:rsid w:val="00E61D3E"/>
    <w:rsid w:val="00E63945"/>
    <w:rsid w:val="00E71FFB"/>
    <w:rsid w:val="00E74936"/>
    <w:rsid w:val="00E804EC"/>
    <w:rsid w:val="00E85294"/>
    <w:rsid w:val="00E86C53"/>
    <w:rsid w:val="00E87C09"/>
    <w:rsid w:val="00E87F9F"/>
    <w:rsid w:val="00E9044F"/>
    <w:rsid w:val="00E92238"/>
    <w:rsid w:val="00E93D71"/>
    <w:rsid w:val="00E94CD9"/>
    <w:rsid w:val="00E967CC"/>
    <w:rsid w:val="00EA3498"/>
    <w:rsid w:val="00EA5D2A"/>
    <w:rsid w:val="00EA777B"/>
    <w:rsid w:val="00EB0386"/>
    <w:rsid w:val="00EB3B5C"/>
    <w:rsid w:val="00EB42A2"/>
    <w:rsid w:val="00EC1A28"/>
    <w:rsid w:val="00EC41A9"/>
    <w:rsid w:val="00EC6742"/>
    <w:rsid w:val="00EE57C3"/>
    <w:rsid w:val="00EE6EBA"/>
    <w:rsid w:val="00EE7FA0"/>
    <w:rsid w:val="00EF4FAA"/>
    <w:rsid w:val="00EF7BA3"/>
    <w:rsid w:val="00F04237"/>
    <w:rsid w:val="00F05A73"/>
    <w:rsid w:val="00F11975"/>
    <w:rsid w:val="00F17384"/>
    <w:rsid w:val="00F24933"/>
    <w:rsid w:val="00F25892"/>
    <w:rsid w:val="00F31F0B"/>
    <w:rsid w:val="00F344A3"/>
    <w:rsid w:val="00F36613"/>
    <w:rsid w:val="00F451BD"/>
    <w:rsid w:val="00F47304"/>
    <w:rsid w:val="00F52206"/>
    <w:rsid w:val="00F65DFB"/>
    <w:rsid w:val="00F75387"/>
    <w:rsid w:val="00F80AAF"/>
    <w:rsid w:val="00F80D2E"/>
    <w:rsid w:val="00F91878"/>
    <w:rsid w:val="00F92A8A"/>
    <w:rsid w:val="00F93F3D"/>
    <w:rsid w:val="00FA4CB1"/>
    <w:rsid w:val="00FB25C0"/>
    <w:rsid w:val="00FB364E"/>
    <w:rsid w:val="00FC2584"/>
    <w:rsid w:val="00FC2966"/>
    <w:rsid w:val="00FC5091"/>
    <w:rsid w:val="00FD2E19"/>
    <w:rsid w:val="00FD4C60"/>
    <w:rsid w:val="00FE06E7"/>
    <w:rsid w:val="00FE0C28"/>
    <w:rsid w:val="00FE170F"/>
    <w:rsid w:val="00FE3604"/>
    <w:rsid w:val="00FE3C39"/>
    <w:rsid w:val="00FE765B"/>
    <w:rsid w:val="00FF32C9"/>
    <w:rsid w:val="00FF6886"/>
    <w:rsid w:val="0173D085"/>
    <w:rsid w:val="0210331B"/>
    <w:rsid w:val="05375CE5"/>
    <w:rsid w:val="074A2001"/>
    <w:rsid w:val="0A094198"/>
    <w:rsid w:val="1238B58E"/>
    <w:rsid w:val="15FB6EF7"/>
    <w:rsid w:val="175E1CE0"/>
    <w:rsid w:val="1A3FA58A"/>
    <w:rsid w:val="1C790682"/>
    <w:rsid w:val="21938A35"/>
    <w:rsid w:val="219FBF95"/>
    <w:rsid w:val="2361AEC4"/>
    <w:rsid w:val="27AF1E1B"/>
    <w:rsid w:val="286D736B"/>
    <w:rsid w:val="2BE34795"/>
    <w:rsid w:val="2F07902E"/>
    <w:rsid w:val="2F9BA93D"/>
    <w:rsid w:val="3E819F4E"/>
    <w:rsid w:val="4902EABD"/>
    <w:rsid w:val="4D24B4AB"/>
    <w:rsid w:val="50583C9B"/>
    <w:rsid w:val="53A8C734"/>
    <w:rsid w:val="57A6C24E"/>
    <w:rsid w:val="57B91B05"/>
    <w:rsid w:val="59739CA3"/>
    <w:rsid w:val="5CC4F5AB"/>
    <w:rsid w:val="5D1BEA09"/>
    <w:rsid w:val="5FD3E798"/>
    <w:rsid w:val="64A61C9B"/>
    <w:rsid w:val="68951C58"/>
    <w:rsid w:val="693D7EAC"/>
    <w:rsid w:val="69F09B1F"/>
    <w:rsid w:val="6CBCA529"/>
    <w:rsid w:val="70C113D0"/>
    <w:rsid w:val="7237A189"/>
    <w:rsid w:val="73C0AF38"/>
    <w:rsid w:val="7845D4D9"/>
    <w:rsid w:val="7BFF3099"/>
    <w:rsid w:val="7C179E6A"/>
    <w:rsid w:val="7C74C915"/>
    <w:rsid w:val="7CFBA221"/>
    <w:rsid w:val="7F1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F06134"/>
  <w15:docId w15:val="{C3AE3AF6-213F-4CB0-9A02-3617AE6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A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AC5"/>
    <w:pPr>
      <w:keepNext/>
      <w:keepLines/>
      <w:outlineLvl w:val="0"/>
    </w:pPr>
    <w:rPr>
      <w:rFonts w:eastAsia="Times New Roman"/>
      <w:b/>
      <w:bCs/>
      <w:color w:val="005EB8"/>
      <w:sz w:val="3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983"/>
    <w:pPr>
      <w:keepNext/>
      <w:keepLines/>
      <w:spacing w:before="40"/>
      <w:outlineLvl w:val="1"/>
    </w:pPr>
    <w:rPr>
      <w:rFonts w:eastAsiaTheme="majorEastAsia" w:cstheme="majorBidi"/>
      <w:b/>
      <w:color w:val="005E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BF6"/>
    <w:pPr>
      <w:keepNext/>
      <w:keepLines/>
      <w:spacing w:line="259" w:lineRule="auto"/>
      <w:outlineLvl w:val="2"/>
    </w:pPr>
    <w:rPr>
      <w:rFonts w:eastAsiaTheme="majorEastAsia" w:cstheme="majorBidi"/>
      <w:b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65B2"/>
    <w:rPr>
      <w:rFonts w:ascii="Lucida Grande" w:hAnsi="Lucida Grande"/>
      <w:sz w:val="18"/>
      <w:szCs w:val="18"/>
    </w:rPr>
  </w:style>
  <w:style w:type="character" w:styleId="PageNumber">
    <w:name w:val="page number"/>
    <w:rsid w:val="00CA33A1"/>
    <w:rPr>
      <w:rFonts w:ascii="Arial" w:hAnsi="Arial"/>
      <w:b/>
      <w:color w:val="333333"/>
      <w:sz w:val="28"/>
    </w:rPr>
  </w:style>
  <w:style w:type="paragraph" w:customStyle="1" w:styleId="contentsheading">
    <w:name w:val="contents heading"/>
    <w:next w:val="Normal"/>
    <w:autoRedefine/>
    <w:rsid w:val="006337C9"/>
    <w:pPr>
      <w:spacing w:before="400" w:after="60"/>
      <w:ind w:left="1701" w:right="-199"/>
    </w:pPr>
    <w:rPr>
      <w:rFonts w:ascii="Arial" w:hAnsi="Arial" w:cs="HelveticaNeue-Light"/>
      <w:color w:val="59528F"/>
      <w:kern w:val="32"/>
      <w:sz w:val="26"/>
      <w:szCs w:val="26"/>
      <w:lang w:eastAsia="en-US" w:bidi="en-US"/>
    </w:rPr>
  </w:style>
  <w:style w:type="paragraph" w:customStyle="1" w:styleId="BasicParagraph">
    <w:name w:val="[Basic Paragraph]"/>
    <w:basedOn w:val="Normal"/>
    <w:uiPriority w:val="99"/>
    <w:rsid w:val="00136D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E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D1566"/>
    <w:rPr>
      <w:color w:val="0000FF"/>
      <w:u w:val="single"/>
    </w:rPr>
  </w:style>
  <w:style w:type="table" w:styleId="TableGrid">
    <w:name w:val="Table Grid"/>
    <w:basedOn w:val="TableNormal"/>
    <w:uiPriority w:val="39"/>
    <w:rsid w:val="004D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0AC5"/>
    <w:rPr>
      <w:rFonts w:ascii="Arial" w:eastAsia="Times New Roman" w:hAnsi="Arial"/>
      <w:b/>
      <w:bCs/>
      <w:color w:val="005EB8"/>
      <w:sz w:val="3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2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8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892"/>
    <w:rPr>
      <w:b/>
      <w:bCs/>
      <w:lang w:eastAsia="en-US"/>
    </w:rPr>
  </w:style>
  <w:style w:type="paragraph" w:styleId="Revision">
    <w:name w:val="Revision"/>
    <w:hidden/>
    <w:uiPriority w:val="99"/>
    <w:semiHidden/>
    <w:rsid w:val="00806E4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06E49"/>
    <w:pPr>
      <w:ind w:left="720"/>
      <w:contextualSpacing/>
    </w:pPr>
  </w:style>
  <w:style w:type="character" w:customStyle="1" w:styleId="c-accordioninitial-text">
    <w:name w:val="c-accordion__initial-text"/>
    <w:basedOn w:val="DefaultParagraphFont"/>
    <w:rsid w:val="00FC5091"/>
  </w:style>
  <w:style w:type="paragraph" w:styleId="NormalWeb">
    <w:name w:val="Normal (Web)"/>
    <w:basedOn w:val="Normal"/>
    <w:uiPriority w:val="99"/>
    <w:unhideWhenUsed/>
    <w:rsid w:val="00FC5091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2FE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A3565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E23569"/>
  </w:style>
  <w:style w:type="character" w:customStyle="1" w:styleId="Heading2Char">
    <w:name w:val="Heading 2 Char"/>
    <w:basedOn w:val="DefaultParagraphFont"/>
    <w:link w:val="Heading2"/>
    <w:uiPriority w:val="9"/>
    <w:rsid w:val="00291983"/>
    <w:rPr>
      <w:rFonts w:ascii="Arial" w:eastAsiaTheme="majorEastAsia" w:hAnsi="Arial" w:cstheme="majorBidi"/>
      <w:b/>
      <w:color w:val="005EB8"/>
      <w:sz w:val="28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35A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80706"/>
    <w:rPr>
      <w:b/>
      <w:bCs/>
    </w:rPr>
  </w:style>
  <w:style w:type="paragraph" w:styleId="NoSpacing">
    <w:name w:val="No Spacing"/>
    <w:uiPriority w:val="1"/>
    <w:qFormat/>
    <w:rsid w:val="009A5A5A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C2BF6"/>
    <w:rPr>
      <w:rFonts w:ascii="Arial" w:eastAsiaTheme="majorEastAsia" w:hAnsi="Arial" w:cstheme="majorBidi"/>
      <w:b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  <Location xmlns="9c395806-f6fc-4c4c-8f7e-33fb8178eadb" xsi:nil="true"/>
    <Websitelocation xmlns="9c395806-f6fc-4c4c-8f7e-33fb8178ea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4" ma:contentTypeDescription="Create a new document." ma:contentTypeScope="" ma:versionID="78ab5ea81d4624c7f705a35157ad59bc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36dd3e958cd36d8f9a3ba4ea71dd9632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ocation" minOccurs="0"/>
                <xsd:element ref="ns2:Websit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19" nillable="true" ma:displayName="Location" ma:format="Dropdown" ma:internalName="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ce 1"/>
                    <xsd:enumeration value="Choice 2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Websitelocation" ma:index="20" nillable="true" ma:displayName="Website location" ma:format="Dropdown" ma:internalName="Website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ce 1"/>
                    <xsd:enumeration value="Choice 2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A9E4A-BDCA-4668-9822-625EA575BD5B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2.xml><?xml version="1.0" encoding="utf-8"?>
<ds:datastoreItem xmlns:ds="http://schemas.openxmlformats.org/officeDocument/2006/customXml" ds:itemID="{C31E08F6-B100-476D-9EBB-03FC710348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DF1AB-BBA0-4801-BCD2-1F7C852F6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2E1E2-6061-46B3-AC41-6C4609C7D5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251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Pension Scheme Contribution Rates (2015–2025)</vt:lpstr>
    </vt:vector>
  </TitlesOfParts>
  <Company>CDS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Pension Scheme Contribution Rates (2015–2025)</dc:title>
  <dc:creator>Claire Anderson</dc:creator>
  <cp:keywords/>
  <cp:lastModifiedBy>Beverley Battersby</cp:lastModifiedBy>
  <cp:revision>14</cp:revision>
  <cp:lastPrinted>2026-01-22T16:32:00Z</cp:lastPrinted>
  <dcterms:created xsi:type="dcterms:W3CDTF">2026-06-17T07:40:00Z</dcterms:created>
  <dcterms:modified xsi:type="dcterms:W3CDTF">2026-06-17T12:35:00Z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DepartmentManagedMetadata">
    <vt:lpwstr>46;#Customer Insight and Communications|3adf1842-26d1-43aa-91a8-1f6dd431fc74</vt:lpwstr>
  </property>
  <property fmtid="{D5CDD505-2E9C-101B-9397-08002B2CF9AE}" pid="4" name="IntranetCategoryManagedMetadata">
    <vt:lpwstr>57;#Communications|3eb392b9-16a9-45d8-947f-db9d186f210d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Gov_SecondNotification">
    <vt:lpwstr/>
  </property>
  <property fmtid="{D5CDD505-2E9C-101B-9397-08002B2CF9AE}" pid="7" name="Gov_FirstNotification">
    <vt:lpwstr/>
  </property>
  <property fmtid="{D5CDD505-2E9C-101B-9397-08002B2CF9AE}" pid="8" name="Gov_FinalNotification">
    <vt:lpwstr/>
  </property>
  <property fmtid="{D5CDD505-2E9C-101B-9397-08002B2CF9AE}" pid="9" name="MediaServiceImageTags">
    <vt:lpwstr/>
  </property>
  <property fmtid="{D5CDD505-2E9C-101B-9397-08002B2CF9AE}" pid="10" name="MSIP_Label_f52d287b-af50-4fcf-9040-106ecb50d969_Enabled">
    <vt:lpwstr>true</vt:lpwstr>
  </property>
  <property fmtid="{D5CDD505-2E9C-101B-9397-08002B2CF9AE}" pid="11" name="MSIP_Label_f52d287b-af50-4fcf-9040-106ecb50d969_SetDate">
    <vt:lpwstr>2024-12-05T14:11:20Z</vt:lpwstr>
  </property>
  <property fmtid="{D5CDD505-2E9C-101B-9397-08002B2CF9AE}" pid="12" name="MSIP_Label_f52d287b-af50-4fcf-9040-106ecb50d969_Method">
    <vt:lpwstr>Standard</vt:lpwstr>
  </property>
  <property fmtid="{D5CDD505-2E9C-101B-9397-08002B2CF9AE}" pid="13" name="MSIP_Label_f52d287b-af50-4fcf-9040-106ecb50d969_Name">
    <vt:lpwstr>f52d287b-af50-4fcf-9040-106ecb50d969</vt:lpwstr>
  </property>
  <property fmtid="{D5CDD505-2E9C-101B-9397-08002B2CF9AE}" pid="14" name="MSIP_Label_f52d287b-af50-4fcf-9040-106ecb50d969_SiteId">
    <vt:lpwstr>cf6d0482-86b1-4f88-8c0c-3b4de4cb402c</vt:lpwstr>
  </property>
  <property fmtid="{D5CDD505-2E9C-101B-9397-08002B2CF9AE}" pid="15" name="MSIP_Label_f52d287b-af50-4fcf-9040-106ecb50d969_ActionId">
    <vt:lpwstr>2ffa4a44-711e-44f0-9791-95495e5d7472</vt:lpwstr>
  </property>
  <property fmtid="{D5CDD505-2E9C-101B-9397-08002B2CF9AE}" pid="16" name="MSIP_Label_f52d287b-af50-4fcf-9040-106ecb50d969_ContentBits">
    <vt:lpwstr>0</vt:lpwstr>
  </property>
</Properties>
</file>