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docMetadata/LabelInfo.xml" ContentType="application/vnd.ms-office.classificationlabels+xml"/>
  <Override PartName="/docProps/app.xml" ContentType="application/vnd.openxmlformats-officedocument.extended-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6EC9" w14:textId="77777777" w:rsidR="005C7751" w:rsidRDefault="005C7751" w:rsidP="001D3131"/>
    <w:p w14:paraId="208EE771" w14:textId="77777777" w:rsidR="002547CC" w:rsidRDefault="000F00BF" w:rsidP="00572C7A">
      <w:pPr>
        <w:pStyle w:val="Title"/>
      </w:pPr>
      <w:r w:rsidRPr="003A5E47">
        <w:t>Medicines Optimisation</w:t>
      </w:r>
    </w:p>
    <w:p w14:paraId="2551AC66" w14:textId="77777777" w:rsidR="003A5E47" w:rsidRPr="003A5E47" w:rsidRDefault="003A5E47" w:rsidP="00572C7A">
      <w:pPr>
        <w:pStyle w:val="Title"/>
      </w:pPr>
    </w:p>
    <w:p w14:paraId="494F906F" w14:textId="07B14D79" w:rsidR="0020700E" w:rsidRDefault="000F00BF" w:rsidP="00572C7A">
      <w:pPr>
        <w:pStyle w:val="Title"/>
      </w:pPr>
      <w:r w:rsidRPr="0052604E">
        <w:t xml:space="preserve">Polypharmacy </w:t>
      </w:r>
      <w:r w:rsidR="002F195E">
        <w:t xml:space="preserve">Prescribing </w:t>
      </w:r>
      <w:r w:rsidR="002F195E" w:rsidRPr="00572C7A">
        <w:t>Comparators</w:t>
      </w:r>
      <w:r w:rsidR="009F0D7B">
        <w:t xml:space="preserve"> </w:t>
      </w:r>
    </w:p>
    <w:p w14:paraId="0C64C1D4" w14:textId="77777777" w:rsidR="00C726A3" w:rsidRDefault="00C726A3" w:rsidP="00572C7A">
      <w:pPr>
        <w:pStyle w:val="Title"/>
      </w:pPr>
    </w:p>
    <w:p w14:paraId="106C8AC8" w14:textId="0BBCCAE3" w:rsidR="0052604E" w:rsidRPr="0052604E" w:rsidRDefault="00C726A3" w:rsidP="00572C7A">
      <w:pPr>
        <w:pStyle w:val="Subtitle"/>
      </w:pPr>
      <w:r w:rsidRPr="002549F0">
        <w:t xml:space="preserve">Version: </w:t>
      </w:r>
      <w:r w:rsidR="005F15BC">
        <w:t>June</w:t>
      </w:r>
      <w:r w:rsidR="00BF6DC1" w:rsidRPr="002549F0">
        <w:t xml:space="preserve"> </w:t>
      </w:r>
      <w:r w:rsidR="0052604E" w:rsidRPr="002549F0">
        <w:t>20</w:t>
      </w:r>
      <w:r w:rsidR="00D60D38">
        <w:t>2</w:t>
      </w:r>
      <w:r w:rsidR="00600F56">
        <w:t>6</w:t>
      </w:r>
    </w:p>
    <w:p w14:paraId="4B20CC70" w14:textId="77777777" w:rsidR="005C7751" w:rsidRDefault="005C7751" w:rsidP="00572C7A">
      <w:pPr>
        <w:pStyle w:val="Subtitle"/>
      </w:pPr>
    </w:p>
    <w:p w14:paraId="444FCA11" w14:textId="77777777" w:rsidR="00C9175E" w:rsidRPr="0052604E" w:rsidRDefault="0052604E" w:rsidP="00572C7A">
      <w:pPr>
        <w:pStyle w:val="Subtitle"/>
      </w:pPr>
      <w:r w:rsidRPr="0052604E">
        <w:t>Comparator Descriptions and Specifications</w:t>
      </w:r>
      <w:r w:rsidR="002547CC" w:rsidRPr="0052604E">
        <w:t xml:space="preserve"> </w:t>
      </w:r>
    </w:p>
    <w:p w14:paraId="4407BECC" w14:textId="77777777" w:rsidR="00C93395" w:rsidRPr="001E4A72" w:rsidRDefault="004E3E0C" w:rsidP="00572C7A">
      <w:pPr>
        <w:pStyle w:val="Heading1"/>
      </w:pPr>
      <w:r>
        <w:rPr>
          <w:sz w:val="22"/>
        </w:rPr>
        <w:br w:type="page"/>
      </w:r>
      <w:bookmarkStart w:id="0" w:name="_Toc473297126"/>
      <w:bookmarkStart w:id="1" w:name="_Toc473635659"/>
      <w:bookmarkStart w:id="2" w:name="_Toc473636473"/>
      <w:bookmarkStart w:id="3" w:name="_Toc475027473"/>
      <w:bookmarkStart w:id="4" w:name="_Toc234231948"/>
      <w:r w:rsidR="00C93395" w:rsidRPr="001E4A72">
        <w:lastRenderedPageBreak/>
        <w:t>Contents</w:t>
      </w:r>
      <w:bookmarkEnd w:id="4"/>
    </w:p>
    <w:p w14:paraId="6B42701D" w14:textId="7DFF07C2" w:rsidR="009924F7" w:rsidRPr="009924F7" w:rsidRDefault="00BF6DC1">
      <w:pPr>
        <w:pStyle w:val="TOC1"/>
        <w:rPr>
          <w:rFonts w:ascii="Aptos" w:hAnsi="Aptos" w:cs="Times New Roman"/>
          <w:noProof/>
          <w:kern w:val="2"/>
          <w:szCs w:val="24"/>
          <w:lang w:eastAsia="en-GB"/>
        </w:rPr>
      </w:pPr>
      <w:r>
        <w:rPr>
          <w:szCs w:val="26"/>
        </w:rPr>
        <w:fldChar w:fldCharType="begin"/>
      </w:r>
      <w:r>
        <w:instrText xml:space="preserve"> TOC \o "1-2" \h \z \u </w:instrText>
      </w:r>
      <w:r>
        <w:rPr>
          <w:szCs w:val="26"/>
        </w:rPr>
        <w:fldChar w:fldCharType="separate"/>
      </w:r>
      <w:hyperlink w:anchor="_Toc234231948" w:history="1">
        <w:r w:rsidR="009924F7" w:rsidRPr="000E4755">
          <w:rPr>
            <w:rStyle w:val="Hyperlink"/>
            <w:noProof/>
          </w:rPr>
          <w:t>Contents</w:t>
        </w:r>
        <w:r w:rsidR="009924F7">
          <w:rPr>
            <w:noProof/>
            <w:webHidden/>
          </w:rPr>
          <w:tab/>
        </w:r>
        <w:r w:rsidR="009924F7">
          <w:rPr>
            <w:noProof/>
            <w:webHidden/>
          </w:rPr>
          <w:fldChar w:fldCharType="begin"/>
        </w:r>
        <w:r w:rsidR="009924F7">
          <w:rPr>
            <w:noProof/>
            <w:webHidden/>
          </w:rPr>
          <w:instrText xml:space="preserve"> PAGEREF _Toc234231948 \h </w:instrText>
        </w:r>
        <w:r w:rsidR="009924F7">
          <w:rPr>
            <w:noProof/>
            <w:webHidden/>
          </w:rPr>
        </w:r>
        <w:r w:rsidR="009924F7">
          <w:rPr>
            <w:noProof/>
            <w:webHidden/>
          </w:rPr>
          <w:fldChar w:fldCharType="separate"/>
        </w:r>
        <w:r w:rsidR="009924F7">
          <w:rPr>
            <w:noProof/>
            <w:webHidden/>
          </w:rPr>
          <w:t>2</w:t>
        </w:r>
        <w:r w:rsidR="009924F7">
          <w:rPr>
            <w:noProof/>
            <w:webHidden/>
          </w:rPr>
          <w:fldChar w:fldCharType="end"/>
        </w:r>
      </w:hyperlink>
    </w:p>
    <w:p w14:paraId="6ED40763" w14:textId="27D61EB3" w:rsidR="009924F7" w:rsidRPr="009924F7" w:rsidRDefault="009924F7">
      <w:pPr>
        <w:pStyle w:val="TOC1"/>
        <w:rPr>
          <w:rFonts w:ascii="Aptos" w:hAnsi="Aptos" w:cs="Times New Roman"/>
          <w:noProof/>
          <w:kern w:val="2"/>
          <w:szCs w:val="24"/>
          <w:lang w:eastAsia="en-GB"/>
        </w:rPr>
      </w:pPr>
      <w:hyperlink w:anchor="_Toc234231949" w:history="1">
        <w:r w:rsidRPr="000E4755">
          <w:rPr>
            <w:rStyle w:val="Hyperlink"/>
            <w:noProof/>
          </w:rPr>
          <w:t>Background</w:t>
        </w:r>
        <w:r>
          <w:rPr>
            <w:noProof/>
            <w:webHidden/>
          </w:rPr>
          <w:tab/>
        </w:r>
        <w:r>
          <w:rPr>
            <w:noProof/>
            <w:webHidden/>
          </w:rPr>
          <w:fldChar w:fldCharType="begin"/>
        </w:r>
        <w:r>
          <w:rPr>
            <w:noProof/>
            <w:webHidden/>
          </w:rPr>
          <w:instrText xml:space="preserve"> PAGEREF _Toc234231949 \h </w:instrText>
        </w:r>
        <w:r>
          <w:rPr>
            <w:noProof/>
            <w:webHidden/>
          </w:rPr>
        </w:r>
        <w:r>
          <w:rPr>
            <w:noProof/>
            <w:webHidden/>
          </w:rPr>
          <w:fldChar w:fldCharType="separate"/>
        </w:r>
        <w:r>
          <w:rPr>
            <w:noProof/>
            <w:webHidden/>
          </w:rPr>
          <w:t>4</w:t>
        </w:r>
        <w:r>
          <w:rPr>
            <w:noProof/>
            <w:webHidden/>
          </w:rPr>
          <w:fldChar w:fldCharType="end"/>
        </w:r>
      </w:hyperlink>
    </w:p>
    <w:p w14:paraId="572C4EBC" w14:textId="167AA1D2" w:rsidR="009924F7" w:rsidRPr="009924F7" w:rsidRDefault="009924F7">
      <w:pPr>
        <w:pStyle w:val="TOC1"/>
        <w:rPr>
          <w:rFonts w:ascii="Aptos" w:hAnsi="Aptos" w:cs="Times New Roman"/>
          <w:noProof/>
          <w:kern w:val="2"/>
          <w:szCs w:val="24"/>
          <w:lang w:eastAsia="en-GB"/>
        </w:rPr>
      </w:pPr>
      <w:hyperlink w:anchor="_Toc234231950" w:history="1">
        <w:r w:rsidRPr="000E4755">
          <w:rPr>
            <w:rStyle w:val="Hyperlink"/>
            <w:noProof/>
          </w:rPr>
          <w:t>Purpose</w:t>
        </w:r>
        <w:r>
          <w:rPr>
            <w:noProof/>
            <w:webHidden/>
          </w:rPr>
          <w:tab/>
        </w:r>
        <w:r>
          <w:rPr>
            <w:noProof/>
            <w:webHidden/>
          </w:rPr>
          <w:fldChar w:fldCharType="begin"/>
        </w:r>
        <w:r>
          <w:rPr>
            <w:noProof/>
            <w:webHidden/>
          </w:rPr>
          <w:instrText xml:space="preserve"> PAGEREF _Toc234231950 \h </w:instrText>
        </w:r>
        <w:r>
          <w:rPr>
            <w:noProof/>
            <w:webHidden/>
          </w:rPr>
        </w:r>
        <w:r>
          <w:rPr>
            <w:noProof/>
            <w:webHidden/>
          </w:rPr>
          <w:fldChar w:fldCharType="separate"/>
        </w:r>
        <w:r>
          <w:rPr>
            <w:noProof/>
            <w:webHidden/>
          </w:rPr>
          <w:t>4</w:t>
        </w:r>
        <w:r>
          <w:rPr>
            <w:noProof/>
            <w:webHidden/>
          </w:rPr>
          <w:fldChar w:fldCharType="end"/>
        </w:r>
      </w:hyperlink>
    </w:p>
    <w:p w14:paraId="59D5602E" w14:textId="55A6656B" w:rsidR="009924F7" w:rsidRPr="009924F7" w:rsidRDefault="009924F7">
      <w:pPr>
        <w:pStyle w:val="TOC1"/>
        <w:rPr>
          <w:rFonts w:ascii="Aptos" w:hAnsi="Aptos" w:cs="Times New Roman"/>
          <w:noProof/>
          <w:kern w:val="2"/>
          <w:szCs w:val="24"/>
          <w:lang w:eastAsia="en-GB"/>
        </w:rPr>
      </w:pPr>
      <w:hyperlink w:anchor="_Toc234231951" w:history="1">
        <w:r w:rsidRPr="000E4755">
          <w:rPr>
            <w:rStyle w:val="Hyperlink"/>
            <w:noProof/>
          </w:rPr>
          <w:t>Limitations</w:t>
        </w:r>
        <w:r>
          <w:rPr>
            <w:noProof/>
            <w:webHidden/>
          </w:rPr>
          <w:tab/>
        </w:r>
        <w:r>
          <w:rPr>
            <w:noProof/>
            <w:webHidden/>
          </w:rPr>
          <w:fldChar w:fldCharType="begin"/>
        </w:r>
        <w:r>
          <w:rPr>
            <w:noProof/>
            <w:webHidden/>
          </w:rPr>
          <w:instrText xml:space="preserve"> PAGEREF _Toc234231951 \h </w:instrText>
        </w:r>
        <w:r>
          <w:rPr>
            <w:noProof/>
            <w:webHidden/>
          </w:rPr>
        </w:r>
        <w:r>
          <w:rPr>
            <w:noProof/>
            <w:webHidden/>
          </w:rPr>
          <w:fldChar w:fldCharType="separate"/>
        </w:r>
        <w:r>
          <w:rPr>
            <w:noProof/>
            <w:webHidden/>
          </w:rPr>
          <w:t>5</w:t>
        </w:r>
        <w:r>
          <w:rPr>
            <w:noProof/>
            <w:webHidden/>
          </w:rPr>
          <w:fldChar w:fldCharType="end"/>
        </w:r>
      </w:hyperlink>
    </w:p>
    <w:p w14:paraId="69D7B567" w14:textId="33C423A2" w:rsidR="009924F7" w:rsidRPr="009924F7" w:rsidRDefault="009924F7">
      <w:pPr>
        <w:pStyle w:val="TOC1"/>
        <w:rPr>
          <w:rFonts w:ascii="Aptos" w:hAnsi="Aptos" w:cs="Times New Roman"/>
          <w:noProof/>
          <w:kern w:val="2"/>
          <w:szCs w:val="24"/>
          <w:lang w:eastAsia="en-GB"/>
        </w:rPr>
      </w:pPr>
      <w:hyperlink w:anchor="_Toc234231952" w:history="1">
        <w:r w:rsidRPr="000E4755">
          <w:rPr>
            <w:rStyle w:val="Hyperlink"/>
            <w:noProof/>
          </w:rPr>
          <w:t>The Prescribing data used in these comparators:</w:t>
        </w:r>
        <w:r>
          <w:rPr>
            <w:noProof/>
            <w:webHidden/>
          </w:rPr>
          <w:tab/>
        </w:r>
        <w:r>
          <w:rPr>
            <w:noProof/>
            <w:webHidden/>
          </w:rPr>
          <w:fldChar w:fldCharType="begin"/>
        </w:r>
        <w:r>
          <w:rPr>
            <w:noProof/>
            <w:webHidden/>
          </w:rPr>
          <w:instrText xml:space="preserve"> PAGEREF _Toc234231952 \h </w:instrText>
        </w:r>
        <w:r>
          <w:rPr>
            <w:noProof/>
            <w:webHidden/>
          </w:rPr>
        </w:r>
        <w:r>
          <w:rPr>
            <w:noProof/>
            <w:webHidden/>
          </w:rPr>
          <w:fldChar w:fldCharType="separate"/>
        </w:r>
        <w:r>
          <w:rPr>
            <w:noProof/>
            <w:webHidden/>
          </w:rPr>
          <w:t>6</w:t>
        </w:r>
        <w:r>
          <w:rPr>
            <w:noProof/>
            <w:webHidden/>
          </w:rPr>
          <w:fldChar w:fldCharType="end"/>
        </w:r>
      </w:hyperlink>
    </w:p>
    <w:p w14:paraId="13571174" w14:textId="06F318BD" w:rsidR="009924F7" w:rsidRPr="009924F7" w:rsidRDefault="009924F7">
      <w:pPr>
        <w:pStyle w:val="TOC1"/>
        <w:rPr>
          <w:rFonts w:ascii="Aptos" w:hAnsi="Aptos" w:cs="Times New Roman"/>
          <w:noProof/>
          <w:kern w:val="2"/>
          <w:szCs w:val="24"/>
          <w:lang w:eastAsia="en-GB"/>
        </w:rPr>
      </w:pPr>
      <w:hyperlink w:anchor="_Toc234231953" w:history="1">
        <w:r w:rsidRPr="000E4755">
          <w:rPr>
            <w:rStyle w:val="Hyperlink"/>
            <w:noProof/>
          </w:rPr>
          <w:t>How to use these comparators</w:t>
        </w:r>
        <w:r>
          <w:rPr>
            <w:noProof/>
            <w:webHidden/>
          </w:rPr>
          <w:tab/>
        </w:r>
        <w:r>
          <w:rPr>
            <w:noProof/>
            <w:webHidden/>
          </w:rPr>
          <w:fldChar w:fldCharType="begin"/>
        </w:r>
        <w:r>
          <w:rPr>
            <w:noProof/>
            <w:webHidden/>
          </w:rPr>
          <w:instrText xml:space="preserve"> PAGEREF _Toc234231953 \h </w:instrText>
        </w:r>
        <w:r>
          <w:rPr>
            <w:noProof/>
            <w:webHidden/>
          </w:rPr>
        </w:r>
        <w:r>
          <w:rPr>
            <w:noProof/>
            <w:webHidden/>
          </w:rPr>
          <w:fldChar w:fldCharType="separate"/>
        </w:r>
        <w:r>
          <w:rPr>
            <w:noProof/>
            <w:webHidden/>
          </w:rPr>
          <w:t>8</w:t>
        </w:r>
        <w:r>
          <w:rPr>
            <w:noProof/>
            <w:webHidden/>
          </w:rPr>
          <w:fldChar w:fldCharType="end"/>
        </w:r>
      </w:hyperlink>
    </w:p>
    <w:p w14:paraId="0E454B3D" w14:textId="677E3ED9" w:rsidR="009924F7" w:rsidRPr="009924F7" w:rsidRDefault="009924F7">
      <w:pPr>
        <w:pStyle w:val="TOC1"/>
        <w:rPr>
          <w:rFonts w:ascii="Aptos" w:hAnsi="Aptos" w:cs="Times New Roman"/>
          <w:noProof/>
          <w:kern w:val="2"/>
          <w:szCs w:val="24"/>
          <w:lang w:eastAsia="en-GB"/>
        </w:rPr>
      </w:pPr>
      <w:hyperlink w:anchor="_Toc234231954" w:history="1">
        <w:r w:rsidRPr="000E4755">
          <w:rPr>
            <w:rStyle w:val="Hyperlink"/>
            <w:rFonts w:eastAsia="Calibri"/>
            <w:noProof/>
          </w:rPr>
          <w:t>Definitions of polypharmacy</w:t>
        </w:r>
        <w:r>
          <w:rPr>
            <w:noProof/>
            <w:webHidden/>
          </w:rPr>
          <w:tab/>
        </w:r>
        <w:r>
          <w:rPr>
            <w:noProof/>
            <w:webHidden/>
          </w:rPr>
          <w:fldChar w:fldCharType="begin"/>
        </w:r>
        <w:r>
          <w:rPr>
            <w:noProof/>
            <w:webHidden/>
          </w:rPr>
          <w:instrText xml:space="preserve"> PAGEREF _Toc234231954 \h </w:instrText>
        </w:r>
        <w:r>
          <w:rPr>
            <w:noProof/>
            <w:webHidden/>
          </w:rPr>
        </w:r>
        <w:r>
          <w:rPr>
            <w:noProof/>
            <w:webHidden/>
          </w:rPr>
          <w:fldChar w:fldCharType="separate"/>
        </w:r>
        <w:r>
          <w:rPr>
            <w:noProof/>
            <w:webHidden/>
          </w:rPr>
          <w:t>8</w:t>
        </w:r>
        <w:r>
          <w:rPr>
            <w:noProof/>
            <w:webHidden/>
          </w:rPr>
          <w:fldChar w:fldCharType="end"/>
        </w:r>
      </w:hyperlink>
    </w:p>
    <w:p w14:paraId="13640A33" w14:textId="70FE4F2F" w:rsidR="009924F7" w:rsidRPr="009924F7" w:rsidRDefault="009924F7">
      <w:pPr>
        <w:pStyle w:val="TOC1"/>
        <w:rPr>
          <w:rFonts w:ascii="Aptos" w:hAnsi="Aptos" w:cs="Times New Roman"/>
          <w:noProof/>
          <w:kern w:val="2"/>
          <w:szCs w:val="24"/>
          <w:lang w:eastAsia="en-GB"/>
        </w:rPr>
      </w:pPr>
      <w:hyperlink w:anchor="_Toc234231955" w:history="1">
        <w:r w:rsidRPr="000E4755">
          <w:rPr>
            <w:rStyle w:val="Hyperlink"/>
            <w:rFonts w:eastAsia="Calibri"/>
            <w:noProof/>
          </w:rPr>
          <w:t>Contextual Content</w:t>
        </w:r>
        <w:r>
          <w:rPr>
            <w:noProof/>
            <w:webHidden/>
          </w:rPr>
          <w:tab/>
        </w:r>
        <w:r>
          <w:rPr>
            <w:noProof/>
            <w:webHidden/>
          </w:rPr>
          <w:fldChar w:fldCharType="begin"/>
        </w:r>
        <w:r>
          <w:rPr>
            <w:noProof/>
            <w:webHidden/>
          </w:rPr>
          <w:instrText xml:space="preserve"> PAGEREF _Toc234231955 \h </w:instrText>
        </w:r>
        <w:r>
          <w:rPr>
            <w:noProof/>
            <w:webHidden/>
          </w:rPr>
        </w:r>
        <w:r>
          <w:rPr>
            <w:noProof/>
            <w:webHidden/>
          </w:rPr>
          <w:fldChar w:fldCharType="separate"/>
        </w:r>
        <w:r>
          <w:rPr>
            <w:noProof/>
            <w:webHidden/>
          </w:rPr>
          <w:t>8</w:t>
        </w:r>
        <w:r>
          <w:rPr>
            <w:noProof/>
            <w:webHidden/>
          </w:rPr>
          <w:fldChar w:fldCharType="end"/>
        </w:r>
      </w:hyperlink>
    </w:p>
    <w:p w14:paraId="7FE8125A" w14:textId="53990032" w:rsidR="009924F7" w:rsidRPr="009924F7" w:rsidRDefault="009924F7">
      <w:pPr>
        <w:pStyle w:val="TOC1"/>
        <w:rPr>
          <w:rFonts w:ascii="Aptos" w:hAnsi="Aptos" w:cs="Times New Roman"/>
          <w:noProof/>
          <w:kern w:val="2"/>
          <w:szCs w:val="24"/>
          <w:lang w:eastAsia="en-GB"/>
        </w:rPr>
      </w:pPr>
      <w:hyperlink w:anchor="_Toc234231956" w:history="1">
        <w:r w:rsidRPr="000E4755">
          <w:rPr>
            <w:rStyle w:val="Hyperlink"/>
            <w:rFonts w:eastAsia="Calibri"/>
            <w:noProof/>
          </w:rPr>
          <w:t>Data Source</w:t>
        </w:r>
        <w:r>
          <w:rPr>
            <w:noProof/>
            <w:webHidden/>
          </w:rPr>
          <w:tab/>
        </w:r>
        <w:r>
          <w:rPr>
            <w:noProof/>
            <w:webHidden/>
          </w:rPr>
          <w:fldChar w:fldCharType="begin"/>
        </w:r>
        <w:r>
          <w:rPr>
            <w:noProof/>
            <w:webHidden/>
          </w:rPr>
          <w:instrText xml:space="preserve"> PAGEREF _Toc234231956 \h </w:instrText>
        </w:r>
        <w:r>
          <w:rPr>
            <w:noProof/>
            <w:webHidden/>
          </w:rPr>
        </w:r>
        <w:r>
          <w:rPr>
            <w:noProof/>
            <w:webHidden/>
          </w:rPr>
          <w:fldChar w:fldCharType="separate"/>
        </w:r>
        <w:r>
          <w:rPr>
            <w:noProof/>
            <w:webHidden/>
          </w:rPr>
          <w:t>9</w:t>
        </w:r>
        <w:r>
          <w:rPr>
            <w:noProof/>
            <w:webHidden/>
          </w:rPr>
          <w:fldChar w:fldCharType="end"/>
        </w:r>
      </w:hyperlink>
    </w:p>
    <w:p w14:paraId="05150002" w14:textId="0ED88D95" w:rsidR="009924F7" w:rsidRPr="009924F7" w:rsidRDefault="009924F7">
      <w:pPr>
        <w:pStyle w:val="TOC1"/>
        <w:rPr>
          <w:rFonts w:ascii="Aptos" w:hAnsi="Aptos" w:cs="Times New Roman"/>
          <w:noProof/>
          <w:kern w:val="2"/>
          <w:szCs w:val="24"/>
          <w:lang w:eastAsia="en-GB"/>
        </w:rPr>
      </w:pPr>
      <w:hyperlink w:anchor="_Toc234231957" w:history="1">
        <w:r w:rsidRPr="000E4755">
          <w:rPr>
            <w:rStyle w:val="Hyperlink"/>
            <w:noProof/>
          </w:rPr>
          <w:t>Data quality assurance</w:t>
        </w:r>
        <w:r>
          <w:rPr>
            <w:noProof/>
            <w:webHidden/>
          </w:rPr>
          <w:tab/>
        </w:r>
        <w:r>
          <w:rPr>
            <w:noProof/>
            <w:webHidden/>
          </w:rPr>
          <w:fldChar w:fldCharType="begin"/>
        </w:r>
        <w:r>
          <w:rPr>
            <w:noProof/>
            <w:webHidden/>
          </w:rPr>
          <w:instrText xml:space="preserve"> PAGEREF _Toc234231957 \h </w:instrText>
        </w:r>
        <w:r>
          <w:rPr>
            <w:noProof/>
            <w:webHidden/>
          </w:rPr>
        </w:r>
        <w:r>
          <w:rPr>
            <w:noProof/>
            <w:webHidden/>
          </w:rPr>
          <w:fldChar w:fldCharType="separate"/>
        </w:r>
        <w:r>
          <w:rPr>
            <w:noProof/>
            <w:webHidden/>
          </w:rPr>
          <w:t>9</w:t>
        </w:r>
        <w:r>
          <w:rPr>
            <w:noProof/>
            <w:webHidden/>
          </w:rPr>
          <w:fldChar w:fldCharType="end"/>
        </w:r>
      </w:hyperlink>
    </w:p>
    <w:p w14:paraId="11AE0334" w14:textId="64B9AF78" w:rsidR="009924F7" w:rsidRPr="009924F7" w:rsidRDefault="009924F7">
      <w:pPr>
        <w:pStyle w:val="TOC1"/>
        <w:rPr>
          <w:rFonts w:ascii="Aptos" w:hAnsi="Aptos" w:cs="Times New Roman"/>
          <w:noProof/>
          <w:kern w:val="2"/>
          <w:szCs w:val="24"/>
          <w:lang w:eastAsia="en-GB"/>
        </w:rPr>
      </w:pPr>
      <w:hyperlink w:anchor="_Toc234231958" w:history="1">
        <w:r w:rsidRPr="000E4755">
          <w:rPr>
            <w:rStyle w:val="Hyperlink"/>
            <w:rFonts w:eastAsia="Calibri"/>
            <w:noProof/>
          </w:rPr>
          <w:t xml:space="preserve">Polypharmacy Comparator </w:t>
        </w:r>
        <w:r w:rsidRPr="000E4755">
          <w:rPr>
            <w:rStyle w:val="Hyperlink"/>
            <w:noProof/>
          </w:rPr>
          <w:t>Specifications</w:t>
        </w:r>
        <w:r>
          <w:rPr>
            <w:noProof/>
            <w:webHidden/>
          </w:rPr>
          <w:tab/>
        </w:r>
        <w:r>
          <w:rPr>
            <w:noProof/>
            <w:webHidden/>
          </w:rPr>
          <w:fldChar w:fldCharType="begin"/>
        </w:r>
        <w:r>
          <w:rPr>
            <w:noProof/>
            <w:webHidden/>
          </w:rPr>
          <w:instrText xml:space="preserve"> PAGEREF _Toc234231958 \h </w:instrText>
        </w:r>
        <w:r>
          <w:rPr>
            <w:noProof/>
            <w:webHidden/>
          </w:rPr>
        </w:r>
        <w:r>
          <w:rPr>
            <w:noProof/>
            <w:webHidden/>
          </w:rPr>
          <w:fldChar w:fldCharType="separate"/>
        </w:r>
        <w:r>
          <w:rPr>
            <w:noProof/>
            <w:webHidden/>
          </w:rPr>
          <w:t>10</w:t>
        </w:r>
        <w:r>
          <w:rPr>
            <w:noProof/>
            <w:webHidden/>
          </w:rPr>
          <w:fldChar w:fldCharType="end"/>
        </w:r>
      </w:hyperlink>
    </w:p>
    <w:p w14:paraId="5BBD9763" w14:textId="4B082127" w:rsidR="009924F7" w:rsidRPr="009924F7" w:rsidRDefault="009924F7">
      <w:pPr>
        <w:pStyle w:val="TOC2"/>
        <w:rPr>
          <w:rFonts w:ascii="Aptos" w:hAnsi="Aptos" w:cs="Times New Roman"/>
          <w:noProof/>
          <w:kern w:val="2"/>
          <w:lang w:eastAsia="en-GB"/>
        </w:rPr>
      </w:pPr>
      <w:hyperlink w:anchor="_Toc234231959" w:history="1">
        <w:r w:rsidRPr="000E4755">
          <w:rPr>
            <w:rStyle w:val="Hyperlink"/>
            <w:noProof/>
          </w:rPr>
          <w:t>Average number of unique medicines</w:t>
        </w:r>
        <w:r>
          <w:rPr>
            <w:noProof/>
            <w:webHidden/>
          </w:rPr>
          <w:tab/>
        </w:r>
        <w:r>
          <w:rPr>
            <w:noProof/>
            <w:webHidden/>
          </w:rPr>
          <w:fldChar w:fldCharType="begin"/>
        </w:r>
        <w:r>
          <w:rPr>
            <w:noProof/>
            <w:webHidden/>
          </w:rPr>
          <w:instrText xml:space="preserve"> PAGEREF _Toc234231959 \h </w:instrText>
        </w:r>
        <w:r>
          <w:rPr>
            <w:noProof/>
            <w:webHidden/>
          </w:rPr>
        </w:r>
        <w:r>
          <w:rPr>
            <w:noProof/>
            <w:webHidden/>
          </w:rPr>
          <w:fldChar w:fldCharType="separate"/>
        </w:r>
        <w:r>
          <w:rPr>
            <w:noProof/>
            <w:webHidden/>
          </w:rPr>
          <w:t>10</w:t>
        </w:r>
        <w:r>
          <w:rPr>
            <w:noProof/>
            <w:webHidden/>
          </w:rPr>
          <w:fldChar w:fldCharType="end"/>
        </w:r>
      </w:hyperlink>
    </w:p>
    <w:p w14:paraId="1365A555" w14:textId="40A68A07" w:rsidR="009924F7" w:rsidRPr="009924F7" w:rsidRDefault="009924F7">
      <w:pPr>
        <w:pStyle w:val="TOC2"/>
        <w:rPr>
          <w:rFonts w:ascii="Aptos" w:hAnsi="Aptos" w:cs="Times New Roman"/>
          <w:noProof/>
          <w:kern w:val="2"/>
          <w:lang w:eastAsia="en-GB"/>
        </w:rPr>
      </w:pPr>
      <w:hyperlink w:anchor="_Toc234231960" w:history="1">
        <w:r w:rsidRPr="000E4755">
          <w:rPr>
            <w:rStyle w:val="Hyperlink"/>
            <w:noProof/>
          </w:rPr>
          <w:t>Multiple prescribing of anticoagulants and antiplatelet medicines</w:t>
        </w:r>
        <w:r>
          <w:rPr>
            <w:noProof/>
            <w:webHidden/>
          </w:rPr>
          <w:tab/>
        </w:r>
        <w:r>
          <w:rPr>
            <w:noProof/>
            <w:webHidden/>
          </w:rPr>
          <w:fldChar w:fldCharType="begin"/>
        </w:r>
        <w:r>
          <w:rPr>
            <w:noProof/>
            <w:webHidden/>
          </w:rPr>
          <w:instrText xml:space="preserve"> PAGEREF _Toc234231960 \h </w:instrText>
        </w:r>
        <w:r>
          <w:rPr>
            <w:noProof/>
            <w:webHidden/>
          </w:rPr>
        </w:r>
        <w:r>
          <w:rPr>
            <w:noProof/>
            <w:webHidden/>
          </w:rPr>
          <w:fldChar w:fldCharType="separate"/>
        </w:r>
        <w:r>
          <w:rPr>
            <w:noProof/>
            <w:webHidden/>
          </w:rPr>
          <w:t>11</w:t>
        </w:r>
        <w:r>
          <w:rPr>
            <w:noProof/>
            <w:webHidden/>
          </w:rPr>
          <w:fldChar w:fldCharType="end"/>
        </w:r>
      </w:hyperlink>
    </w:p>
    <w:p w14:paraId="3D8464BA" w14:textId="2B2A1233" w:rsidR="009924F7" w:rsidRPr="009924F7" w:rsidRDefault="009924F7">
      <w:pPr>
        <w:pStyle w:val="TOC2"/>
        <w:rPr>
          <w:rFonts w:ascii="Aptos" w:hAnsi="Aptos" w:cs="Times New Roman"/>
          <w:noProof/>
          <w:kern w:val="2"/>
          <w:lang w:eastAsia="en-GB"/>
        </w:rPr>
      </w:pPr>
      <w:hyperlink w:anchor="_Toc234231961" w:history="1">
        <w:r w:rsidRPr="000E4755">
          <w:rPr>
            <w:rStyle w:val="Hyperlink"/>
            <w:noProof/>
          </w:rPr>
          <w:t>Percentage of patients prescribed 8/10/15/20 or more unique medicines</w:t>
        </w:r>
        <w:r>
          <w:rPr>
            <w:noProof/>
            <w:webHidden/>
          </w:rPr>
          <w:tab/>
        </w:r>
        <w:r>
          <w:rPr>
            <w:noProof/>
            <w:webHidden/>
          </w:rPr>
          <w:fldChar w:fldCharType="begin"/>
        </w:r>
        <w:r>
          <w:rPr>
            <w:noProof/>
            <w:webHidden/>
          </w:rPr>
          <w:instrText xml:space="preserve"> PAGEREF _Toc234231961 \h </w:instrText>
        </w:r>
        <w:r>
          <w:rPr>
            <w:noProof/>
            <w:webHidden/>
          </w:rPr>
        </w:r>
        <w:r>
          <w:rPr>
            <w:noProof/>
            <w:webHidden/>
          </w:rPr>
          <w:fldChar w:fldCharType="separate"/>
        </w:r>
        <w:r>
          <w:rPr>
            <w:noProof/>
            <w:webHidden/>
          </w:rPr>
          <w:t>13</w:t>
        </w:r>
        <w:r>
          <w:rPr>
            <w:noProof/>
            <w:webHidden/>
          </w:rPr>
          <w:fldChar w:fldCharType="end"/>
        </w:r>
      </w:hyperlink>
    </w:p>
    <w:p w14:paraId="1B190BEA" w14:textId="5A205786" w:rsidR="009924F7" w:rsidRPr="009924F7" w:rsidRDefault="009924F7">
      <w:pPr>
        <w:pStyle w:val="TOC2"/>
        <w:rPr>
          <w:rFonts w:ascii="Aptos" w:hAnsi="Aptos" w:cs="Times New Roman"/>
          <w:noProof/>
          <w:kern w:val="2"/>
          <w:lang w:eastAsia="en-GB"/>
        </w:rPr>
      </w:pPr>
      <w:hyperlink w:anchor="_Toc234231962" w:history="1">
        <w:r w:rsidRPr="000E4755">
          <w:rPr>
            <w:rStyle w:val="Hyperlink"/>
            <w:noProof/>
          </w:rPr>
          <w:t>Patients prescribed a NSAID and one or more other medicines likely to cause kidney injury (DAMN medicines)</w:t>
        </w:r>
        <w:r>
          <w:rPr>
            <w:noProof/>
            <w:webHidden/>
          </w:rPr>
          <w:tab/>
        </w:r>
        <w:r>
          <w:rPr>
            <w:noProof/>
            <w:webHidden/>
          </w:rPr>
          <w:fldChar w:fldCharType="begin"/>
        </w:r>
        <w:r>
          <w:rPr>
            <w:noProof/>
            <w:webHidden/>
          </w:rPr>
          <w:instrText xml:space="preserve"> PAGEREF _Toc234231962 \h </w:instrText>
        </w:r>
        <w:r>
          <w:rPr>
            <w:noProof/>
            <w:webHidden/>
          </w:rPr>
        </w:r>
        <w:r>
          <w:rPr>
            <w:noProof/>
            <w:webHidden/>
          </w:rPr>
          <w:fldChar w:fldCharType="separate"/>
        </w:r>
        <w:r>
          <w:rPr>
            <w:noProof/>
            <w:webHidden/>
          </w:rPr>
          <w:t>15</w:t>
        </w:r>
        <w:r>
          <w:rPr>
            <w:noProof/>
            <w:webHidden/>
          </w:rPr>
          <w:fldChar w:fldCharType="end"/>
        </w:r>
      </w:hyperlink>
    </w:p>
    <w:p w14:paraId="2AEAC968" w14:textId="65D9A72F" w:rsidR="009924F7" w:rsidRPr="009924F7" w:rsidRDefault="009924F7">
      <w:pPr>
        <w:pStyle w:val="TOC2"/>
        <w:rPr>
          <w:rFonts w:ascii="Aptos" w:hAnsi="Aptos" w:cs="Times New Roman"/>
          <w:noProof/>
          <w:kern w:val="2"/>
          <w:lang w:eastAsia="en-GB"/>
        </w:rPr>
      </w:pPr>
      <w:hyperlink w:anchor="_Toc234231963" w:history="1">
        <w:r w:rsidRPr="000E4755">
          <w:rPr>
            <w:rStyle w:val="Hyperlink"/>
            <w:noProof/>
          </w:rPr>
          <w:t>Patients prescribed two or more unique medicines likely to cause kidney injury (DAMN medicines)</w:t>
        </w:r>
        <w:r>
          <w:rPr>
            <w:noProof/>
            <w:webHidden/>
          </w:rPr>
          <w:tab/>
        </w:r>
        <w:r>
          <w:rPr>
            <w:noProof/>
            <w:webHidden/>
          </w:rPr>
          <w:fldChar w:fldCharType="begin"/>
        </w:r>
        <w:r>
          <w:rPr>
            <w:noProof/>
            <w:webHidden/>
          </w:rPr>
          <w:instrText xml:space="preserve"> PAGEREF _Toc234231963 \h </w:instrText>
        </w:r>
        <w:r>
          <w:rPr>
            <w:noProof/>
            <w:webHidden/>
          </w:rPr>
        </w:r>
        <w:r>
          <w:rPr>
            <w:noProof/>
            <w:webHidden/>
          </w:rPr>
          <w:fldChar w:fldCharType="separate"/>
        </w:r>
        <w:r>
          <w:rPr>
            <w:noProof/>
            <w:webHidden/>
          </w:rPr>
          <w:t>17</w:t>
        </w:r>
        <w:r>
          <w:rPr>
            <w:noProof/>
            <w:webHidden/>
          </w:rPr>
          <w:fldChar w:fldCharType="end"/>
        </w:r>
      </w:hyperlink>
    </w:p>
    <w:p w14:paraId="0C3D5381" w14:textId="2B1F7FC1" w:rsidR="009924F7" w:rsidRPr="009924F7" w:rsidRDefault="009924F7">
      <w:pPr>
        <w:pStyle w:val="TOC2"/>
        <w:rPr>
          <w:rFonts w:ascii="Aptos" w:hAnsi="Aptos" w:cs="Times New Roman"/>
          <w:noProof/>
          <w:kern w:val="2"/>
          <w:lang w:eastAsia="en-GB"/>
        </w:rPr>
      </w:pPr>
      <w:hyperlink w:anchor="_Toc234231964" w:history="1">
        <w:r w:rsidRPr="000E4755">
          <w:rPr>
            <w:rStyle w:val="Hyperlink"/>
            <w:noProof/>
          </w:rPr>
          <w:t>Patients prescribed 2, 3 or 4 (or more) medicines with moderate to high anticholinergic burden</w:t>
        </w:r>
        <w:r>
          <w:rPr>
            <w:noProof/>
            <w:webHidden/>
          </w:rPr>
          <w:tab/>
        </w:r>
        <w:r>
          <w:rPr>
            <w:noProof/>
            <w:webHidden/>
          </w:rPr>
          <w:fldChar w:fldCharType="begin"/>
        </w:r>
        <w:r>
          <w:rPr>
            <w:noProof/>
            <w:webHidden/>
          </w:rPr>
          <w:instrText xml:space="preserve"> PAGEREF _Toc234231964 \h </w:instrText>
        </w:r>
        <w:r>
          <w:rPr>
            <w:noProof/>
            <w:webHidden/>
          </w:rPr>
        </w:r>
        <w:r>
          <w:rPr>
            <w:noProof/>
            <w:webHidden/>
          </w:rPr>
          <w:fldChar w:fldCharType="separate"/>
        </w:r>
        <w:r>
          <w:rPr>
            <w:noProof/>
            <w:webHidden/>
          </w:rPr>
          <w:t>19</w:t>
        </w:r>
        <w:r>
          <w:rPr>
            <w:noProof/>
            <w:webHidden/>
          </w:rPr>
          <w:fldChar w:fldCharType="end"/>
        </w:r>
      </w:hyperlink>
    </w:p>
    <w:p w14:paraId="27B94299" w14:textId="05767FBA" w:rsidR="009924F7" w:rsidRPr="009924F7" w:rsidRDefault="009924F7">
      <w:pPr>
        <w:pStyle w:val="TOC2"/>
        <w:rPr>
          <w:rFonts w:ascii="Aptos" w:hAnsi="Aptos" w:cs="Times New Roman"/>
          <w:noProof/>
          <w:kern w:val="2"/>
          <w:lang w:eastAsia="en-GB"/>
        </w:rPr>
      </w:pPr>
      <w:hyperlink w:anchor="_Toc234231965" w:history="1">
        <w:r w:rsidRPr="000E4755">
          <w:rPr>
            <w:rStyle w:val="Hyperlink"/>
            <w:noProof/>
          </w:rPr>
          <w:t>Patients prescribed 4, 5 or 6 (or more) medicines with low to moderate anticholinergic burden</w:t>
        </w:r>
        <w:r>
          <w:rPr>
            <w:noProof/>
            <w:webHidden/>
          </w:rPr>
          <w:tab/>
        </w:r>
        <w:r>
          <w:rPr>
            <w:noProof/>
            <w:webHidden/>
          </w:rPr>
          <w:fldChar w:fldCharType="begin"/>
        </w:r>
        <w:r>
          <w:rPr>
            <w:noProof/>
            <w:webHidden/>
          </w:rPr>
          <w:instrText xml:space="preserve"> PAGEREF _Toc234231965 \h </w:instrText>
        </w:r>
        <w:r>
          <w:rPr>
            <w:noProof/>
            <w:webHidden/>
          </w:rPr>
        </w:r>
        <w:r>
          <w:rPr>
            <w:noProof/>
            <w:webHidden/>
          </w:rPr>
          <w:fldChar w:fldCharType="separate"/>
        </w:r>
        <w:r>
          <w:rPr>
            <w:noProof/>
            <w:webHidden/>
          </w:rPr>
          <w:t>22</w:t>
        </w:r>
        <w:r>
          <w:rPr>
            <w:noProof/>
            <w:webHidden/>
          </w:rPr>
          <w:fldChar w:fldCharType="end"/>
        </w:r>
      </w:hyperlink>
    </w:p>
    <w:p w14:paraId="093CAD0B" w14:textId="0775E47F" w:rsidR="009924F7" w:rsidRPr="009924F7" w:rsidRDefault="009924F7">
      <w:pPr>
        <w:pStyle w:val="TOC2"/>
        <w:rPr>
          <w:rFonts w:ascii="Aptos" w:hAnsi="Aptos" w:cs="Times New Roman"/>
          <w:noProof/>
          <w:kern w:val="2"/>
          <w:lang w:eastAsia="en-GB"/>
        </w:rPr>
      </w:pPr>
      <w:hyperlink w:anchor="_Toc234231966" w:history="1">
        <w:r w:rsidRPr="000E4755">
          <w:rPr>
            <w:rStyle w:val="Hyperlink"/>
            <w:noProof/>
          </w:rPr>
          <w:t>Patients concurrently prescribed multiple analgesic medicines.</w:t>
        </w:r>
        <w:r>
          <w:rPr>
            <w:noProof/>
            <w:webHidden/>
          </w:rPr>
          <w:tab/>
        </w:r>
        <w:r>
          <w:rPr>
            <w:noProof/>
            <w:webHidden/>
          </w:rPr>
          <w:fldChar w:fldCharType="begin"/>
        </w:r>
        <w:r>
          <w:rPr>
            <w:noProof/>
            <w:webHidden/>
          </w:rPr>
          <w:instrText xml:space="preserve"> PAGEREF _Toc234231966 \h </w:instrText>
        </w:r>
        <w:r>
          <w:rPr>
            <w:noProof/>
            <w:webHidden/>
          </w:rPr>
        </w:r>
        <w:r>
          <w:rPr>
            <w:noProof/>
            <w:webHidden/>
          </w:rPr>
          <w:fldChar w:fldCharType="separate"/>
        </w:r>
        <w:r>
          <w:rPr>
            <w:noProof/>
            <w:webHidden/>
          </w:rPr>
          <w:t>25</w:t>
        </w:r>
        <w:r>
          <w:rPr>
            <w:noProof/>
            <w:webHidden/>
          </w:rPr>
          <w:fldChar w:fldCharType="end"/>
        </w:r>
      </w:hyperlink>
    </w:p>
    <w:p w14:paraId="77C74114" w14:textId="2ED52EBD" w:rsidR="009924F7" w:rsidRPr="009924F7" w:rsidRDefault="009924F7">
      <w:pPr>
        <w:pStyle w:val="TOC2"/>
        <w:rPr>
          <w:rFonts w:ascii="Aptos" w:hAnsi="Aptos" w:cs="Times New Roman"/>
          <w:noProof/>
          <w:kern w:val="2"/>
          <w:lang w:eastAsia="en-GB"/>
        </w:rPr>
      </w:pPr>
      <w:hyperlink w:anchor="_Toc234231967" w:history="1">
        <w:r w:rsidRPr="000E4755">
          <w:rPr>
            <w:rStyle w:val="Hyperlink"/>
            <w:noProof/>
          </w:rPr>
          <w:t>Patients prescribed 2, 3 or 4 (or more) medicines that can have an unintended hypotensive effect.</w:t>
        </w:r>
        <w:r>
          <w:rPr>
            <w:noProof/>
            <w:webHidden/>
          </w:rPr>
          <w:tab/>
        </w:r>
        <w:r>
          <w:rPr>
            <w:noProof/>
            <w:webHidden/>
          </w:rPr>
          <w:fldChar w:fldCharType="begin"/>
        </w:r>
        <w:r>
          <w:rPr>
            <w:noProof/>
            <w:webHidden/>
          </w:rPr>
          <w:instrText xml:space="preserve"> PAGEREF _Toc234231967 \h </w:instrText>
        </w:r>
        <w:r>
          <w:rPr>
            <w:noProof/>
            <w:webHidden/>
          </w:rPr>
        </w:r>
        <w:r>
          <w:rPr>
            <w:noProof/>
            <w:webHidden/>
          </w:rPr>
          <w:fldChar w:fldCharType="separate"/>
        </w:r>
        <w:r>
          <w:rPr>
            <w:noProof/>
            <w:webHidden/>
          </w:rPr>
          <w:t>26</w:t>
        </w:r>
        <w:r>
          <w:rPr>
            <w:noProof/>
            <w:webHidden/>
          </w:rPr>
          <w:fldChar w:fldCharType="end"/>
        </w:r>
      </w:hyperlink>
    </w:p>
    <w:p w14:paraId="3218A469" w14:textId="0F86DF17" w:rsidR="009924F7" w:rsidRPr="009924F7" w:rsidRDefault="009924F7">
      <w:pPr>
        <w:pStyle w:val="TOC2"/>
        <w:rPr>
          <w:rFonts w:ascii="Aptos" w:hAnsi="Aptos" w:cs="Times New Roman"/>
          <w:noProof/>
          <w:kern w:val="2"/>
          <w:lang w:eastAsia="en-GB"/>
        </w:rPr>
      </w:pPr>
      <w:hyperlink w:anchor="_Toc234231968" w:history="1">
        <w:r w:rsidRPr="000E4755">
          <w:rPr>
            <w:rStyle w:val="Hyperlink"/>
            <w:noProof/>
          </w:rPr>
          <w:t>Patients prescribed a selective serotonin reuptake inhibitor (SSRI) or a selective noradrenaline reuptake inhibitor (SNRI) concurrently with other medicines known to increase the risk of bleeding</w:t>
        </w:r>
        <w:r>
          <w:rPr>
            <w:noProof/>
            <w:webHidden/>
          </w:rPr>
          <w:tab/>
        </w:r>
        <w:r>
          <w:rPr>
            <w:noProof/>
            <w:webHidden/>
          </w:rPr>
          <w:fldChar w:fldCharType="begin"/>
        </w:r>
        <w:r>
          <w:rPr>
            <w:noProof/>
            <w:webHidden/>
          </w:rPr>
          <w:instrText xml:space="preserve"> PAGEREF _Toc234231968 \h </w:instrText>
        </w:r>
        <w:r>
          <w:rPr>
            <w:noProof/>
            <w:webHidden/>
          </w:rPr>
        </w:r>
        <w:r>
          <w:rPr>
            <w:noProof/>
            <w:webHidden/>
          </w:rPr>
          <w:fldChar w:fldCharType="separate"/>
        </w:r>
        <w:r>
          <w:rPr>
            <w:noProof/>
            <w:webHidden/>
          </w:rPr>
          <w:t>28</w:t>
        </w:r>
        <w:r>
          <w:rPr>
            <w:noProof/>
            <w:webHidden/>
          </w:rPr>
          <w:fldChar w:fldCharType="end"/>
        </w:r>
      </w:hyperlink>
    </w:p>
    <w:p w14:paraId="76682BA1" w14:textId="7A77C064" w:rsidR="009924F7" w:rsidRPr="009924F7" w:rsidRDefault="009924F7">
      <w:pPr>
        <w:pStyle w:val="TOC1"/>
        <w:rPr>
          <w:rFonts w:ascii="Aptos" w:hAnsi="Aptos" w:cs="Times New Roman"/>
          <w:noProof/>
          <w:kern w:val="2"/>
          <w:szCs w:val="24"/>
          <w:lang w:eastAsia="en-GB"/>
        </w:rPr>
      </w:pPr>
      <w:hyperlink w:anchor="_Toc234231969" w:history="1">
        <w:r w:rsidRPr="000E4755">
          <w:rPr>
            <w:rStyle w:val="Hyperlink"/>
            <w:noProof/>
          </w:rPr>
          <w:t>References</w:t>
        </w:r>
        <w:r>
          <w:rPr>
            <w:noProof/>
            <w:webHidden/>
          </w:rPr>
          <w:tab/>
        </w:r>
        <w:r>
          <w:rPr>
            <w:noProof/>
            <w:webHidden/>
          </w:rPr>
          <w:fldChar w:fldCharType="begin"/>
        </w:r>
        <w:r>
          <w:rPr>
            <w:noProof/>
            <w:webHidden/>
          </w:rPr>
          <w:instrText xml:space="preserve"> PAGEREF _Toc234231969 \h </w:instrText>
        </w:r>
        <w:r>
          <w:rPr>
            <w:noProof/>
            <w:webHidden/>
          </w:rPr>
        </w:r>
        <w:r>
          <w:rPr>
            <w:noProof/>
            <w:webHidden/>
          </w:rPr>
          <w:fldChar w:fldCharType="separate"/>
        </w:r>
        <w:r>
          <w:rPr>
            <w:noProof/>
            <w:webHidden/>
          </w:rPr>
          <w:t>30</w:t>
        </w:r>
        <w:r>
          <w:rPr>
            <w:noProof/>
            <w:webHidden/>
          </w:rPr>
          <w:fldChar w:fldCharType="end"/>
        </w:r>
      </w:hyperlink>
    </w:p>
    <w:p w14:paraId="155EB760" w14:textId="6D2BB722" w:rsidR="009924F7" w:rsidRPr="009924F7" w:rsidRDefault="009924F7">
      <w:pPr>
        <w:pStyle w:val="TOC2"/>
        <w:tabs>
          <w:tab w:val="left" w:pos="1680"/>
        </w:tabs>
        <w:rPr>
          <w:rFonts w:ascii="Aptos" w:hAnsi="Aptos" w:cs="Times New Roman"/>
          <w:noProof/>
          <w:kern w:val="2"/>
          <w:lang w:eastAsia="en-GB"/>
        </w:rPr>
      </w:pPr>
      <w:hyperlink w:anchor="_Toc234231970" w:history="1">
        <w:r w:rsidRPr="000E4755">
          <w:rPr>
            <w:rStyle w:val="Hyperlink"/>
            <w:noProof/>
          </w:rPr>
          <w:t>Appendix 1</w:t>
        </w:r>
        <w:r w:rsidRPr="009924F7">
          <w:rPr>
            <w:rFonts w:ascii="Aptos" w:hAnsi="Aptos" w:cs="Times New Roman"/>
            <w:noProof/>
            <w:kern w:val="2"/>
            <w:lang w:eastAsia="en-GB"/>
          </w:rPr>
          <w:tab/>
        </w:r>
        <w:r w:rsidRPr="000E4755">
          <w:rPr>
            <w:rStyle w:val="Hyperlink"/>
            <w:noProof/>
          </w:rPr>
          <w:t>: Polypharmacy Prescribing Comparators - working group</w:t>
        </w:r>
        <w:r>
          <w:rPr>
            <w:noProof/>
            <w:webHidden/>
          </w:rPr>
          <w:tab/>
        </w:r>
        <w:r>
          <w:rPr>
            <w:noProof/>
            <w:webHidden/>
          </w:rPr>
          <w:fldChar w:fldCharType="begin"/>
        </w:r>
        <w:r>
          <w:rPr>
            <w:noProof/>
            <w:webHidden/>
          </w:rPr>
          <w:instrText xml:space="preserve"> PAGEREF _Toc234231970 \h </w:instrText>
        </w:r>
        <w:r>
          <w:rPr>
            <w:noProof/>
            <w:webHidden/>
          </w:rPr>
        </w:r>
        <w:r>
          <w:rPr>
            <w:noProof/>
            <w:webHidden/>
          </w:rPr>
          <w:fldChar w:fldCharType="separate"/>
        </w:r>
        <w:r>
          <w:rPr>
            <w:noProof/>
            <w:webHidden/>
          </w:rPr>
          <w:t>31</w:t>
        </w:r>
        <w:r>
          <w:rPr>
            <w:noProof/>
            <w:webHidden/>
          </w:rPr>
          <w:fldChar w:fldCharType="end"/>
        </w:r>
      </w:hyperlink>
    </w:p>
    <w:p w14:paraId="6DADA953" w14:textId="23E100B8" w:rsidR="009924F7" w:rsidRPr="009924F7" w:rsidRDefault="009924F7">
      <w:pPr>
        <w:pStyle w:val="TOC2"/>
        <w:tabs>
          <w:tab w:val="left" w:pos="1680"/>
        </w:tabs>
        <w:rPr>
          <w:rFonts w:ascii="Aptos" w:hAnsi="Aptos" w:cs="Times New Roman"/>
          <w:noProof/>
          <w:kern w:val="2"/>
          <w:lang w:eastAsia="en-GB"/>
        </w:rPr>
      </w:pPr>
      <w:hyperlink w:anchor="_Toc234231971" w:history="1">
        <w:r w:rsidRPr="000E4755">
          <w:rPr>
            <w:rStyle w:val="Hyperlink"/>
            <w:noProof/>
          </w:rPr>
          <w:t>Appendix 2</w:t>
        </w:r>
        <w:r w:rsidRPr="009924F7">
          <w:rPr>
            <w:rFonts w:ascii="Aptos" w:hAnsi="Aptos" w:cs="Times New Roman"/>
            <w:noProof/>
            <w:kern w:val="2"/>
            <w:lang w:eastAsia="en-GB"/>
          </w:rPr>
          <w:tab/>
        </w:r>
        <w:r w:rsidRPr="000E4755">
          <w:rPr>
            <w:rStyle w:val="Hyperlink"/>
            <w:noProof/>
          </w:rPr>
          <w:t>: Summary of evidence for anticholinergic burden classification</w:t>
        </w:r>
        <w:r>
          <w:rPr>
            <w:noProof/>
            <w:webHidden/>
          </w:rPr>
          <w:tab/>
        </w:r>
        <w:r>
          <w:rPr>
            <w:noProof/>
            <w:webHidden/>
          </w:rPr>
          <w:fldChar w:fldCharType="begin"/>
        </w:r>
        <w:r>
          <w:rPr>
            <w:noProof/>
            <w:webHidden/>
          </w:rPr>
          <w:instrText xml:space="preserve"> PAGEREF _Toc234231971 \h </w:instrText>
        </w:r>
        <w:r>
          <w:rPr>
            <w:noProof/>
            <w:webHidden/>
          </w:rPr>
        </w:r>
        <w:r>
          <w:rPr>
            <w:noProof/>
            <w:webHidden/>
          </w:rPr>
          <w:fldChar w:fldCharType="separate"/>
        </w:r>
        <w:r>
          <w:rPr>
            <w:noProof/>
            <w:webHidden/>
          </w:rPr>
          <w:t>32</w:t>
        </w:r>
        <w:r>
          <w:rPr>
            <w:noProof/>
            <w:webHidden/>
          </w:rPr>
          <w:fldChar w:fldCharType="end"/>
        </w:r>
      </w:hyperlink>
    </w:p>
    <w:p w14:paraId="3A45D1FC" w14:textId="413F6A7B" w:rsidR="009924F7" w:rsidRPr="009924F7" w:rsidRDefault="009924F7">
      <w:pPr>
        <w:pStyle w:val="TOC2"/>
        <w:tabs>
          <w:tab w:val="left" w:pos="1680"/>
        </w:tabs>
        <w:rPr>
          <w:rFonts w:ascii="Aptos" w:hAnsi="Aptos" w:cs="Times New Roman"/>
          <w:noProof/>
          <w:kern w:val="2"/>
          <w:lang w:eastAsia="en-GB"/>
        </w:rPr>
      </w:pPr>
      <w:hyperlink w:anchor="_Toc234231972" w:history="1">
        <w:r w:rsidRPr="000E4755">
          <w:rPr>
            <w:rStyle w:val="Hyperlink"/>
            <w:noProof/>
          </w:rPr>
          <w:t>Appendix 3</w:t>
        </w:r>
        <w:r w:rsidRPr="009924F7">
          <w:rPr>
            <w:rFonts w:ascii="Aptos" w:hAnsi="Aptos" w:cs="Times New Roman"/>
            <w:noProof/>
            <w:kern w:val="2"/>
            <w:lang w:eastAsia="en-GB"/>
          </w:rPr>
          <w:tab/>
        </w:r>
        <w:r w:rsidRPr="000E4755">
          <w:rPr>
            <w:rStyle w:val="Hyperlink"/>
            <w:noProof/>
          </w:rPr>
          <w:t>: Medicines with moderate to high anticholinergic burden</w:t>
        </w:r>
        <w:r>
          <w:rPr>
            <w:noProof/>
            <w:webHidden/>
          </w:rPr>
          <w:tab/>
        </w:r>
        <w:r>
          <w:rPr>
            <w:noProof/>
            <w:webHidden/>
          </w:rPr>
          <w:fldChar w:fldCharType="begin"/>
        </w:r>
        <w:r>
          <w:rPr>
            <w:noProof/>
            <w:webHidden/>
          </w:rPr>
          <w:instrText xml:space="preserve"> PAGEREF _Toc234231972 \h </w:instrText>
        </w:r>
        <w:r>
          <w:rPr>
            <w:noProof/>
            <w:webHidden/>
          </w:rPr>
        </w:r>
        <w:r>
          <w:rPr>
            <w:noProof/>
            <w:webHidden/>
          </w:rPr>
          <w:fldChar w:fldCharType="separate"/>
        </w:r>
        <w:r>
          <w:rPr>
            <w:noProof/>
            <w:webHidden/>
          </w:rPr>
          <w:t>32</w:t>
        </w:r>
        <w:r>
          <w:rPr>
            <w:noProof/>
            <w:webHidden/>
          </w:rPr>
          <w:fldChar w:fldCharType="end"/>
        </w:r>
      </w:hyperlink>
    </w:p>
    <w:p w14:paraId="23957BB4" w14:textId="3A5A3DF3" w:rsidR="009924F7" w:rsidRPr="009924F7" w:rsidRDefault="009924F7">
      <w:pPr>
        <w:pStyle w:val="TOC2"/>
        <w:tabs>
          <w:tab w:val="left" w:pos="1680"/>
        </w:tabs>
        <w:rPr>
          <w:rFonts w:ascii="Aptos" w:hAnsi="Aptos" w:cs="Times New Roman"/>
          <w:noProof/>
          <w:kern w:val="2"/>
          <w:lang w:eastAsia="en-GB"/>
        </w:rPr>
      </w:pPr>
      <w:hyperlink w:anchor="_Toc234231973" w:history="1">
        <w:r w:rsidRPr="000E4755">
          <w:rPr>
            <w:rStyle w:val="Hyperlink"/>
            <w:noProof/>
          </w:rPr>
          <w:t>Appendix 4</w:t>
        </w:r>
        <w:r w:rsidRPr="009924F7">
          <w:rPr>
            <w:rFonts w:ascii="Aptos" w:hAnsi="Aptos" w:cs="Times New Roman"/>
            <w:noProof/>
            <w:kern w:val="2"/>
            <w:lang w:eastAsia="en-GB"/>
          </w:rPr>
          <w:tab/>
        </w:r>
        <w:r w:rsidRPr="000E4755">
          <w:rPr>
            <w:rStyle w:val="Hyperlink"/>
            <w:noProof/>
            <w:lang w:eastAsia="en-GB"/>
          </w:rPr>
          <w:t xml:space="preserve">: </w:t>
        </w:r>
        <w:r w:rsidRPr="000E4755">
          <w:rPr>
            <w:rStyle w:val="Hyperlink"/>
            <w:noProof/>
          </w:rPr>
          <w:t>Medicines with low to moderate anticholinergic burden</w:t>
        </w:r>
        <w:r>
          <w:rPr>
            <w:noProof/>
            <w:webHidden/>
          </w:rPr>
          <w:tab/>
        </w:r>
        <w:r>
          <w:rPr>
            <w:noProof/>
            <w:webHidden/>
          </w:rPr>
          <w:fldChar w:fldCharType="begin"/>
        </w:r>
        <w:r>
          <w:rPr>
            <w:noProof/>
            <w:webHidden/>
          </w:rPr>
          <w:instrText xml:space="preserve"> PAGEREF _Toc234231973 \h </w:instrText>
        </w:r>
        <w:r>
          <w:rPr>
            <w:noProof/>
            <w:webHidden/>
          </w:rPr>
        </w:r>
        <w:r>
          <w:rPr>
            <w:noProof/>
            <w:webHidden/>
          </w:rPr>
          <w:fldChar w:fldCharType="separate"/>
        </w:r>
        <w:r>
          <w:rPr>
            <w:noProof/>
            <w:webHidden/>
          </w:rPr>
          <w:t>32</w:t>
        </w:r>
        <w:r>
          <w:rPr>
            <w:noProof/>
            <w:webHidden/>
          </w:rPr>
          <w:fldChar w:fldCharType="end"/>
        </w:r>
      </w:hyperlink>
    </w:p>
    <w:p w14:paraId="38B762FC" w14:textId="3E878E5B" w:rsidR="009924F7" w:rsidRPr="009924F7" w:rsidRDefault="009924F7">
      <w:pPr>
        <w:pStyle w:val="TOC2"/>
        <w:tabs>
          <w:tab w:val="left" w:pos="1680"/>
        </w:tabs>
        <w:rPr>
          <w:rFonts w:ascii="Aptos" w:hAnsi="Aptos" w:cs="Times New Roman"/>
          <w:noProof/>
          <w:kern w:val="2"/>
          <w:lang w:eastAsia="en-GB"/>
        </w:rPr>
      </w:pPr>
      <w:hyperlink w:anchor="_Toc234231974" w:history="1">
        <w:r w:rsidRPr="000E4755">
          <w:rPr>
            <w:rStyle w:val="Hyperlink"/>
            <w:noProof/>
          </w:rPr>
          <w:t>Appendix 5</w:t>
        </w:r>
        <w:r w:rsidRPr="009924F7">
          <w:rPr>
            <w:rFonts w:ascii="Aptos" w:hAnsi="Aptos" w:cs="Times New Roman"/>
            <w:noProof/>
            <w:kern w:val="2"/>
            <w:lang w:eastAsia="en-GB"/>
          </w:rPr>
          <w:tab/>
        </w:r>
        <w:r w:rsidRPr="000E4755">
          <w:rPr>
            <w:rStyle w:val="Hyperlink"/>
            <w:noProof/>
            <w:lang w:eastAsia="en-GB"/>
          </w:rPr>
          <w:t xml:space="preserve">: </w:t>
        </w:r>
        <w:r w:rsidRPr="000E4755">
          <w:rPr>
            <w:rStyle w:val="Hyperlink"/>
            <w:noProof/>
          </w:rPr>
          <w:t>Analgesic medicines</w:t>
        </w:r>
        <w:r>
          <w:rPr>
            <w:noProof/>
            <w:webHidden/>
          </w:rPr>
          <w:tab/>
        </w:r>
        <w:r>
          <w:rPr>
            <w:noProof/>
            <w:webHidden/>
          </w:rPr>
          <w:fldChar w:fldCharType="begin"/>
        </w:r>
        <w:r>
          <w:rPr>
            <w:noProof/>
            <w:webHidden/>
          </w:rPr>
          <w:instrText xml:space="preserve"> PAGEREF _Toc234231974 \h </w:instrText>
        </w:r>
        <w:r>
          <w:rPr>
            <w:noProof/>
            <w:webHidden/>
          </w:rPr>
        </w:r>
        <w:r>
          <w:rPr>
            <w:noProof/>
            <w:webHidden/>
          </w:rPr>
          <w:fldChar w:fldCharType="separate"/>
        </w:r>
        <w:r>
          <w:rPr>
            <w:noProof/>
            <w:webHidden/>
          </w:rPr>
          <w:t>32</w:t>
        </w:r>
        <w:r>
          <w:rPr>
            <w:noProof/>
            <w:webHidden/>
          </w:rPr>
          <w:fldChar w:fldCharType="end"/>
        </w:r>
      </w:hyperlink>
    </w:p>
    <w:p w14:paraId="6E5D3908" w14:textId="004435B0" w:rsidR="009924F7" w:rsidRPr="009924F7" w:rsidRDefault="009924F7">
      <w:pPr>
        <w:pStyle w:val="TOC2"/>
        <w:tabs>
          <w:tab w:val="left" w:pos="1680"/>
        </w:tabs>
        <w:rPr>
          <w:rFonts w:ascii="Aptos" w:hAnsi="Aptos" w:cs="Times New Roman"/>
          <w:noProof/>
          <w:kern w:val="2"/>
          <w:lang w:eastAsia="en-GB"/>
        </w:rPr>
      </w:pPr>
      <w:hyperlink w:anchor="_Toc234231975" w:history="1">
        <w:r w:rsidRPr="000E4755">
          <w:rPr>
            <w:rStyle w:val="Hyperlink"/>
            <w:noProof/>
            <w:lang w:eastAsia="en-GB"/>
          </w:rPr>
          <w:t>Appendix 6</w:t>
        </w:r>
        <w:r w:rsidRPr="009924F7">
          <w:rPr>
            <w:rFonts w:ascii="Aptos" w:hAnsi="Aptos" w:cs="Times New Roman"/>
            <w:noProof/>
            <w:kern w:val="2"/>
            <w:lang w:eastAsia="en-GB"/>
          </w:rPr>
          <w:tab/>
        </w:r>
        <w:r w:rsidRPr="000E4755">
          <w:rPr>
            <w:rStyle w:val="Hyperlink"/>
            <w:noProof/>
            <w:lang w:eastAsia="en-GB"/>
          </w:rPr>
          <w:t>: Medicines used in the hypotension indicator</w:t>
        </w:r>
        <w:r>
          <w:rPr>
            <w:noProof/>
            <w:webHidden/>
          </w:rPr>
          <w:tab/>
        </w:r>
        <w:r>
          <w:rPr>
            <w:noProof/>
            <w:webHidden/>
          </w:rPr>
          <w:fldChar w:fldCharType="begin"/>
        </w:r>
        <w:r>
          <w:rPr>
            <w:noProof/>
            <w:webHidden/>
          </w:rPr>
          <w:instrText xml:space="preserve"> PAGEREF _Toc234231975 \h </w:instrText>
        </w:r>
        <w:r>
          <w:rPr>
            <w:noProof/>
            <w:webHidden/>
          </w:rPr>
        </w:r>
        <w:r>
          <w:rPr>
            <w:noProof/>
            <w:webHidden/>
          </w:rPr>
          <w:fldChar w:fldCharType="separate"/>
        </w:r>
        <w:r>
          <w:rPr>
            <w:noProof/>
            <w:webHidden/>
          </w:rPr>
          <w:t>32</w:t>
        </w:r>
        <w:r>
          <w:rPr>
            <w:noProof/>
            <w:webHidden/>
          </w:rPr>
          <w:fldChar w:fldCharType="end"/>
        </w:r>
      </w:hyperlink>
    </w:p>
    <w:p w14:paraId="04647F9F" w14:textId="0961DFCC" w:rsidR="00120B9B" w:rsidRPr="004E3E0C" w:rsidRDefault="00BF6DC1" w:rsidP="001D3131">
      <w:pPr>
        <w:pStyle w:val="Heading1"/>
      </w:pPr>
      <w:r>
        <w:rPr>
          <w:sz w:val="18"/>
          <w:szCs w:val="18"/>
        </w:rPr>
        <w:fldChar w:fldCharType="end"/>
      </w:r>
      <w:r w:rsidR="004E3E0C" w:rsidRPr="00E74068">
        <w:rPr>
          <w:noProof/>
          <w:sz w:val="20"/>
          <w:szCs w:val="20"/>
        </w:rPr>
        <w:br w:type="page"/>
      </w:r>
      <w:bookmarkStart w:id="5" w:name="_Toc234231949"/>
      <w:r w:rsidR="00120B9B" w:rsidRPr="004E3E0C">
        <w:lastRenderedPageBreak/>
        <w:t>Background</w:t>
      </w:r>
      <w:bookmarkEnd w:id="0"/>
      <w:bookmarkEnd w:id="1"/>
      <w:bookmarkEnd w:id="2"/>
      <w:bookmarkEnd w:id="3"/>
      <w:bookmarkEnd w:id="5"/>
    </w:p>
    <w:p w14:paraId="463B586C" w14:textId="41C8E850" w:rsidR="003B54E9" w:rsidRPr="00CC00C9" w:rsidRDefault="00663E9F" w:rsidP="001D3131">
      <w:r w:rsidRPr="00CC00C9">
        <w:t>Polypharmacy has been described as the use of multiple medications by a patient</w:t>
      </w:r>
      <w:r w:rsidR="00377D17">
        <w:t xml:space="preserve"> </w:t>
      </w:r>
      <w:r w:rsidRPr="00CC00C9">
        <w:t>generally</w:t>
      </w:r>
      <w:r w:rsidR="00377D17">
        <w:t>,</w:t>
      </w:r>
      <w:r w:rsidRPr="00CC00C9">
        <w:t xml:space="preserve"> </w:t>
      </w:r>
      <w:r w:rsidR="00984AE0">
        <w:t>but not exclusively</w:t>
      </w:r>
      <w:r w:rsidR="00377D17">
        <w:t>,</w:t>
      </w:r>
      <w:r w:rsidR="00984AE0">
        <w:t xml:space="preserve"> </w:t>
      </w:r>
      <w:r w:rsidRPr="00CC00C9">
        <w:t>older adults aged 65 and over. Polypharmacy is a key issue in health and social care, as evidence suggests that being on multiple medications in</w:t>
      </w:r>
      <w:r w:rsidR="00C552E7" w:rsidRPr="00CC00C9">
        <w:t>creases the individuals’ risk of</w:t>
      </w:r>
      <w:r w:rsidRPr="00CC00C9">
        <w:t xml:space="preserve"> harm and contributes to hospital admission</w:t>
      </w:r>
      <w:r w:rsidR="00F137FC" w:rsidRPr="00CC00C9">
        <w:t xml:space="preserve">s and poor therapeutic </w:t>
      </w:r>
      <w:proofErr w:type="gramStart"/>
      <w:r w:rsidR="002C26F6" w:rsidRPr="00CC00C9">
        <w:t>outcomes.</w:t>
      </w:r>
      <w:r w:rsidR="002C26F6" w:rsidRPr="00CC00C9">
        <w:rPr>
          <w:vertAlign w:val="superscript"/>
        </w:rPr>
        <w:t>(</w:t>
      </w:r>
      <w:proofErr w:type="gramEnd"/>
      <w:r w:rsidR="0070674E">
        <w:rPr>
          <w:vertAlign w:val="superscript"/>
        </w:rPr>
        <w:t>1</w:t>
      </w:r>
      <w:r w:rsidRPr="00CC00C9">
        <w:rPr>
          <w:vertAlign w:val="superscript"/>
        </w:rPr>
        <w:t>)</w:t>
      </w:r>
      <w:r w:rsidR="000351A4" w:rsidRPr="00CC00C9">
        <w:t xml:space="preserve"> </w:t>
      </w:r>
      <w:r w:rsidRPr="00CC00C9">
        <w:t>Indeed, patients on 10 or more medicine</w:t>
      </w:r>
      <w:r w:rsidR="00C552E7" w:rsidRPr="00CC00C9">
        <w:t>s</w:t>
      </w:r>
      <w:r w:rsidRPr="00CC00C9">
        <w:t xml:space="preserve"> are </w:t>
      </w:r>
      <w:r w:rsidR="00C552E7" w:rsidRPr="00CC00C9">
        <w:t xml:space="preserve">over </w:t>
      </w:r>
      <w:r w:rsidR="00DD2B34" w:rsidRPr="00CC00C9">
        <w:t>300</w:t>
      </w:r>
      <w:r w:rsidR="00426E2B" w:rsidRPr="00CC00C9">
        <w:t xml:space="preserve">% </w:t>
      </w:r>
      <w:r w:rsidRPr="00CC00C9">
        <w:t xml:space="preserve">more likely to be admitted to </w:t>
      </w:r>
      <w:proofErr w:type="gramStart"/>
      <w:r w:rsidR="002C26F6" w:rsidRPr="00CC00C9">
        <w:t>hospital.</w:t>
      </w:r>
      <w:r w:rsidR="002C26F6" w:rsidRPr="00CC00C9">
        <w:rPr>
          <w:vertAlign w:val="superscript"/>
        </w:rPr>
        <w:t>(</w:t>
      </w:r>
      <w:proofErr w:type="gramEnd"/>
      <w:r w:rsidR="0070674E">
        <w:rPr>
          <w:vertAlign w:val="superscript"/>
        </w:rPr>
        <w:t>2</w:t>
      </w:r>
      <w:r w:rsidRPr="00CC00C9">
        <w:rPr>
          <w:vertAlign w:val="superscript"/>
        </w:rPr>
        <w:t>)</w:t>
      </w:r>
    </w:p>
    <w:p w14:paraId="60D843B1" w14:textId="71B32E3B" w:rsidR="005569D9" w:rsidRPr="00CC00C9" w:rsidRDefault="00663E9F" w:rsidP="00572C7A">
      <w:r w:rsidRPr="00CC00C9">
        <w:t xml:space="preserve">As part of the efforts to address polypharmacy, </w:t>
      </w:r>
      <w:r w:rsidR="004C11F0" w:rsidRPr="00CC00C9">
        <w:t xml:space="preserve">Wessex </w:t>
      </w:r>
      <w:r w:rsidR="002C2F02">
        <w:t>Health Innovation</w:t>
      </w:r>
      <w:r w:rsidR="004C11F0" w:rsidRPr="00CC00C9">
        <w:t xml:space="preserve"> Network </w:t>
      </w:r>
      <w:r w:rsidR="00683D87" w:rsidRPr="00CC00C9">
        <w:t>(</w:t>
      </w:r>
      <w:r w:rsidR="002C2F02">
        <w:t>HIN</w:t>
      </w:r>
      <w:r w:rsidR="004C11F0" w:rsidRPr="00CC00C9">
        <w:t xml:space="preserve">) </w:t>
      </w:r>
      <w:r w:rsidR="00B06889">
        <w:t xml:space="preserve">(formerly AHSN) </w:t>
      </w:r>
      <w:r w:rsidR="004C11F0" w:rsidRPr="00CC00C9">
        <w:t xml:space="preserve">led </w:t>
      </w:r>
      <w:r w:rsidRPr="00CC00C9">
        <w:t xml:space="preserve">a small working group consisting of </w:t>
      </w:r>
      <w:r w:rsidR="00D721D9" w:rsidRPr="00CC00C9">
        <w:t xml:space="preserve">members of </w:t>
      </w:r>
      <w:proofErr w:type="gramStart"/>
      <w:r w:rsidR="00984AE0">
        <w:t>North East</w:t>
      </w:r>
      <w:proofErr w:type="gramEnd"/>
      <w:r w:rsidR="00984AE0">
        <w:t xml:space="preserve"> and North Cumbria </w:t>
      </w:r>
      <w:r w:rsidR="002C2F02">
        <w:t>HIN</w:t>
      </w:r>
      <w:r w:rsidR="00984AE0">
        <w:t xml:space="preserve">, </w:t>
      </w:r>
      <w:r w:rsidR="000054F5">
        <w:t xml:space="preserve">NHS BSA, NHS Digital, </w:t>
      </w:r>
      <w:r w:rsidR="00377D17">
        <w:t xml:space="preserve">local </w:t>
      </w:r>
      <w:r w:rsidRPr="00CC00C9">
        <w:t xml:space="preserve">GPs, Pharmacists, </w:t>
      </w:r>
      <w:r w:rsidR="000351A4" w:rsidRPr="00CC00C9">
        <w:t xml:space="preserve">prescribing </w:t>
      </w:r>
      <w:r w:rsidRPr="00CC00C9">
        <w:t xml:space="preserve">analysts and </w:t>
      </w:r>
      <w:r w:rsidR="000351A4" w:rsidRPr="00CC00C9">
        <w:t xml:space="preserve">clinical </w:t>
      </w:r>
      <w:r w:rsidRPr="00CC00C9">
        <w:t>specialist</w:t>
      </w:r>
      <w:r w:rsidR="00C552E7" w:rsidRPr="00CC00C9">
        <w:t xml:space="preserve">s in the development of prescribing </w:t>
      </w:r>
      <w:r w:rsidR="00A92E34">
        <w:t>comparators</w:t>
      </w:r>
      <w:r w:rsidR="00C552E7" w:rsidRPr="00CC00C9">
        <w:t xml:space="preserve"> </w:t>
      </w:r>
      <w:r w:rsidR="00C552E7" w:rsidRPr="00416955">
        <w:t>(</w:t>
      </w:r>
      <w:hyperlink w:anchor="Appendix1" w:history="1">
        <w:r w:rsidR="00C552E7" w:rsidRPr="00172BA1">
          <w:rPr>
            <w:rStyle w:val="Hyperlink"/>
          </w:rPr>
          <w:t>see Appendix 1</w:t>
        </w:r>
      </w:hyperlink>
      <w:r w:rsidR="00C552E7" w:rsidRPr="00416955">
        <w:t>).</w:t>
      </w:r>
      <w:r w:rsidR="00C552E7" w:rsidRPr="00CC00C9">
        <w:t xml:space="preserve"> An initial suite </w:t>
      </w:r>
      <w:r w:rsidRPr="00CC00C9">
        <w:t xml:space="preserve">of </w:t>
      </w:r>
      <w:r w:rsidR="00B95594">
        <w:t xml:space="preserve">nationally available </w:t>
      </w:r>
      <w:r w:rsidRPr="00CC00C9">
        <w:t>prescri</w:t>
      </w:r>
      <w:r w:rsidR="000351A4" w:rsidRPr="00CC00C9">
        <w:t xml:space="preserve">bing comparators at </w:t>
      </w:r>
      <w:r w:rsidR="00D60D38">
        <w:t>ICB</w:t>
      </w:r>
      <w:r w:rsidR="000351A4" w:rsidRPr="00CC00C9">
        <w:t xml:space="preserve"> and GP P</w:t>
      </w:r>
      <w:r w:rsidR="00FA5D25" w:rsidRPr="00CC00C9">
        <w:t xml:space="preserve">ractice </w:t>
      </w:r>
      <w:r w:rsidR="00A67D30" w:rsidRPr="00CC00C9">
        <w:t>level</w:t>
      </w:r>
      <w:r w:rsidR="00FA5D25" w:rsidRPr="00CC00C9">
        <w:t xml:space="preserve"> </w:t>
      </w:r>
      <w:r w:rsidR="00C552E7" w:rsidRPr="00CC00C9">
        <w:t xml:space="preserve">was developed </w:t>
      </w:r>
      <w:r w:rsidRPr="00CC00C9">
        <w:t xml:space="preserve">to highlight the variation in prescribing activity with respect </w:t>
      </w:r>
      <w:r w:rsidR="00B7655B" w:rsidRPr="00CC00C9">
        <w:t xml:space="preserve">to polypharmacy. </w:t>
      </w:r>
    </w:p>
    <w:p w14:paraId="63A9D483" w14:textId="77777777" w:rsidR="00AF5810" w:rsidRDefault="00B95594" w:rsidP="00572C7A">
      <w:r>
        <w:t>The p</w:t>
      </w:r>
      <w:r w:rsidR="004C11F0" w:rsidRPr="00CC00C9">
        <w:t xml:space="preserve">olypharmacy </w:t>
      </w:r>
      <w:r>
        <w:t>p</w:t>
      </w:r>
      <w:r w:rsidR="000351A4" w:rsidRPr="00CC00C9">
        <w:t>rescribing</w:t>
      </w:r>
      <w:r w:rsidR="004C11F0" w:rsidRPr="00CC00C9">
        <w:t xml:space="preserve"> </w:t>
      </w:r>
      <w:r>
        <w:t>c</w:t>
      </w:r>
      <w:r w:rsidR="00683D87" w:rsidRPr="00CC00C9">
        <w:t>omparators were</w:t>
      </w:r>
      <w:r w:rsidR="004C11F0" w:rsidRPr="00CC00C9">
        <w:t xml:space="preserve"> then </w:t>
      </w:r>
      <w:r w:rsidR="000351A4" w:rsidRPr="00CC00C9">
        <w:t>reviewed at</w:t>
      </w:r>
      <w:r w:rsidR="004C11F0" w:rsidRPr="00CC00C9">
        <w:t xml:space="preserve"> </w:t>
      </w:r>
      <w:r w:rsidR="00FA5D25" w:rsidRPr="00CC00C9">
        <w:t xml:space="preserve">a </w:t>
      </w:r>
      <w:r w:rsidR="004C11F0" w:rsidRPr="00CC00C9">
        <w:t xml:space="preserve">workshop that was open to all </w:t>
      </w:r>
      <w:r w:rsidR="002C2F02">
        <w:t>HIN</w:t>
      </w:r>
      <w:r w:rsidR="004C11F0" w:rsidRPr="00CC00C9">
        <w:t>s in England and the Royal Pharm</w:t>
      </w:r>
      <w:r w:rsidR="000351A4" w:rsidRPr="00CC00C9">
        <w:t>aceutical</w:t>
      </w:r>
      <w:r w:rsidR="004C11F0" w:rsidRPr="00CC00C9">
        <w:t xml:space="preserve"> Society. Modifications were made </w:t>
      </w:r>
      <w:proofErr w:type="gramStart"/>
      <w:r w:rsidR="004C11F0" w:rsidRPr="00CC00C9">
        <w:t>in light of</w:t>
      </w:r>
      <w:proofErr w:type="gramEnd"/>
      <w:r w:rsidR="004C11F0" w:rsidRPr="00CC00C9">
        <w:t xml:space="preserve"> comments and sugg</w:t>
      </w:r>
      <w:r w:rsidR="000351A4" w:rsidRPr="00CC00C9">
        <w:t>estions made d</w:t>
      </w:r>
      <w:r w:rsidR="004C11F0" w:rsidRPr="00CC00C9">
        <w:t>uring this all</w:t>
      </w:r>
      <w:r>
        <w:t>-</w:t>
      </w:r>
      <w:r w:rsidR="004C11F0" w:rsidRPr="00CC00C9">
        <w:t xml:space="preserve">day </w:t>
      </w:r>
      <w:r w:rsidR="00EC0FCE" w:rsidRPr="00CC00C9">
        <w:t>workshop</w:t>
      </w:r>
      <w:r w:rsidR="00630F92" w:rsidRPr="00CC00C9">
        <w:t>.</w:t>
      </w:r>
    </w:p>
    <w:p w14:paraId="054A7F0F" w14:textId="77777777" w:rsidR="004C11F0" w:rsidRPr="004E3E0C" w:rsidRDefault="004C11F0" w:rsidP="001D3131">
      <w:pPr>
        <w:pStyle w:val="Heading1"/>
      </w:pPr>
      <w:bookmarkStart w:id="6" w:name="_Toc473297127"/>
      <w:bookmarkStart w:id="7" w:name="_Toc473635660"/>
      <w:bookmarkStart w:id="8" w:name="_Toc473636474"/>
      <w:bookmarkStart w:id="9" w:name="_Toc474398575"/>
      <w:bookmarkStart w:id="10" w:name="_Toc475027474"/>
      <w:bookmarkStart w:id="11" w:name="_Toc234231950"/>
      <w:r w:rsidRPr="004E3E0C">
        <w:t>Purpose</w:t>
      </w:r>
      <w:bookmarkEnd w:id="6"/>
      <w:bookmarkEnd w:id="7"/>
      <w:bookmarkEnd w:id="8"/>
      <w:bookmarkEnd w:id="9"/>
      <w:bookmarkEnd w:id="10"/>
      <w:bookmarkEnd w:id="11"/>
      <w:r w:rsidRPr="004E3E0C">
        <w:t xml:space="preserve"> </w:t>
      </w:r>
    </w:p>
    <w:p w14:paraId="15F91148" w14:textId="77777777" w:rsidR="00663E9F" w:rsidRPr="00CC00C9" w:rsidRDefault="004C11F0" w:rsidP="001D3131">
      <w:pPr>
        <w:pStyle w:val="ListIntroNormal"/>
      </w:pPr>
      <w:r w:rsidRPr="00CC00C9">
        <w:t xml:space="preserve">The </w:t>
      </w:r>
      <w:r w:rsidR="00663E9F" w:rsidRPr="00CC00C9">
        <w:t>purpose</w:t>
      </w:r>
      <w:r w:rsidR="00B95594">
        <w:t xml:space="preserve"> of the polypharmacy prescribing c</w:t>
      </w:r>
      <w:r w:rsidRPr="00CC00C9">
        <w:t>omparators</w:t>
      </w:r>
      <w:r w:rsidR="00426E2B" w:rsidRPr="00CC00C9">
        <w:t xml:space="preserve"> is to allow </w:t>
      </w:r>
      <w:r w:rsidR="00FA03F7" w:rsidRPr="00CC00C9">
        <w:t xml:space="preserve">GP </w:t>
      </w:r>
      <w:r w:rsidR="00426E2B" w:rsidRPr="00CC00C9">
        <w:t xml:space="preserve">Practices and </w:t>
      </w:r>
      <w:r w:rsidR="00D60D38">
        <w:t>ICB</w:t>
      </w:r>
      <w:r w:rsidR="00426E2B" w:rsidRPr="00CC00C9">
        <w:t>s to</w:t>
      </w:r>
      <w:r w:rsidR="00953688">
        <w:t>:</w:t>
      </w:r>
      <w:r w:rsidR="00663E9F" w:rsidRPr="00CC00C9">
        <w:t xml:space="preserve"> </w:t>
      </w:r>
    </w:p>
    <w:p w14:paraId="0F18BECA" w14:textId="77777777" w:rsidR="00426E2B" w:rsidRPr="00CC00C9" w:rsidRDefault="00426E2B" w:rsidP="001D3131">
      <w:pPr>
        <w:pStyle w:val="ListParaCompressed"/>
      </w:pPr>
      <w:r w:rsidRPr="00CC00C9">
        <w:t xml:space="preserve">see the variation </w:t>
      </w:r>
      <w:r w:rsidR="00630F92" w:rsidRPr="00CC00C9">
        <w:t xml:space="preserve">in prescribing </w:t>
      </w:r>
      <w:r w:rsidRPr="00CC00C9">
        <w:t xml:space="preserve">across </w:t>
      </w:r>
      <w:r w:rsidR="00FA03F7" w:rsidRPr="00CC00C9">
        <w:t xml:space="preserve">GP </w:t>
      </w:r>
      <w:r w:rsidRPr="00CC00C9">
        <w:t>practices</w:t>
      </w:r>
      <w:r w:rsidR="00DD2B34" w:rsidRPr="00CC00C9">
        <w:t>,</w:t>
      </w:r>
      <w:r w:rsidRPr="00CC00C9">
        <w:t xml:space="preserve"> within a</w:t>
      </w:r>
      <w:r w:rsidR="00F83576">
        <w:t>n</w:t>
      </w:r>
      <w:r w:rsidRPr="00CC00C9">
        <w:t xml:space="preserve"> </w:t>
      </w:r>
      <w:r w:rsidR="00D60D38">
        <w:t>ICB</w:t>
      </w:r>
      <w:r w:rsidRPr="00CC00C9">
        <w:t xml:space="preserve"> and across </w:t>
      </w:r>
      <w:r w:rsidR="00D60D38">
        <w:t>ICB</w:t>
      </w:r>
      <w:r w:rsidRPr="00CC00C9">
        <w:t>s</w:t>
      </w:r>
    </w:p>
    <w:p w14:paraId="435C17BC" w14:textId="77777777" w:rsidR="00426E2B" w:rsidRDefault="00426E2B" w:rsidP="001D3131">
      <w:pPr>
        <w:pStyle w:val="ListParaCompressed"/>
      </w:pPr>
      <w:r w:rsidRPr="00453B92">
        <w:t>identify if polypharmacy is a</w:t>
      </w:r>
      <w:r w:rsidR="0070674E" w:rsidRPr="00453B92">
        <w:t xml:space="preserve">n area to be </w:t>
      </w:r>
      <w:r w:rsidR="00B82121" w:rsidRPr="00453B92">
        <w:t>investigated</w:t>
      </w:r>
    </w:p>
    <w:p w14:paraId="3F0764A8" w14:textId="77777777" w:rsidR="00D404FE" w:rsidRPr="00453B92" w:rsidRDefault="00D404FE" w:rsidP="001D3131">
      <w:pPr>
        <w:pStyle w:val="ListParaCompressed"/>
      </w:pPr>
      <w:r>
        <w:t>to help prioritise potential areas of activity</w:t>
      </w:r>
    </w:p>
    <w:p w14:paraId="19AD6750" w14:textId="323381B4" w:rsidR="00FA5D25" w:rsidRPr="00CC00C9" w:rsidRDefault="00426E2B" w:rsidP="001D3131">
      <w:pPr>
        <w:pStyle w:val="ListParaCompressed"/>
      </w:pPr>
      <w:r w:rsidRPr="00CC00C9">
        <w:t xml:space="preserve">demonstrate the impact of initiatives to address polypharmacy </w:t>
      </w:r>
    </w:p>
    <w:p w14:paraId="2C611938" w14:textId="77777777" w:rsidR="0067285F" w:rsidRDefault="00B80197" w:rsidP="00572C7A">
      <w:r>
        <w:t xml:space="preserve">The intention behind the publication of these prescribing comparators is to support local interventions to help patients </w:t>
      </w:r>
      <w:r w:rsidR="00377D17">
        <w:t xml:space="preserve">to </w:t>
      </w:r>
      <w:r>
        <w:t>get</w:t>
      </w:r>
      <w:r w:rsidR="0067285F">
        <w:t xml:space="preserve"> the most from their medicines in line with the principles of medicines optimisation.</w:t>
      </w:r>
    </w:p>
    <w:p w14:paraId="241132D1" w14:textId="77777777" w:rsidR="00BE3ACD" w:rsidRDefault="00FA5D25" w:rsidP="00572C7A">
      <w:r w:rsidRPr="00CC00C9">
        <w:t>These polypharmacy prescribing comparators have been designed to be easy to understand, easy to interpret and easy to navigate.</w:t>
      </w:r>
    </w:p>
    <w:p w14:paraId="42D73B9D" w14:textId="77777777" w:rsidR="00BE3ACD" w:rsidRPr="00572C7A" w:rsidRDefault="00BE3ACD" w:rsidP="00572C7A">
      <w:pPr>
        <w:pStyle w:val="GreyBox"/>
        <w:rPr>
          <w:rStyle w:val="Strong"/>
        </w:rPr>
      </w:pPr>
      <w:r w:rsidRPr="00572C7A">
        <w:rPr>
          <w:rStyle w:val="Strong"/>
        </w:rPr>
        <w:lastRenderedPageBreak/>
        <w:t>These comparators are not targets</w:t>
      </w:r>
      <w:r w:rsidR="00F81409" w:rsidRPr="00572C7A">
        <w:rPr>
          <w:rStyle w:val="Strong"/>
        </w:rPr>
        <w:t>;</w:t>
      </w:r>
      <w:r w:rsidRPr="00572C7A">
        <w:rPr>
          <w:rStyle w:val="Strong"/>
        </w:rPr>
        <w:t xml:space="preserve"> we have not defined "good" or "poor" </w:t>
      </w:r>
      <w:r w:rsidR="00F411A3" w:rsidRPr="00572C7A">
        <w:rPr>
          <w:rStyle w:val="Strong"/>
        </w:rPr>
        <w:t>practice,</w:t>
      </w:r>
      <w:r w:rsidRPr="00572C7A">
        <w:rPr>
          <w:rStyle w:val="Strong"/>
        </w:rPr>
        <w:t xml:space="preserve"> and we have not offered solutions to address high levels of polypharmacy. Solutions and change programmes should be developed locally</w:t>
      </w:r>
      <w:r w:rsidR="00953688" w:rsidRPr="00572C7A">
        <w:rPr>
          <w:rStyle w:val="Strong"/>
        </w:rPr>
        <w:t xml:space="preserve"> and collaboratively</w:t>
      </w:r>
      <w:r w:rsidRPr="00572C7A">
        <w:rPr>
          <w:rStyle w:val="Strong"/>
        </w:rPr>
        <w:t xml:space="preserve">. </w:t>
      </w:r>
    </w:p>
    <w:p w14:paraId="5616DF02" w14:textId="56690C3B" w:rsidR="002F2C08" w:rsidRPr="00572C7A" w:rsidRDefault="00F411A3" w:rsidP="00572C7A">
      <w:pPr>
        <w:pStyle w:val="GreyBox"/>
        <w:rPr>
          <w:rStyle w:val="Strong"/>
        </w:rPr>
      </w:pPr>
      <w:r w:rsidRPr="00572C7A">
        <w:rPr>
          <w:rStyle w:val="Strong"/>
        </w:rPr>
        <w:t xml:space="preserve">Structured </w:t>
      </w:r>
      <w:r w:rsidR="00BE3ACD" w:rsidRPr="00572C7A">
        <w:rPr>
          <w:rStyle w:val="Strong"/>
        </w:rPr>
        <w:t xml:space="preserve">Medication </w:t>
      </w:r>
      <w:r w:rsidRPr="00572C7A">
        <w:rPr>
          <w:rStyle w:val="Strong"/>
        </w:rPr>
        <w:t>R</w:t>
      </w:r>
      <w:r w:rsidR="00BE3ACD" w:rsidRPr="00572C7A">
        <w:rPr>
          <w:rStyle w:val="Strong"/>
        </w:rPr>
        <w:t xml:space="preserve">eviews to address </w:t>
      </w:r>
      <w:r w:rsidRPr="00572C7A">
        <w:rPr>
          <w:rStyle w:val="Strong"/>
        </w:rPr>
        <w:t xml:space="preserve">problematic </w:t>
      </w:r>
      <w:r w:rsidR="00BE6A75" w:rsidRPr="00572C7A">
        <w:rPr>
          <w:rStyle w:val="Strong"/>
        </w:rPr>
        <w:t>p</w:t>
      </w:r>
      <w:r w:rsidR="00BE3ACD" w:rsidRPr="00572C7A">
        <w:rPr>
          <w:rStyle w:val="Strong"/>
        </w:rPr>
        <w:t xml:space="preserve">olypharmacy must be carried out with the patient and/or carer and include full discussions about their </w:t>
      </w:r>
      <w:r w:rsidR="00FA35EA" w:rsidRPr="00572C7A">
        <w:rPr>
          <w:rStyle w:val="Strong"/>
        </w:rPr>
        <w:t>lifestyle</w:t>
      </w:r>
      <w:r w:rsidR="00BE3ACD" w:rsidRPr="00572C7A">
        <w:rPr>
          <w:rStyle w:val="Strong"/>
        </w:rPr>
        <w:t>, their needs in relation to medicines, their values, as well as the relative risks and benefits of continuing and stopping medicines</w:t>
      </w:r>
      <w:r w:rsidR="0077164D" w:rsidRPr="00572C7A">
        <w:rPr>
          <w:rStyle w:val="Strong"/>
        </w:rPr>
        <w:t xml:space="preserve"> and in line with NICE guidance on </w:t>
      </w:r>
      <w:r w:rsidRPr="00572C7A">
        <w:rPr>
          <w:rStyle w:val="Strong"/>
        </w:rPr>
        <w:t xml:space="preserve">Structured </w:t>
      </w:r>
      <w:r w:rsidR="00A67D30" w:rsidRPr="00572C7A">
        <w:rPr>
          <w:rStyle w:val="Strong"/>
        </w:rPr>
        <w:t>Medication</w:t>
      </w:r>
      <w:r w:rsidR="0077164D" w:rsidRPr="00572C7A">
        <w:rPr>
          <w:rStyle w:val="Strong"/>
        </w:rPr>
        <w:t xml:space="preserve"> Review</w:t>
      </w:r>
      <w:r w:rsidRPr="00572C7A">
        <w:rPr>
          <w:rStyle w:val="Strong"/>
        </w:rPr>
        <w:t>s</w:t>
      </w:r>
      <w:r w:rsidR="0077164D" w:rsidRPr="00572C7A">
        <w:rPr>
          <w:rStyle w:val="Strong"/>
        </w:rPr>
        <w:t>.</w:t>
      </w:r>
    </w:p>
    <w:p w14:paraId="46763BEC" w14:textId="77777777" w:rsidR="00BE3ACD" w:rsidRPr="00CC00C9" w:rsidRDefault="00C157EB" w:rsidP="00572C7A">
      <w:pPr>
        <w:pStyle w:val="GreyBox"/>
      </w:pPr>
      <w:hyperlink r:id="rId11" w:history="1">
        <w:r>
          <w:rPr>
            <w:rStyle w:val="Hyperlink"/>
            <w:b/>
            <w:bCs/>
          </w:rPr>
          <w:t>https://www.nice.org.uk/guidance/qs120/chapter/quality-statement-6-structured-medication-review</w:t>
        </w:r>
      </w:hyperlink>
    </w:p>
    <w:p w14:paraId="40E5B1AA" w14:textId="77777777" w:rsidR="00653332" w:rsidRDefault="004C11F0" w:rsidP="001D3131">
      <w:pPr>
        <w:pStyle w:val="Heading1"/>
      </w:pPr>
      <w:bookmarkStart w:id="12" w:name="_Toc473297128"/>
      <w:bookmarkStart w:id="13" w:name="_Toc473635661"/>
      <w:bookmarkStart w:id="14" w:name="_Toc473636475"/>
      <w:bookmarkStart w:id="15" w:name="_Toc474398576"/>
      <w:bookmarkStart w:id="16" w:name="_Toc475027475"/>
      <w:bookmarkStart w:id="17" w:name="_Toc234231951"/>
      <w:r w:rsidRPr="004E3E0C">
        <w:t>Limitations</w:t>
      </w:r>
      <w:bookmarkEnd w:id="12"/>
      <w:bookmarkEnd w:id="13"/>
      <w:bookmarkEnd w:id="14"/>
      <w:bookmarkEnd w:id="15"/>
      <w:bookmarkEnd w:id="16"/>
      <w:bookmarkEnd w:id="17"/>
    </w:p>
    <w:p w14:paraId="46DD93EF" w14:textId="77777777" w:rsidR="00A85C22" w:rsidRPr="00A85C22" w:rsidRDefault="00A85C22" w:rsidP="00572C7A">
      <w:r w:rsidRPr="00A85C22">
        <w:t xml:space="preserve">Historically, primary care prescribing information was derived from the reimbursement processes for dispensed medicines. However, the NHSBSA is now able to capture extra information that undoubtedly adds value to prescribing measures. The NHS number of the recipient of a medicine prescribed in primary care can now be linked to items prescribed. This development enables the data to show how many patients are prescribed a medicine or group of medicines (rather than presentation of drugs prescribed by each GP practice). In this way, we </w:t>
      </w:r>
      <w:r w:rsidR="00F411A3" w:rsidRPr="00A85C22">
        <w:t>can</w:t>
      </w:r>
      <w:r w:rsidRPr="00A85C22">
        <w:t xml:space="preserve"> demonstrate</w:t>
      </w:r>
      <w:r w:rsidR="00F411A3">
        <w:t xml:space="preserve">, </w:t>
      </w:r>
      <w:r w:rsidRPr="00A85C22">
        <w:t>much better</w:t>
      </w:r>
      <w:r w:rsidR="00F411A3">
        <w:t>,</w:t>
      </w:r>
      <w:r w:rsidRPr="00A85C22">
        <w:t xml:space="preserve"> the quality of prescribing in key areas. </w:t>
      </w:r>
    </w:p>
    <w:p w14:paraId="3D81151C" w14:textId="59ED4D09" w:rsidR="00F10C87" w:rsidRDefault="00F411A3" w:rsidP="00572C7A">
      <w:r>
        <w:t xml:space="preserve">The patient </w:t>
      </w:r>
      <w:r w:rsidR="0067285F">
        <w:t xml:space="preserve">NHS number is routinely captured through </w:t>
      </w:r>
      <w:r w:rsidR="00F435C8">
        <w:t xml:space="preserve">the </w:t>
      </w:r>
      <w:r w:rsidR="0067285F">
        <w:t>E</w:t>
      </w:r>
      <w:r w:rsidR="00F435C8">
        <w:t>lectronic Prescription Service (EPS) w</w:t>
      </w:r>
      <w:r w:rsidR="002C2F02">
        <w:t>hich involves the NHS Personal Demographics Service and is considered accurate</w:t>
      </w:r>
      <w:r w:rsidR="00F435C8">
        <w:t>.</w:t>
      </w:r>
      <w:r w:rsidR="002C2F02">
        <w:t xml:space="preserve"> For prescriptions issued by cost centres that do not use EPS</w:t>
      </w:r>
      <w:r>
        <w:t>,</w:t>
      </w:r>
      <w:r w:rsidR="002C2F02">
        <w:t xml:space="preserve"> the NHSBSA scanners attempt to scan what is written</w:t>
      </w:r>
      <w:r w:rsidR="00C157EB">
        <w:t xml:space="preserve"> or printed</w:t>
      </w:r>
      <w:r w:rsidR="002C2F02">
        <w:t xml:space="preserve"> on the form. This is not as reliable as EPS data but is still considered very accurate based on quality checks performed on th</w:t>
      </w:r>
      <w:r w:rsidR="002B2806">
        <w:t>e scanned data</w:t>
      </w:r>
      <w:r w:rsidR="002C2F02">
        <w:t xml:space="preserve">. NHS Numbers are </w:t>
      </w:r>
      <w:r w:rsidR="002C2F02" w:rsidRPr="00C157EB">
        <w:t>unknown fo</w:t>
      </w:r>
      <w:r w:rsidR="00F024FF" w:rsidRPr="00C157EB">
        <w:t>r less</w:t>
      </w:r>
      <w:r w:rsidR="00F024FF">
        <w:t xml:space="preserve"> than 1%</w:t>
      </w:r>
      <w:r w:rsidR="002C2F02">
        <w:t xml:space="preserve"> of prescription items</w:t>
      </w:r>
      <w:r w:rsidR="00F024FF">
        <w:t xml:space="preserve"> processed by NHSBSA from BNF chapters 1-4, and 6-10</w:t>
      </w:r>
      <w:r w:rsidR="002C2F02">
        <w:t xml:space="preserve"> in </w:t>
      </w:r>
      <w:r w:rsidR="00F024FF">
        <w:t xml:space="preserve">December </w:t>
      </w:r>
      <w:r w:rsidR="002C2F02">
        <w:t xml:space="preserve">2024. This percentage was </w:t>
      </w:r>
      <w:r w:rsidR="00F024FF">
        <w:t>higher</w:t>
      </w:r>
      <w:r w:rsidR="002C2F02">
        <w:t xml:space="preserve"> for older data</w:t>
      </w:r>
      <w:r>
        <w:t xml:space="preserve">, </w:t>
      </w:r>
      <w:r w:rsidR="00F024FF">
        <w:t>for example</w:t>
      </w:r>
      <w:r>
        <w:t>,</w:t>
      </w:r>
      <w:r w:rsidR="00F024FF">
        <w:t xml:space="preserve"> it was 2.5% in December 2015</w:t>
      </w:r>
      <w:r w:rsidR="002C2F02">
        <w:t xml:space="preserve">. Prescriptions issued by dispensing doctors and instalment dispensing prescriptions (MDA forms) are the </w:t>
      </w:r>
      <w:r w:rsidR="00F024FF">
        <w:t>most</w:t>
      </w:r>
      <w:r w:rsidR="002C2F02">
        <w:t xml:space="preserve"> </w:t>
      </w:r>
      <w:r w:rsidR="00F024FF">
        <w:t xml:space="preserve">common </w:t>
      </w:r>
      <w:r w:rsidR="002C2F02">
        <w:t xml:space="preserve">types of primary care prescriptions that </w:t>
      </w:r>
      <w:r w:rsidR="00F024FF">
        <w:t xml:space="preserve">largely </w:t>
      </w:r>
      <w:r>
        <w:t xml:space="preserve">still </w:t>
      </w:r>
      <w:r w:rsidR="00F024FF">
        <w:t>use</w:t>
      </w:r>
      <w:r w:rsidR="002C2F02">
        <w:t xml:space="preserve"> paper</w:t>
      </w:r>
      <w:r w:rsidR="00F024FF">
        <w:t xml:space="preserve"> in 2024</w:t>
      </w:r>
      <w:r w:rsidR="002C2F02">
        <w:t>; any such practices may have a greater percentage of data that cannot be attributed to a patient.</w:t>
      </w:r>
    </w:p>
    <w:p w14:paraId="1C13B27C" w14:textId="06C4B323" w:rsidR="00A85C22" w:rsidRPr="00A85C22" w:rsidRDefault="00A85C22" w:rsidP="001D3131">
      <w:pPr>
        <w:rPr>
          <w:sz w:val="20"/>
          <w:szCs w:val="20"/>
        </w:rPr>
      </w:pPr>
      <w:r w:rsidRPr="00A85C22">
        <w:t xml:space="preserve">Information governance is very </w:t>
      </w:r>
      <w:proofErr w:type="gramStart"/>
      <w:r w:rsidRPr="00A85C22">
        <w:t>important</w:t>
      </w:r>
      <w:proofErr w:type="gramEnd"/>
      <w:r w:rsidRPr="00A85C22">
        <w:t xml:space="preserve"> and</w:t>
      </w:r>
      <w:r w:rsidR="004F10DC">
        <w:t>,</w:t>
      </w:r>
      <w:r w:rsidRPr="00A85C22">
        <w:t xml:space="preserve"> in the preparation of these Polypharmacy Prescribing Comparators</w:t>
      </w:r>
      <w:r w:rsidR="00F411A3">
        <w:t>,</w:t>
      </w:r>
      <w:r w:rsidRPr="00A85C22">
        <w:t xml:space="preserve"> all data protection legislation and patient confidentiality has been carefully considered and adhered to. While the Polypharmacy Prescribing Comparators are derived from patient level records, personal identifiable data will not be included within the reports.</w:t>
      </w:r>
    </w:p>
    <w:p w14:paraId="3AB2F452" w14:textId="77777777" w:rsidR="003B175D" w:rsidRDefault="00472A15" w:rsidP="00572C7A">
      <w:r>
        <w:t>This document contains a full specification for e</w:t>
      </w:r>
      <w:r w:rsidR="003B175D" w:rsidRPr="00CC00C9">
        <w:t>ach comparator outlining the evidence base</w:t>
      </w:r>
      <w:r w:rsidR="00F024FF">
        <w:t>,</w:t>
      </w:r>
      <w:r w:rsidR="003B175D" w:rsidRPr="00CC00C9">
        <w:t xml:space="preserve"> the rationale for inclusion</w:t>
      </w:r>
      <w:r w:rsidR="00F024FF">
        <w:t>,</w:t>
      </w:r>
      <w:r w:rsidR="003B175D" w:rsidRPr="00CC00C9">
        <w:t xml:space="preserve"> and the data source</w:t>
      </w:r>
      <w:r w:rsidR="00272242">
        <w:t xml:space="preserve"> (</w:t>
      </w:r>
      <w:r w:rsidR="0070674E">
        <w:t>see Table 1 for list of comparators</w:t>
      </w:r>
      <w:r w:rsidR="00272242">
        <w:t>)</w:t>
      </w:r>
      <w:r w:rsidR="003B175D" w:rsidRPr="00CC00C9">
        <w:t>.</w:t>
      </w:r>
    </w:p>
    <w:p w14:paraId="7E53CD3F" w14:textId="77777777" w:rsidR="00685270" w:rsidRDefault="00FA0C0C" w:rsidP="00572C7A">
      <w:r w:rsidRPr="004603F7">
        <w:t>These prescribing comparators should be view</w:t>
      </w:r>
      <w:r>
        <w:t>e</w:t>
      </w:r>
      <w:r w:rsidRPr="004603F7">
        <w:t xml:space="preserve">d as </w:t>
      </w:r>
      <w:r w:rsidR="00F411A3" w:rsidRPr="004603F7">
        <w:t>developmental,</w:t>
      </w:r>
      <w:r w:rsidRPr="004603F7">
        <w:t xml:space="preserve"> and the specifications will be reviewed over time</w:t>
      </w:r>
      <w:r>
        <w:t>.</w:t>
      </w:r>
    </w:p>
    <w:p w14:paraId="6FF5D375" w14:textId="787D159D" w:rsidR="00F411A3" w:rsidRPr="00AC28F0" w:rsidRDefault="00F411A3" w:rsidP="00572C7A">
      <w:pPr>
        <w:rPr>
          <w:rStyle w:val="Strong"/>
        </w:rPr>
      </w:pPr>
      <w:r w:rsidRPr="00AC28F0">
        <w:rPr>
          <w:rStyle w:val="Strong"/>
        </w:rPr>
        <w:lastRenderedPageBreak/>
        <w:t>Tackling problematic polypharmacy is a complex, multi</w:t>
      </w:r>
      <w:r w:rsidR="00930660" w:rsidRPr="00AC28F0">
        <w:rPr>
          <w:rStyle w:val="Strong"/>
        </w:rPr>
        <w:t>-</w:t>
      </w:r>
      <w:r w:rsidRPr="00AC28F0">
        <w:rPr>
          <w:rStyle w:val="Strong"/>
        </w:rPr>
        <w:t>faceted issue. Addressing it will requi</w:t>
      </w:r>
      <w:r w:rsidR="00C157EB" w:rsidRPr="00AC28F0">
        <w:rPr>
          <w:rStyle w:val="Strong"/>
        </w:rPr>
        <w:t>r</w:t>
      </w:r>
      <w:r w:rsidRPr="00AC28F0">
        <w:rPr>
          <w:rStyle w:val="Strong"/>
        </w:rPr>
        <w:t xml:space="preserve">e a multifaceted response. Data alone will not reduce over prescribing and problematic polypharmacy. However, prescribing data will help GP Practices, PCNs, ICBs, Regions and </w:t>
      </w:r>
      <w:r w:rsidR="00FA35EA" w:rsidRPr="00AC28F0">
        <w:rPr>
          <w:rStyle w:val="Strong"/>
        </w:rPr>
        <w:t>p</w:t>
      </w:r>
      <w:r w:rsidRPr="00AC28F0">
        <w:rPr>
          <w:rStyle w:val="Strong"/>
        </w:rPr>
        <w:t>olicy makers to understand their prescrib</w:t>
      </w:r>
      <w:r w:rsidR="00C157EB" w:rsidRPr="00AC28F0">
        <w:rPr>
          <w:rStyle w:val="Strong"/>
        </w:rPr>
        <w:t>i</w:t>
      </w:r>
      <w:r w:rsidRPr="00AC28F0">
        <w:rPr>
          <w:rStyle w:val="Strong"/>
        </w:rPr>
        <w:t>ng rates and where they might have issues with overprescribing</w:t>
      </w:r>
      <w:r w:rsidR="00FA35EA" w:rsidRPr="00AC28F0">
        <w:rPr>
          <w:rStyle w:val="Strong"/>
        </w:rPr>
        <w:t xml:space="preserve"> and problematic polypharmacy</w:t>
      </w:r>
      <w:r w:rsidRPr="00AC28F0">
        <w:rPr>
          <w:rStyle w:val="Strong"/>
        </w:rPr>
        <w:t xml:space="preserve">. </w:t>
      </w:r>
    </w:p>
    <w:p w14:paraId="44BE2D29" w14:textId="77777777" w:rsidR="00685270" w:rsidRPr="00AC28F0" w:rsidRDefault="00685270" w:rsidP="00572C7A">
      <w:pPr>
        <w:rPr>
          <w:rStyle w:val="Strong"/>
        </w:rPr>
      </w:pPr>
      <w:r w:rsidRPr="00AC28F0">
        <w:rPr>
          <w:rStyle w:val="Strong"/>
        </w:rPr>
        <w:t xml:space="preserve">This comparator specification document is NOT </w:t>
      </w:r>
      <w:r w:rsidR="00C157EB" w:rsidRPr="00AC28F0">
        <w:rPr>
          <w:rStyle w:val="Strong"/>
        </w:rPr>
        <w:t xml:space="preserve">a </w:t>
      </w:r>
      <w:r w:rsidR="00F411A3" w:rsidRPr="00AC28F0">
        <w:rPr>
          <w:rStyle w:val="Strong"/>
        </w:rPr>
        <w:t xml:space="preserve">clinical or </w:t>
      </w:r>
      <w:r w:rsidRPr="00AC28F0">
        <w:rPr>
          <w:rStyle w:val="Strong"/>
        </w:rPr>
        <w:t xml:space="preserve">prescribing guideline. It simply shows how the comparators were developed and the rationale behind each comparator. </w:t>
      </w:r>
    </w:p>
    <w:p w14:paraId="42ED5F6A" w14:textId="77777777" w:rsidR="00560DE6" w:rsidRPr="00731D49" w:rsidRDefault="00560DE6" w:rsidP="00572C7A">
      <w:pPr>
        <w:rPr>
          <w:b/>
          <w:bCs/>
        </w:rPr>
      </w:pPr>
    </w:p>
    <w:p w14:paraId="4ED748E6" w14:textId="75F38417" w:rsidR="00036AB8" w:rsidRPr="008A139B" w:rsidRDefault="0070674E" w:rsidP="00200848">
      <w:pPr>
        <w:pStyle w:val="Heading3"/>
        <w:keepLines/>
      </w:pPr>
      <w:bookmarkStart w:id="18" w:name="_Toc473297129"/>
      <w:bookmarkStart w:id="19" w:name="_Toc473635662"/>
      <w:bookmarkStart w:id="20" w:name="_Toc473636476"/>
      <w:bookmarkStart w:id="21" w:name="_Toc474398577"/>
      <w:bookmarkStart w:id="22" w:name="_Toc475027476"/>
      <w:r w:rsidRPr="008A139B">
        <w:t>Table 1: List of comparators</w:t>
      </w:r>
      <w:bookmarkEnd w:id="18"/>
      <w:bookmarkEnd w:id="19"/>
      <w:bookmarkEnd w:id="20"/>
      <w:bookmarkEnd w:id="21"/>
      <w:bookmarkEnd w:id="22"/>
    </w:p>
    <w:tbl>
      <w:tblPr>
        <w:tblpPr w:leftFromText="181" w:rightFromText="181" w:topFromText="142" w:bottomFromText="142" w:vertAnchor="text" w:horzAnchor="margin" w:tblpY="1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200848" w:rsidRPr="00120B9B" w14:paraId="304D6D29" w14:textId="77777777" w:rsidTr="00200848">
        <w:trPr>
          <w:trHeight w:val="283"/>
        </w:trPr>
        <w:tc>
          <w:tcPr>
            <w:tcW w:w="9747" w:type="dxa"/>
            <w:shd w:val="clear" w:color="auto" w:fill="D9D9D9"/>
          </w:tcPr>
          <w:p w14:paraId="7CED2265" w14:textId="77777777" w:rsidR="00200848" w:rsidRPr="00120B9B" w:rsidRDefault="00200848" w:rsidP="00200848">
            <w:pPr>
              <w:pStyle w:val="TableHeadBold"/>
              <w:keepLines/>
            </w:pPr>
            <w:r w:rsidRPr="00120B9B">
              <w:t>Comparator Title</w:t>
            </w:r>
          </w:p>
        </w:tc>
      </w:tr>
      <w:tr w:rsidR="00200848" w:rsidRPr="00120B9B" w14:paraId="29FBB082" w14:textId="77777777" w:rsidTr="00200848">
        <w:trPr>
          <w:trHeight w:val="283"/>
        </w:trPr>
        <w:tc>
          <w:tcPr>
            <w:tcW w:w="9747" w:type="dxa"/>
          </w:tcPr>
          <w:p w14:paraId="25618A19" w14:textId="77777777" w:rsidR="00200848" w:rsidRPr="00386D7B" w:rsidRDefault="00200848" w:rsidP="00200848">
            <w:pPr>
              <w:pStyle w:val="NormalNoSpacing"/>
              <w:keepLines/>
              <w:rPr>
                <w:lang w:eastAsia="en-GB"/>
              </w:rPr>
            </w:pPr>
            <w:r w:rsidRPr="00386D7B">
              <w:t>Average number of unique medicines</w:t>
            </w:r>
          </w:p>
        </w:tc>
      </w:tr>
      <w:tr w:rsidR="00200848" w:rsidRPr="00120B9B" w14:paraId="57530D5E" w14:textId="77777777" w:rsidTr="00200848">
        <w:trPr>
          <w:trHeight w:val="283"/>
        </w:trPr>
        <w:tc>
          <w:tcPr>
            <w:tcW w:w="9747" w:type="dxa"/>
          </w:tcPr>
          <w:p w14:paraId="37AF3362" w14:textId="77777777" w:rsidR="00200848" w:rsidRPr="00386D7B" w:rsidRDefault="00200848" w:rsidP="00200848">
            <w:pPr>
              <w:pStyle w:val="NormalNoSpacing"/>
              <w:keepLines/>
            </w:pPr>
            <w:r w:rsidRPr="00974EE3">
              <w:t>Multiple prescribing of anticoagulants and antiplatelet medicine</w:t>
            </w:r>
          </w:p>
        </w:tc>
      </w:tr>
      <w:tr w:rsidR="00200848" w:rsidRPr="00120B9B" w14:paraId="0937ED15" w14:textId="77777777" w:rsidTr="00200848">
        <w:trPr>
          <w:trHeight w:val="283"/>
        </w:trPr>
        <w:tc>
          <w:tcPr>
            <w:tcW w:w="9747" w:type="dxa"/>
          </w:tcPr>
          <w:p w14:paraId="2834B607" w14:textId="77777777" w:rsidR="00200848" w:rsidRPr="00F82510" w:rsidRDefault="00200848" w:rsidP="00200848">
            <w:pPr>
              <w:pStyle w:val="NormalNoSpacing"/>
              <w:keepLines/>
            </w:pPr>
            <w:r w:rsidRPr="00F82510">
              <w:t xml:space="preserve">Percentage of patients prescribed </w:t>
            </w:r>
            <w:r w:rsidRPr="00AB004B">
              <w:t>8/10/15/20</w:t>
            </w:r>
            <w:r w:rsidRPr="00F82510">
              <w:t xml:space="preserve"> or more unique medicines</w:t>
            </w:r>
          </w:p>
        </w:tc>
      </w:tr>
      <w:tr w:rsidR="00200848" w:rsidRPr="00120B9B" w14:paraId="259FB3D3" w14:textId="77777777" w:rsidTr="00200848">
        <w:trPr>
          <w:trHeight w:val="283"/>
        </w:trPr>
        <w:tc>
          <w:tcPr>
            <w:tcW w:w="9747" w:type="dxa"/>
          </w:tcPr>
          <w:p w14:paraId="418EFD7E" w14:textId="77777777" w:rsidR="00200848" w:rsidRPr="00F82510" w:rsidRDefault="00200848" w:rsidP="00200848">
            <w:pPr>
              <w:pStyle w:val="NormalNoSpacing"/>
              <w:keepLines/>
              <w:rPr>
                <w:szCs w:val="24"/>
              </w:rPr>
            </w:pPr>
            <w:r w:rsidRPr="008A139B">
              <w:t>Patients prescribed a NSAID and one or more other medicines likely to cause kidney injury (DAMN medicines)</w:t>
            </w:r>
          </w:p>
        </w:tc>
      </w:tr>
      <w:tr w:rsidR="00200848" w:rsidRPr="00120B9B" w14:paraId="10ADACF4" w14:textId="77777777" w:rsidTr="00200848">
        <w:trPr>
          <w:trHeight w:val="283"/>
        </w:trPr>
        <w:tc>
          <w:tcPr>
            <w:tcW w:w="9747" w:type="dxa"/>
          </w:tcPr>
          <w:p w14:paraId="7AC27273" w14:textId="77777777" w:rsidR="00200848" w:rsidRPr="00386D7B" w:rsidRDefault="00200848" w:rsidP="00200848">
            <w:pPr>
              <w:pStyle w:val="NormalNoSpacing"/>
              <w:keepLines/>
              <w:rPr>
                <w:lang w:eastAsia="en-GB"/>
              </w:rPr>
            </w:pPr>
            <w:r w:rsidRPr="008A139B">
              <w:t xml:space="preserve">Patients prescribed two or more </w:t>
            </w:r>
            <w:r>
              <w:t xml:space="preserve">unique </w:t>
            </w:r>
            <w:r w:rsidRPr="008A139B">
              <w:t xml:space="preserve">medicines likely to cause </w:t>
            </w:r>
            <w:r>
              <w:t>k</w:t>
            </w:r>
            <w:r w:rsidRPr="008A139B">
              <w:t xml:space="preserve">idney injury (DAMN </w:t>
            </w:r>
            <w:r>
              <w:t>medicines</w:t>
            </w:r>
            <w:r w:rsidRPr="008A139B">
              <w:t>)</w:t>
            </w:r>
          </w:p>
        </w:tc>
      </w:tr>
      <w:tr w:rsidR="00200848" w:rsidRPr="00120B9B" w14:paraId="6E8FA5C7" w14:textId="77777777" w:rsidTr="00200848">
        <w:trPr>
          <w:trHeight w:val="283"/>
        </w:trPr>
        <w:tc>
          <w:tcPr>
            <w:tcW w:w="9747" w:type="dxa"/>
          </w:tcPr>
          <w:p w14:paraId="71D0B3D3" w14:textId="77777777" w:rsidR="00200848" w:rsidRPr="001C4FA9" w:rsidRDefault="00200848" w:rsidP="00200848">
            <w:pPr>
              <w:pStyle w:val="NormalNoSpacing"/>
              <w:keepLines/>
              <w:rPr>
                <w:lang w:eastAsia="en-GB"/>
              </w:rPr>
            </w:pPr>
            <w:r w:rsidRPr="001C4FA9">
              <w:t>Percentage of patients with an anticholinergic burden score of 6/9/12 or greater</w:t>
            </w:r>
          </w:p>
        </w:tc>
      </w:tr>
      <w:tr w:rsidR="00200848" w:rsidRPr="00120B9B" w14:paraId="4934CAC0" w14:textId="77777777" w:rsidTr="00200848">
        <w:trPr>
          <w:trHeight w:val="283"/>
        </w:trPr>
        <w:tc>
          <w:tcPr>
            <w:tcW w:w="9747" w:type="dxa"/>
          </w:tcPr>
          <w:p w14:paraId="17D7B483" w14:textId="77777777" w:rsidR="00200848" w:rsidRPr="00AB004B" w:rsidRDefault="00200848" w:rsidP="00200848">
            <w:pPr>
              <w:pStyle w:val="NormalNoSpacing"/>
              <w:keepLines/>
            </w:pPr>
            <w:r w:rsidRPr="00AB004B">
              <w:t>Patients prescribed 2, 3 or 4 (or more) medicines with moderate to high anticholinergic burden</w:t>
            </w:r>
          </w:p>
        </w:tc>
      </w:tr>
      <w:tr w:rsidR="00200848" w:rsidRPr="00120B9B" w14:paraId="4E74066B" w14:textId="77777777" w:rsidTr="00200848">
        <w:trPr>
          <w:trHeight w:val="283"/>
        </w:trPr>
        <w:tc>
          <w:tcPr>
            <w:tcW w:w="9747" w:type="dxa"/>
          </w:tcPr>
          <w:p w14:paraId="0952F455" w14:textId="77777777" w:rsidR="00200848" w:rsidRPr="00AB004B" w:rsidRDefault="00200848" w:rsidP="00200848">
            <w:pPr>
              <w:pStyle w:val="NormalNoSpacing"/>
              <w:keepLines/>
            </w:pPr>
            <w:r w:rsidRPr="00AB004B">
              <w:t>Patients prescribed 4, 5 or 6 (or more) medicines with low to moderate anticholinergic burden</w:t>
            </w:r>
          </w:p>
        </w:tc>
      </w:tr>
      <w:tr w:rsidR="00200848" w:rsidRPr="00120B9B" w14:paraId="79BBC7A8" w14:textId="77777777" w:rsidTr="00200848">
        <w:trPr>
          <w:trHeight w:val="283"/>
        </w:trPr>
        <w:tc>
          <w:tcPr>
            <w:tcW w:w="9747" w:type="dxa"/>
          </w:tcPr>
          <w:p w14:paraId="542710C9" w14:textId="77777777" w:rsidR="00200848" w:rsidRPr="00BF1A26" w:rsidRDefault="00200848" w:rsidP="00200848">
            <w:pPr>
              <w:pStyle w:val="NormalNoSpacing"/>
              <w:keepLines/>
            </w:pPr>
            <w:r w:rsidRPr="00BF1A26">
              <w:t>Patients concurrently prescribed multiple analgesic medicines.</w:t>
            </w:r>
          </w:p>
        </w:tc>
      </w:tr>
      <w:tr w:rsidR="00200848" w:rsidRPr="00120B9B" w14:paraId="514D0F82" w14:textId="77777777" w:rsidTr="00200848">
        <w:trPr>
          <w:trHeight w:val="283"/>
        </w:trPr>
        <w:tc>
          <w:tcPr>
            <w:tcW w:w="9747" w:type="dxa"/>
          </w:tcPr>
          <w:p w14:paraId="33E773AA" w14:textId="77777777" w:rsidR="00200848" w:rsidRPr="00BF1A26" w:rsidRDefault="00200848" w:rsidP="00200848">
            <w:pPr>
              <w:pStyle w:val="NormalNoSpacing"/>
              <w:keepLines/>
            </w:pPr>
            <w:r w:rsidRPr="00BF1A26">
              <w:t>Patients prescribed 2, 3 or 4 (or more) medicines that can have an unintended hypotensive effect.</w:t>
            </w:r>
          </w:p>
        </w:tc>
      </w:tr>
      <w:tr w:rsidR="00200848" w:rsidRPr="00120B9B" w14:paraId="2C732C30" w14:textId="77777777" w:rsidTr="00200848">
        <w:trPr>
          <w:trHeight w:val="283"/>
        </w:trPr>
        <w:tc>
          <w:tcPr>
            <w:tcW w:w="9747" w:type="dxa"/>
          </w:tcPr>
          <w:p w14:paraId="1458C466" w14:textId="77777777" w:rsidR="00200848" w:rsidRPr="00D70F78" w:rsidRDefault="00200848" w:rsidP="00200848">
            <w:pPr>
              <w:pStyle w:val="NormalNoSpacing"/>
              <w:keepLines/>
            </w:pPr>
            <w:r w:rsidRPr="00CC3615">
              <w:t>Patients prescribed a selective serotonin reuptake inhibitor (SSRI) or a selective noradrenaline reuptake inhibitor (SNRI) concurrently with other medicines known to increase the risk of bleeding</w:t>
            </w:r>
          </w:p>
        </w:tc>
      </w:tr>
    </w:tbl>
    <w:p w14:paraId="20C811EB" w14:textId="6B224D82" w:rsidR="00AC0555" w:rsidRPr="008A139B" w:rsidRDefault="00AC0555" w:rsidP="00AC0555">
      <w:pPr>
        <w:pStyle w:val="Heading1"/>
      </w:pPr>
      <w:bookmarkStart w:id="23" w:name="_Toc234231952"/>
      <w:r>
        <w:t xml:space="preserve">The </w:t>
      </w:r>
      <w:r w:rsidRPr="008A139B">
        <w:t>Prescribing data used in these comparators</w:t>
      </w:r>
      <w:r w:rsidR="008E7A16">
        <w:t>:</w:t>
      </w:r>
      <w:bookmarkEnd w:id="23"/>
    </w:p>
    <w:p w14:paraId="1907CB69" w14:textId="77777777" w:rsidR="00D31EC0" w:rsidRPr="00CC00C9" w:rsidRDefault="005036E7" w:rsidP="00572C7A">
      <w:pPr>
        <w:numPr>
          <w:ilvl w:val="0"/>
          <w:numId w:val="8"/>
        </w:numPr>
      </w:pPr>
      <w:r w:rsidRPr="00CC00C9">
        <w:t>Covers</w:t>
      </w:r>
      <w:r w:rsidR="005E03BF" w:rsidRPr="00CC00C9">
        <w:t xml:space="preserve"> all items prescribed</w:t>
      </w:r>
      <w:r w:rsidR="004C11F0" w:rsidRPr="00CC00C9">
        <w:t xml:space="preserve"> in primary care</w:t>
      </w:r>
      <w:r w:rsidR="00215AAB">
        <w:t xml:space="preserve"> by practices and cost centres linked to </w:t>
      </w:r>
      <w:r w:rsidR="00D60D38">
        <w:t>ICB</w:t>
      </w:r>
      <w:r w:rsidR="00215AAB">
        <w:t>s</w:t>
      </w:r>
      <w:r w:rsidR="004C11F0" w:rsidRPr="00CC00C9">
        <w:t xml:space="preserve">. It includes acute and repeat </w:t>
      </w:r>
      <w:r w:rsidR="00270E76" w:rsidRPr="00CC00C9">
        <w:t xml:space="preserve">items. </w:t>
      </w:r>
      <w:r w:rsidR="00930660">
        <w:t>O</w:t>
      </w:r>
      <w:r w:rsidR="004C11F0" w:rsidRPr="00CC00C9">
        <w:t xml:space="preserve">ver 77% of all items </w:t>
      </w:r>
      <w:r w:rsidR="005E03BF" w:rsidRPr="00CC00C9">
        <w:t xml:space="preserve">dispensed are for repeated </w:t>
      </w:r>
      <w:r w:rsidR="00D31EC0" w:rsidRPr="00CC00C9">
        <w:t>medicines.</w:t>
      </w:r>
      <w:r w:rsidR="00D31EC0" w:rsidRPr="00CC00C9">
        <w:rPr>
          <w:vertAlign w:val="superscript"/>
        </w:rPr>
        <w:t xml:space="preserve"> </w:t>
      </w:r>
      <w:r w:rsidR="00432211" w:rsidRPr="0094371D">
        <w:rPr>
          <w:vertAlign w:val="superscript"/>
        </w:rPr>
        <w:t>(</w:t>
      </w:r>
      <w:r w:rsidR="0094371D" w:rsidRPr="0094371D">
        <w:rPr>
          <w:vertAlign w:val="superscript"/>
        </w:rPr>
        <w:t>3</w:t>
      </w:r>
      <w:r w:rsidR="00D31EC0" w:rsidRPr="0094371D">
        <w:rPr>
          <w:vertAlign w:val="superscript"/>
        </w:rPr>
        <w:t>)</w:t>
      </w:r>
      <w:r w:rsidR="00D31EC0" w:rsidRPr="00CC00C9">
        <w:t xml:space="preserve"> </w:t>
      </w:r>
    </w:p>
    <w:p w14:paraId="5B134CE4" w14:textId="77777777" w:rsidR="004C11F0" w:rsidRPr="00CC00C9" w:rsidRDefault="00930660" w:rsidP="00572C7A">
      <w:pPr>
        <w:numPr>
          <w:ilvl w:val="0"/>
          <w:numId w:val="8"/>
        </w:numPr>
      </w:pPr>
      <w:r>
        <w:t xml:space="preserve">Data is </w:t>
      </w:r>
      <w:r w:rsidR="00D31EC0" w:rsidRPr="00CC00C9">
        <w:t xml:space="preserve">derived from </w:t>
      </w:r>
      <w:r w:rsidR="00953688">
        <w:t>the ePACT</w:t>
      </w:r>
      <w:r w:rsidR="00D60A7F">
        <w:t>2</w:t>
      </w:r>
      <w:r w:rsidR="00953688">
        <w:t xml:space="preserve"> </w:t>
      </w:r>
      <w:r w:rsidR="00D31EC0" w:rsidRPr="00CC00C9">
        <w:t>BNF chapters 1,</w:t>
      </w:r>
      <w:r w:rsidR="009D2440">
        <w:t xml:space="preserve"> </w:t>
      </w:r>
      <w:r w:rsidR="00426E2B" w:rsidRPr="00CC00C9">
        <w:t>2,</w:t>
      </w:r>
      <w:r w:rsidR="009D2440">
        <w:t xml:space="preserve"> </w:t>
      </w:r>
      <w:r w:rsidR="00426E2B" w:rsidRPr="00CC00C9">
        <w:t>3,</w:t>
      </w:r>
      <w:r w:rsidR="009D2440">
        <w:t xml:space="preserve"> </w:t>
      </w:r>
      <w:r w:rsidR="00426E2B" w:rsidRPr="00CC00C9">
        <w:t>4,</w:t>
      </w:r>
      <w:r w:rsidR="009D2440">
        <w:t xml:space="preserve"> </w:t>
      </w:r>
      <w:r w:rsidR="00426E2B" w:rsidRPr="00CC00C9">
        <w:t>6,</w:t>
      </w:r>
      <w:r w:rsidR="009D2440">
        <w:t xml:space="preserve"> </w:t>
      </w:r>
      <w:r w:rsidR="00426E2B" w:rsidRPr="00CC00C9">
        <w:t>7,</w:t>
      </w:r>
      <w:r w:rsidR="009D2440">
        <w:t xml:space="preserve"> </w:t>
      </w:r>
      <w:r w:rsidR="00426E2B" w:rsidRPr="00CC00C9">
        <w:t>8,</w:t>
      </w:r>
      <w:r w:rsidR="009D2440">
        <w:t xml:space="preserve"> </w:t>
      </w:r>
      <w:r w:rsidR="00426E2B" w:rsidRPr="00CC00C9">
        <w:t>9 and 10</w:t>
      </w:r>
      <w:r w:rsidR="005E03BF" w:rsidRPr="00CC00C9">
        <w:t>.</w:t>
      </w:r>
      <w:r w:rsidR="004C11F0" w:rsidRPr="00CC00C9">
        <w:t xml:space="preserve"> </w:t>
      </w:r>
      <w:r w:rsidR="005E03BF" w:rsidRPr="00CC00C9">
        <w:t>T</w:t>
      </w:r>
      <w:r w:rsidR="00270E76" w:rsidRPr="00CC00C9">
        <w:t>herefore</w:t>
      </w:r>
      <w:r w:rsidR="00426E2B" w:rsidRPr="00CC00C9">
        <w:t xml:space="preserve">, the </w:t>
      </w:r>
      <w:r w:rsidR="00DD2B34" w:rsidRPr="00CC00C9">
        <w:t>data does</w:t>
      </w:r>
      <w:r w:rsidR="004C11F0" w:rsidRPr="00CC00C9">
        <w:t xml:space="preserve"> not include </w:t>
      </w:r>
      <w:r w:rsidR="00270E76" w:rsidRPr="00CC00C9">
        <w:t>items</w:t>
      </w:r>
      <w:r w:rsidR="004C11F0" w:rsidRPr="00CC00C9">
        <w:t xml:space="preserve"> such as crea</w:t>
      </w:r>
      <w:r w:rsidR="00426E2B" w:rsidRPr="00CC00C9">
        <w:t xml:space="preserve">ms, vaccines, </w:t>
      </w:r>
      <w:r w:rsidR="00F041DF" w:rsidRPr="00CC00C9">
        <w:t>appliances</w:t>
      </w:r>
      <w:r w:rsidR="00426E2B" w:rsidRPr="00CC00C9">
        <w:t>, eye drops or antimicrobials. The rational</w:t>
      </w:r>
      <w:r w:rsidR="00DD2B34" w:rsidRPr="00CC00C9">
        <w:t>e</w:t>
      </w:r>
      <w:r w:rsidR="00426E2B" w:rsidRPr="00CC00C9">
        <w:t xml:space="preserve"> for the </w:t>
      </w:r>
      <w:r w:rsidR="00DD2B34" w:rsidRPr="00CC00C9">
        <w:t>selection</w:t>
      </w:r>
      <w:r w:rsidR="00426E2B" w:rsidRPr="00CC00C9">
        <w:t xml:space="preserve"> of BNF </w:t>
      </w:r>
      <w:r w:rsidR="00DD2B34" w:rsidRPr="00CC00C9">
        <w:t>chapters</w:t>
      </w:r>
      <w:r w:rsidR="00426E2B" w:rsidRPr="00CC00C9">
        <w:t xml:space="preserve"> is </w:t>
      </w:r>
      <w:r w:rsidR="00E16303" w:rsidRPr="00CC00C9">
        <w:t>that the comparators are intended</w:t>
      </w:r>
      <w:r w:rsidR="00426E2B" w:rsidRPr="00CC00C9">
        <w:t xml:space="preserve"> to help </w:t>
      </w:r>
      <w:r>
        <w:t xml:space="preserve">GP </w:t>
      </w:r>
      <w:r w:rsidR="00DD2B34" w:rsidRPr="00CC00C9">
        <w:t>practices</w:t>
      </w:r>
      <w:r>
        <w:t xml:space="preserve"> and PCNs</w:t>
      </w:r>
      <w:r w:rsidR="00426E2B" w:rsidRPr="00CC00C9">
        <w:t xml:space="preserve"> to focus on </w:t>
      </w:r>
      <w:r w:rsidR="00E16303" w:rsidRPr="00CC00C9">
        <w:t xml:space="preserve">mostly </w:t>
      </w:r>
      <w:r w:rsidR="00426E2B" w:rsidRPr="00CC00C9">
        <w:lastRenderedPageBreak/>
        <w:t>orally taken medicines</w:t>
      </w:r>
      <w:r w:rsidR="00E16303" w:rsidRPr="00CC00C9">
        <w:t>,</w:t>
      </w:r>
      <w:r w:rsidR="00426E2B" w:rsidRPr="00CC00C9">
        <w:t xml:space="preserve"> prescribed for long term conditions</w:t>
      </w:r>
      <w:r w:rsidR="00270E76" w:rsidRPr="00CC00C9">
        <w:t>.</w:t>
      </w:r>
      <w:r w:rsidR="00426E2B" w:rsidRPr="00CC00C9">
        <w:t xml:space="preserve"> In general, these are the medicines that have been found in studies to increase the risk</w:t>
      </w:r>
      <w:r w:rsidR="00EA3E9B" w:rsidRPr="00CC00C9">
        <w:t>s</w:t>
      </w:r>
      <w:r w:rsidR="00426E2B" w:rsidRPr="00CC00C9">
        <w:t xml:space="preserve"> associated with taking multiple medicines. It is understood that eye drops for example</w:t>
      </w:r>
      <w:r w:rsidR="001F7F3C" w:rsidRPr="00CC00C9">
        <w:t xml:space="preserve">, which are not included </w:t>
      </w:r>
      <w:r w:rsidR="00D34CC0">
        <w:t xml:space="preserve">in </w:t>
      </w:r>
      <w:r w:rsidR="001F7F3C" w:rsidRPr="00CC00C9">
        <w:t>the polypharmacy prescribing comparators,</w:t>
      </w:r>
      <w:r w:rsidR="00426E2B" w:rsidRPr="00CC00C9">
        <w:t xml:space="preserve"> can be used for the management of </w:t>
      </w:r>
      <w:r w:rsidRPr="00CC00C9">
        <w:t>long-term</w:t>
      </w:r>
      <w:r w:rsidR="00426E2B" w:rsidRPr="00CC00C9">
        <w:t xml:space="preserve"> conditions and can be </w:t>
      </w:r>
      <w:r w:rsidR="00DD2B34" w:rsidRPr="00CC00C9">
        <w:t>problematic</w:t>
      </w:r>
      <w:r w:rsidR="00426E2B" w:rsidRPr="00CC00C9">
        <w:t xml:space="preserve"> when multiple </w:t>
      </w:r>
      <w:r w:rsidR="00DD2B34" w:rsidRPr="00CC00C9">
        <w:t>medicines</w:t>
      </w:r>
      <w:r w:rsidR="00426E2B" w:rsidRPr="00CC00C9">
        <w:t xml:space="preserve"> are used in this way</w:t>
      </w:r>
      <w:r w:rsidR="00DD2B34" w:rsidRPr="00CC00C9">
        <w:t xml:space="preserve">. However, </w:t>
      </w:r>
      <w:r w:rsidR="00426E2B" w:rsidRPr="00CC00C9">
        <w:t xml:space="preserve">for the </w:t>
      </w:r>
      <w:r w:rsidR="00EA3E9B" w:rsidRPr="00CC00C9">
        <w:t>pur</w:t>
      </w:r>
      <w:r w:rsidR="00DD2B34" w:rsidRPr="00CC00C9">
        <w:t>poses</w:t>
      </w:r>
      <w:r w:rsidR="00426E2B" w:rsidRPr="00CC00C9">
        <w:t xml:space="preserve"> of th</w:t>
      </w:r>
      <w:r>
        <w:t>e</w:t>
      </w:r>
      <w:r w:rsidR="00426E2B" w:rsidRPr="00CC00C9">
        <w:t xml:space="preserve"> polypharmacy prescribing comparators, it was agreed that the focus would be kept on the BNF chapters listed. </w:t>
      </w:r>
    </w:p>
    <w:p w14:paraId="0E79A730" w14:textId="263500F5" w:rsidR="004C11F0" w:rsidRDefault="005036E7" w:rsidP="00572C7A">
      <w:pPr>
        <w:numPr>
          <w:ilvl w:val="0"/>
          <w:numId w:val="8"/>
        </w:numPr>
      </w:pPr>
      <w:r w:rsidRPr="00CC00C9">
        <w:t>Does</w:t>
      </w:r>
      <w:r w:rsidR="004C11F0" w:rsidRPr="00CC00C9">
        <w:t xml:space="preserve"> not inc</w:t>
      </w:r>
      <w:r w:rsidR="00270E76" w:rsidRPr="00CC00C9">
        <w:t xml:space="preserve">lude hospital </w:t>
      </w:r>
      <w:r w:rsidR="00E1149C">
        <w:t>dispensing</w:t>
      </w:r>
      <w:r w:rsidR="005E03BF" w:rsidRPr="00CC00C9">
        <w:t>. T</w:t>
      </w:r>
      <w:r w:rsidR="00270E76" w:rsidRPr="00CC00C9">
        <w:t>here</w:t>
      </w:r>
      <w:r w:rsidR="004C11F0" w:rsidRPr="00CC00C9">
        <w:t>fore</w:t>
      </w:r>
      <w:r w:rsidR="00426E2B" w:rsidRPr="00CC00C9">
        <w:t>,</w:t>
      </w:r>
      <w:r w:rsidR="004C11F0" w:rsidRPr="00CC00C9">
        <w:t xml:space="preserve"> medicines supplied via Home Care or HIV medicines or</w:t>
      </w:r>
      <w:r w:rsidR="00683D87" w:rsidRPr="00CC00C9">
        <w:t xml:space="preserve"> medicines </w:t>
      </w:r>
      <w:r w:rsidR="005E03BF" w:rsidRPr="00CC00C9">
        <w:t>supplied</w:t>
      </w:r>
      <w:r w:rsidR="00BE2E6E" w:rsidRPr="00CC00C9">
        <w:t xml:space="preserve"> </w:t>
      </w:r>
      <w:r w:rsidR="005E03BF" w:rsidRPr="00CC00C9">
        <w:t>by</w:t>
      </w:r>
      <w:r w:rsidR="00BE2E6E" w:rsidRPr="00CC00C9">
        <w:t xml:space="preserve"> the </w:t>
      </w:r>
      <w:r w:rsidR="00270E76" w:rsidRPr="00CC00C9">
        <w:t>hospital</w:t>
      </w:r>
      <w:r w:rsidR="00BE2E6E" w:rsidRPr="00CC00C9">
        <w:t xml:space="preserve"> </w:t>
      </w:r>
      <w:r w:rsidR="005E03BF" w:rsidRPr="00CC00C9">
        <w:t xml:space="preserve">pharmacy </w:t>
      </w:r>
      <w:r w:rsidR="00BE2E6E" w:rsidRPr="00CC00C9">
        <w:t xml:space="preserve">such as oncology treatments </w:t>
      </w:r>
      <w:r w:rsidR="005E03BF" w:rsidRPr="00CC00C9">
        <w:t>are not included.</w:t>
      </w:r>
    </w:p>
    <w:p w14:paraId="6C0FA68A" w14:textId="77777777" w:rsidR="00215AAB" w:rsidRDefault="00215AAB" w:rsidP="00572C7A">
      <w:pPr>
        <w:numPr>
          <w:ilvl w:val="0"/>
          <w:numId w:val="8"/>
        </w:numPr>
      </w:pPr>
      <w:r>
        <w:t>Does not include medicines supplied over the counter</w:t>
      </w:r>
      <w:r w:rsidR="000E1505">
        <w:t>.</w:t>
      </w:r>
    </w:p>
    <w:p w14:paraId="2F74EEA0" w14:textId="77777777" w:rsidR="00215AAB" w:rsidRPr="00CC00C9" w:rsidRDefault="00215AAB" w:rsidP="00572C7A">
      <w:pPr>
        <w:numPr>
          <w:ilvl w:val="0"/>
          <w:numId w:val="8"/>
        </w:numPr>
      </w:pPr>
      <w:r>
        <w:t xml:space="preserve">Does not include medicines supplied by </w:t>
      </w:r>
      <w:r w:rsidR="00E53975">
        <w:t xml:space="preserve">NHS </w:t>
      </w:r>
      <w:r>
        <w:t>community services</w:t>
      </w:r>
      <w:r w:rsidR="003255D2">
        <w:t xml:space="preserve"> or pharmacy advanced services</w:t>
      </w:r>
      <w:r w:rsidR="000E1505">
        <w:t>.</w:t>
      </w:r>
    </w:p>
    <w:p w14:paraId="33F33895" w14:textId="77777777" w:rsidR="00CC00C9" w:rsidRDefault="00D721D9" w:rsidP="00572C7A">
      <w:r w:rsidRPr="00CC00C9">
        <w:t xml:space="preserve">Each comparator is derived using prescribing data for a single month. Historic data is available to allow </w:t>
      </w:r>
      <w:r w:rsidR="00D60D38">
        <w:t>ICB</w:t>
      </w:r>
      <w:r w:rsidRPr="00CC00C9">
        <w:t xml:space="preserve">s and </w:t>
      </w:r>
      <w:r w:rsidR="00930660">
        <w:t xml:space="preserve">GP </w:t>
      </w:r>
      <w:r w:rsidRPr="00CC00C9">
        <w:t>Practice</w:t>
      </w:r>
      <w:r w:rsidR="00901981">
        <w:t>s</w:t>
      </w:r>
      <w:r w:rsidRPr="00CC00C9">
        <w:t xml:space="preserve"> to chart their progress in addressing a particular comparator area.</w:t>
      </w:r>
    </w:p>
    <w:p w14:paraId="14CE7869" w14:textId="77777777" w:rsidR="00302FC6" w:rsidRPr="002665A3" w:rsidRDefault="00CC00C9" w:rsidP="00572C7A">
      <w:proofErr w:type="gramStart"/>
      <w:r w:rsidRPr="00F569A7">
        <w:t>All of</w:t>
      </w:r>
      <w:proofErr w:type="gramEnd"/>
      <w:r w:rsidRPr="00F569A7">
        <w:t xml:space="preserve"> the comparators show monthly data at </w:t>
      </w:r>
      <w:r w:rsidR="00901981" w:rsidRPr="00F569A7">
        <w:t xml:space="preserve">GP </w:t>
      </w:r>
      <w:r w:rsidR="000F14F4" w:rsidRPr="00F569A7">
        <w:t xml:space="preserve">Practice level (aggregated to </w:t>
      </w:r>
      <w:r w:rsidR="006F0081" w:rsidRPr="006F0081">
        <w:t xml:space="preserve">PCN, SICBL, </w:t>
      </w:r>
      <w:r w:rsidR="002C2F02">
        <w:t>HIN</w:t>
      </w:r>
      <w:r w:rsidR="006F0081" w:rsidRPr="006F0081">
        <w:t>, ICB, Regional and England</w:t>
      </w:r>
      <w:r w:rsidR="000F14F4" w:rsidRPr="00F569A7">
        <w:t xml:space="preserve"> level</w:t>
      </w:r>
      <w:r w:rsidR="0094371D" w:rsidRPr="00F569A7">
        <w:t>)</w:t>
      </w:r>
      <w:r w:rsidR="000F14F4" w:rsidRPr="00F569A7">
        <w:t xml:space="preserve"> </w:t>
      </w:r>
      <w:r w:rsidRPr="00F569A7">
        <w:t xml:space="preserve">and are </w:t>
      </w:r>
      <w:r w:rsidR="00901981" w:rsidRPr="00F569A7">
        <w:t xml:space="preserve">available </w:t>
      </w:r>
      <w:r w:rsidRPr="00F569A7">
        <w:t>for all patients, patients aged</w:t>
      </w:r>
      <w:r w:rsidR="006F0081">
        <w:t xml:space="preserve"> 0-17, 18 to 24</w:t>
      </w:r>
      <w:r w:rsidR="00974EE3">
        <w:t>,</w:t>
      </w:r>
      <w:r w:rsidR="006F0081">
        <w:t xml:space="preserve"> 10</w:t>
      </w:r>
      <w:r w:rsidR="00974EE3">
        <w:t>-</w:t>
      </w:r>
      <w:r w:rsidR="006F0081">
        <w:t>year age bands</w:t>
      </w:r>
      <w:r w:rsidRPr="00F569A7">
        <w:t xml:space="preserve"> </w:t>
      </w:r>
      <w:r w:rsidR="00974EE3">
        <w:t>between 25 and 84,</w:t>
      </w:r>
      <w:r w:rsidR="006F0081">
        <w:t xml:space="preserve"> </w:t>
      </w:r>
      <w:r w:rsidRPr="00F569A7">
        <w:t>65 and over, 75</w:t>
      </w:r>
      <w:r w:rsidR="00C93395" w:rsidRPr="00F569A7">
        <w:t xml:space="preserve"> and over</w:t>
      </w:r>
      <w:r w:rsidR="001E6E31">
        <w:t xml:space="preserve">, </w:t>
      </w:r>
      <w:r w:rsidR="0031776D">
        <w:t xml:space="preserve">and </w:t>
      </w:r>
      <w:r w:rsidR="001E6E31">
        <w:t>85</w:t>
      </w:r>
      <w:r w:rsidR="00974EE3">
        <w:t xml:space="preserve"> and over.</w:t>
      </w:r>
    </w:p>
    <w:p w14:paraId="4FEE042C" w14:textId="77777777" w:rsidR="00CC00C9" w:rsidRDefault="00CC00C9" w:rsidP="00572C7A">
      <w:r w:rsidRPr="002D2D31">
        <w:rPr>
          <w:b/>
        </w:rPr>
        <w:t>Unique patient:</w:t>
      </w:r>
      <w:r w:rsidRPr="00CC00C9">
        <w:t xml:space="preserve"> This has been determined from prescriptions where the NHSBSA has been able to obtain details regarding patient NHS number and age at practice location. The maximum age of the patient has been used during the </w:t>
      </w:r>
      <w:r w:rsidR="00D34CC0">
        <w:t xml:space="preserve">reporting </w:t>
      </w:r>
      <w:r w:rsidRPr="00CC00C9">
        <w:t xml:space="preserve">period e.g. where a patient has been flagged as both age 56 and 57 then 57 has been used. Where the same patient appears in the data for more than one practice </w:t>
      </w:r>
      <w:proofErr w:type="gramStart"/>
      <w:r w:rsidRPr="00CC00C9">
        <w:t>location</w:t>
      </w:r>
      <w:proofErr w:type="gramEnd"/>
      <w:r w:rsidRPr="00CC00C9">
        <w:t xml:space="preserve"> they will be counted as one patient for each of the practice locations they appear in</w:t>
      </w:r>
      <w:r w:rsidR="006A1474">
        <w:t>.</w:t>
      </w:r>
    </w:p>
    <w:p w14:paraId="7922F661" w14:textId="77777777" w:rsidR="00313D6A" w:rsidRPr="00CC00C9" w:rsidRDefault="00313D6A" w:rsidP="00572C7A">
      <w:r>
        <w:t xml:space="preserve">NB: </w:t>
      </w:r>
      <w:r w:rsidRPr="00313D6A">
        <w:t xml:space="preserve">While NHS numbers are used to formulate these </w:t>
      </w:r>
      <w:r w:rsidR="00A90B6D" w:rsidRPr="00313D6A">
        <w:t>comparators,</w:t>
      </w:r>
      <w:r w:rsidRPr="00313D6A">
        <w:t xml:space="preserve"> no personal</w:t>
      </w:r>
      <w:r w:rsidR="00930660">
        <w:t xml:space="preserve">, </w:t>
      </w:r>
      <w:r w:rsidRPr="00313D6A">
        <w:t>identifiable data will be released through these comparators.</w:t>
      </w:r>
    </w:p>
    <w:p w14:paraId="4D52E4BE" w14:textId="0CBB24F8" w:rsidR="00CC00C9" w:rsidRDefault="00CC00C9" w:rsidP="00572C7A">
      <w:r w:rsidRPr="002D2D31">
        <w:rPr>
          <w:b/>
        </w:rPr>
        <w:t>Unique medicine</w:t>
      </w:r>
      <w:r w:rsidR="00983B0C" w:rsidRPr="002D2D31">
        <w:rPr>
          <w:b/>
        </w:rPr>
        <w:t>:</w:t>
      </w:r>
      <w:r w:rsidRPr="00983B0C">
        <w:t xml:space="preserve"> </w:t>
      </w:r>
      <w:r w:rsidRPr="00CC00C9">
        <w:t>A unique medicine is measured as one or more medicines prescribed as the same chemical substance whether it be different formulations (presentations) or different strengths. Medicines with the same chemical substance</w:t>
      </w:r>
      <w:r w:rsidR="00A90B6D">
        <w:t xml:space="preserve"> </w:t>
      </w:r>
      <w:r w:rsidR="00E53975">
        <w:t>(</w:t>
      </w:r>
      <w:r w:rsidR="00A90B6D">
        <w:t>i.e.</w:t>
      </w:r>
      <w:r w:rsidRPr="00CC00C9">
        <w:t xml:space="preserve"> </w:t>
      </w:r>
      <w:proofErr w:type="spellStart"/>
      <w:r w:rsidRPr="00CC00C9">
        <w:t>ePACT</w:t>
      </w:r>
      <w:proofErr w:type="spellEnd"/>
      <w:r w:rsidR="009F0D7B">
        <w:t xml:space="preserve"> </w:t>
      </w:r>
      <w:proofErr w:type="gramStart"/>
      <w:r w:rsidR="00E53975">
        <w:t>9 character</w:t>
      </w:r>
      <w:proofErr w:type="gramEnd"/>
      <w:r w:rsidR="00E53975">
        <w:t xml:space="preserve"> </w:t>
      </w:r>
      <w:r w:rsidRPr="00CC00C9">
        <w:t xml:space="preserve">BNF </w:t>
      </w:r>
      <w:r w:rsidR="00A90B6D" w:rsidRPr="00CC00C9">
        <w:t>code)</w:t>
      </w:r>
      <w:r w:rsidRPr="00CC00C9">
        <w:t xml:space="preserve"> are counted as one (single) unique medicine e.g. warfarin 1mg, 3mg and 5mg tablets are counted as one unique medicine.</w:t>
      </w:r>
    </w:p>
    <w:p w14:paraId="001E3075" w14:textId="77777777" w:rsidR="00663E9F" w:rsidRPr="008A139B" w:rsidRDefault="00663E9F" w:rsidP="001D3131">
      <w:pPr>
        <w:pStyle w:val="Heading1"/>
      </w:pPr>
      <w:bookmarkStart w:id="24" w:name="_Toc473297131"/>
      <w:bookmarkStart w:id="25" w:name="_Toc473635664"/>
      <w:bookmarkStart w:id="26" w:name="_Toc473636479"/>
      <w:bookmarkStart w:id="27" w:name="_Toc474398579"/>
      <w:bookmarkStart w:id="28" w:name="_Toc475027478"/>
      <w:bookmarkStart w:id="29" w:name="_Toc234231953"/>
      <w:r w:rsidRPr="008A139B">
        <w:lastRenderedPageBreak/>
        <w:t>How to use these comparators</w:t>
      </w:r>
      <w:bookmarkEnd w:id="24"/>
      <w:bookmarkEnd w:id="25"/>
      <w:bookmarkEnd w:id="26"/>
      <w:bookmarkEnd w:id="27"/>
      <w:bookmarkEnd w:id="28"/>
      <w:bookmarkEnd w:id="29"/>
    </w:p>
    <w:p w14:paraId="2135AD68" w14:textId="77777777" w:rsidR="00663E9F" w:rsidRPr="00CC00C9" w:rsidRDefault="00663E9F" w:rsidP="00572C7A">
      <w:r w:rsidRPr="00CC00C9">
        <w:t xml:space="preserve">We envisage that the comparators will be used by </w:t>
      </w:r>
      <w:r w:rsidR="00F83576">
        <w:t>ICB</w:t>
      </w:r>
      <w:r w:rsidRPr="00CC00C9">
        <w:t>s in collaboration with</w:t>
      </w:r>
      <w:r w:rsidR="00FA35EA">
        <w:t xml:space="preserve"> Primary Care Networks and</w:t>
      </w:r>
      <w:r w:rsidRPr="00CC00C9">
        <w:t xml:space="preserve"> local </w:t>
      </w:r>
      <w:r w:rsidR="002D2D31">
        <w:t xml:space="preserve">GP </w:t>
      </w:r>
      <w:r w:rsidRPr="00CC00C9">
        <w:t>practices and with the relevant and appropriate education and training support in place.</w:t>
      </w:r>
    </w:p>
    <w:p w14:paraId="234A2B67" w14:textId="77777777" w:rsidR="00663E9F" w:rsidRPr="00CC00C9" w:rsidRDefault="00532BBC" w:rsidP="00572C7A">
      <w:r>
        <w:t>The comparators have been designed to</w:t>
      </w:r>
      <w:r w:rsidR="000E1505">
        <w:t xml:space="preserve"> </w:t>
      </w:r>
      <w:r>
        <w:t>be</w:t>
      </w:r>
      <w:r w:rsidR="00663E9F" w:rsidRPr="00CC00C9">
        <w:t xml:space="preserve"> the stimulus for debate and </w:t>
      </w:r>
      <w:proofErr w:type="gramStart"/>
      <w:r w:rsidR="00663E9F" w:rsidRPr="00CC00C9">
        <w:t>change</w:t>
      </w:r>
      <w:r>
        <w:t>.</w:t>
      </w:r>
      <w:r w:rsidRPr="004D3BED">
        <w:rPr>
          <w:vertAlign w:val="superscript"/>
        </w:rPr>
        <w:t>(</w:t>
      </w:r>
      <w:proofErr w:type="gramEnd"/>
      <w:r w:rsidRPr="004D3BED">
        <w:rPr>
          <w:vertAlign w:val="superscript"/>
        </w:rPr>
        <w:t>4)</w:t>
      </w:r>
      <w:r w:rsidR="00663E9F" w:rsidRPr="00CC00C9">
        <w:t xml:space="preserve"> Th</w:t>
      </w:r>
      <w:r>
        <w:t>is facilitates</w:t>
      </w:r>
      <w:r w:rsidR="00663E9F" w:rsidRPr="00CC00C9">
        <w:t xml:space="preserve"> an approach of taking a population perspective to trigger the search for unwarranted </w:t>
      </w:r>
      <w:r w:rsidR="00A67D30" w:rsidRPr="00CC00C9">
        <w:t>variation in</w:t>
      </w:r>
      <w:r w:rsidR="00630A37">
        <w:t xml:space="preserve"> </w:t>
      </w:r>
      <w:r w:rsidR="00663E9F" w:rsidRPr="00CC00C9">
        <w:t xml:space="preserve">care. </w:t>
      </w:r>
    </w:p>
    <w:p w14:paraId="6F6FCE41" w14:textId="77777777" w:rsidR="00F041DF" w:rsidRPr="00CC00C9" w:rsidRDefault="00663E9F" w:rsidP="00572C7A">
      <w:r w:rsidRPr="00CC00C9">
        <w:t>Clearly, in addressing outlying practice and unwarranted variation, Pharmacists</w:t>
      </w:r>
      <w:r w:rsidR="00FA35EA">
        <w:t xml:space="preserve"> and Pharmacy Technicians</w:t>
      </w:r>
      <w:r w:rsidRPr="00CC00C9">
        <w:t xml:space="preserve"> working in GP practices will play an important role in supporting practices to identify and </w:t>
      </w:r>
      <w:r w:rsidR="00377D17">
        <w:t>manage</w:t>
      </w:r>
      <w:r w:rsidR="00377D17" w:rsidRPr="00CC00C9">
        <w:t xml:space="preserve"> </w:t>
      </w:r>
      <w:r w:rsidRPr="00CC00C9">
        <w:t>patients who are deemed at risk of problematic polypharmacy and who require thorough medication review as a priority.</w:t>
      </w:r>
      <w:r w:rsidR="00630F92" w:rsidRPr="00CC00C9">
        <w:t xml:space="preserve"> </w:t>
      </w:r>
    </w:p>
    <w:p w14:paraId="2F488A87" w14:textId="45CE53E5" w:rsidR="00FF014C" w:rsidRPr="00CC00C9" w:rsidRDefault="009A4301" w:rsidP="00572C7A">
      <w:r w:rsidRPr="00CC00C9">
        <w:t xml:space="preserve">During the development of these comparators, </w:t>
      </w:r>
      <w:r w:rsidR="00D465B8">
        <w:t>some</w:t>
      </w:r>
      <w:r w:rsidRPr="00CC00C9">
        <w:t xml:space="preserve"> </w:t>
      </w:r>
      <w:r w:rsidR="00930660">
        <w:t>NHS organisations</w:t>
      </w:r>
      <w:r w:rsidR="00930660" w:rsidRPr="00CC00C9">
        <w:t xml:space="preserve"> </w:t>
      </w:r>
      <w:r w:rsidRPr="00CC00C9">
        <w:t xml:space="preserve">expressed a desire to see historic data in order that they could assess the impact of </w:t>
      </w:r>
      <w:r w:rsidR="00C87894" w:rsidRPr="00CC00C9">
        <w:t xml:space="preserve">any </w:t>
      </w:r>
      <w:r w:rsidRPr="00CC00C9">
        <w:t xml:space="preserve">polypharmacy activity to date. </w:t>
      </w:r>
    </w:p>
    <w:p w14:paraId="0CF71AB6" w14:textId="77777777" w:rsidR="00D668B7" w:rsidRPr="00BF1A26" w:rsidRDefault="00663E9F" w:rsidP="001D3131">
      <w:pPr>
        <w:pStyle w:val="Heading1"/>
      </w:pPr>
      <w:bookmarkStart w:id="30" w:name="_Toc473297132"/>
      <w:bookmarkStart w:id="31" w:name="_Toc473635665"/>
      <w:bookmarkStart w:id="32" w:name="_Toc473636480"/>
      <w:bookmarkStart w:id="33" w:name="_Toc474398580"/>
      <w:bookmarkStart w:id="34" w:name="_Toc475027479"/>
      <w:bookmarkStart w:id="35" w:name="_Toc234231954"/>
      <w:r w:rsidRPr="00BF1A26">
        <w:rPr>
          <w:rStyle w:val="Heading1Char"/>
          <w:rFonts w:eastAsia="Calibri"/>
          <w:b/>
          <w:bCs/>
        </w:rPr>
        <w:t>Definitions of polypharmacy</w:t>
      </w:r>
      <w:bookmarkEnd w:id="30"/>
      <w:bookmarkEnd w:id="31"/>
      <w:bookmarkEnd w:id="32"/>
      <w:bookmarkEnd w:id="33"/>
      <w:bookmarkEnd w:id="34"/>
      <w:bookmarkEnd w:id="35"/>
      <w:r w:rsidRPr="00BF1A26">
        <w:t xml:space="preserve"> </w:t>
      </w:r>
    </w:p>
    <w:p w14:paraId="7EC87E65" w14:textId="77777777" w:rsidR="00663E9F" w:rsidRPr="00D668B7" w:rsidRDefault="00663E9F" w:rsidP="00572C7A">
      <w:pPr>
        <w:rPr>
          <w:szCs w:val="24"/>
        </w:rPr>
      </w:pPr>
      <w:r w:rsidRPr="00CC00C9">
        <w:t>Appropriate polypharmacy: 'Prescribing for an individual for complex conditions or for multiple conditions in circumstances where medicines use has been optimised and where the medicines are prescribed according to best evidence.'</w:t>
      </w:r>
    </w:p>
    <w:p w14:paraId="6CA5F76D" w14:textId="2351B811" w:rsidR="00FF014C" w:rsidRPr="00FF014C" w:rsidRDefault="00663E9F" w:rsidP="00572C7A">
      <w:pPr>
        <w:rPr>
          <w:rStyle w:val="Heading1Char"/>
          <w:rFonts w:eastAsia="Calibri"/>
          <w:b w:val="0"/>
          <w:bCs w:val="0"/>
          <w:sz w:val="22"/>
          <w:szCs w:val="22"/>
        </w:rPr>
      </w:pPr>
      <w:r w:rsidRPr="00CC00C9">
        <w:t xml:space="preserve">Problematic polypharmacy: 'The prescribing of multiple medicines inappropriately, or where the intended benefit of the medicines </w:t>
      </w:r>
      <w:r w:rsidR="00D465B8">
        <w:t>is</w:t>
      </w:r>
      <w:r w:rsidRPr="00CC00C9">
        <w:t xml:space="preserve"> not realised.’</w:t>
      </w:r>
    </w:p>
    <w:p w14:paraId="361211DA" w14:textId="77777777" w:rsidR="004E3E0C" w:rsidRPr="004E3E0C" w:rsidRDefault="00E051ED" w:rsidP="001D3131">
      <w:pPr>
        <w:pStyle w:val="Heading1"/>
        <w:rPr>
          <w:rStyle w:val="Heading1Char"/>
          <w:rFonts w:eastAsia="Calibri"/>
          <w:b/>
          <w:bCs/>
        </w:rPr>
      </w:pPr>
      <w:bookmarkStart w:id="36" w:name="_Toc473297133"/>
      <w:bookmarkStart w:id="37" w:name="_Toc473635666"/>
      <w:bookmarkStart w:id="38" w:name="_Toc473636481"/>
      <w:bookmarkStart w:id="39" w:name="_Toc474398581"/>
      <w:bookmarkStart w:id="40" w:name="_Toc475027480"/>
      <w:bookmarkStart w:id="41" w:name="_Toc234231955"/>
      <w:r w:rsidRPr="004E3E0C">
        <w:rPr>
          <w:rStyle w:val="Heading1Char"/>
          <w:rFonts w:eastAsia="Calibri"/>
          <w:b/>
          <w:bCs/>
        </w:rPr>
        <w:t>Contextual Content</w:t>
      </w:r>
      <w:bookmarkEnd w:id="41"/>
    </w:p>
    <w:bookmarkEnd w:id="36"/>
    <w:bookmarkEnd w:id="37"/>
    <w:bookmarkEnd w:id="38"/>
    <w:bookmarkEnd w:id="39"/>
    <w:bookmarkEnd w:id="40"/>
    <w:p w14:paraId="6E439868" w14:textId="77777777" w:rsidR="00E051ED" w:rsidRPr="00CC00C9" w:rsidRDefault="00AF5810" w:rsidP="001D3131">
      <w:pPr>
        <w:rPr>
          <w:szCs w:val="24"/>
        </w:rPr>
      </w:pPr>
      <w:r>
        <w:t>The following a</w:t>
      </w:r>
      <w:r w:rsidR="00E051ED" w:rsidRPr="009A2E49">
        <w:t xml:space="preserve">dditional information will be included </w:t>
      </w:r>
      <w:r w:rsidR="00BA7E2A">
        <w:t>along</w:t>
      </w:r>
      <w:r w:rsidR="00532BBC">
        <w:t>side</w:t>
      </w:r>
      <w:r w:rsidR="00377D17" w:rsidRPr="009A2E49">
        <w:t xml:space="preserve"> </w:t>
      </w:r>
      <w:r w:rsidR="00E051ED" w:rsidRPr="009A2E49">
        <w:t xml:space="preserve">the </w:t>
      </w:r>
      <w:r w:rsidR="00BA7E2A">
        <w:t>p</w:t>
      </w:r>
      <w:r w:rsidR="00E051ED" w:rsidRPr="009A2E49">
        <w:t xml:space="preserve">olypharmacy </w:t>
      </w:r>
      <w:r w:rsidR="00BA7E2A">
        <w:t>p</w:t>
      </w:r>
      <w:r w:rsidR="00377D17">
        <w:t xml:space="preserve">rescribing </w:t>
      </w:r>
      <w:r w:rsidR="00BA7E2A">
        <w:t>c</w:t>
      </w:r>
      <w:r w:rsidR="00377D17">
        <w:t>omparators</w:t>
      </w:r>
      <w:r w:rsidR="00377D17" w:rsidRPr="009A2E49">
        <w:t xml:space="preserve"> </w:t>
      </w:r>
      <w:r w:rsidR="00E051ED" w:rsidRPr="009A2E49">
        <w:t>to provide context to the content</w:t>
      </w:r>
      <w:r>
        <w:t xml:space="preserve"> and the data. This data will be available at </w:t>
      </w:r>
      <w:r w:rsidR="00930660">
        <w:t xml:space="preserve">GP </w:t>
      </w:r>
      <w:r w:rsidR="00532BBC">
        <w:t xml:space="preserve">Practice, </w:t>
      </w:r>
      <w:r w:rsidR="00930660">
        <w:t>PCN</w:t>
      </w:r>
      <w:r w:rsidR="00644B3F">
        <w:t>,</w:t>
      </w:r>
      <w:r w:rsidR="00930660">
        <w:t xml:space="preserve"> </w:t>
      </w:r>
      <w:r w:rsidR="00F83576">
        <w:t>ICB</w:t>
      </w:r>
      <w:r w:rsidR="00644B3F">
        <w:t>, HIN</w:t>
      </w:r>
      <w:r>
        <w:t xml:space="preserve"> and England level.</w:t>
      </w:r>
      <w:r w:rsidR="00377D17">
        <w:t xml:space="preserve"> </w:t>
      </w:r>
    </w:p>
    <w:p w14:paraId="323AC12C" w14:textId="77777777" w:rsidR="00E051ED" w:rsidRPr="00276F1E" w:rsidRDefault="00E051ED" w:rsidP="00572C7A">
      <w:pPr>
        <w:numPr>
          <w:ilvl w:val="0"/>
          <w:numId w:val="13"/>
        </w:numPr>
      </w:pPr>
      <w:r w:rsidRPr="00276F1E">
        <w:t xml:space="preserve">EPS </w:t>
      </w:r>
      <w:r w:rsidR="00276F1E" w:rsidRPr="00276F1E">
        <w:t xml:space="preserve">item </w:t>
      </w:r>
      <w:r w:rsidRPr="00276F1E">
        <w:t>volumes</w:t>
      </w:r>
    </w:p>
    <w:p w14:paraId="13118456" w14:textId="77777777" w:rsidR="00E051ED" w:rsidRPr="00276F1E" w:rsidRDefault="00E051ED" w:rsidP="00572C7A">
      <w:pPr>
        <w:numPr>
          <w:ilvl w:val="0"/>
          <w:numId w:val="13"/>
        </w:numPr>
      </w:pPr>
      <w:r w:rsidRPr="00276F1E">
        <w:t xml:space="preserve">Repeat Dispensing </w:t>
      </w:r>
      <w:r w:rsidR="00276F1E" w:rsidRPr="00276F1E">
        <w:t>item v</w:t>
      </w:r>
      <w:r w:rsidRPr="00276F1E">
        <w:t>olumes</w:t>
      </w:r>
    </w:p>
    <w:p w14:paraId="220E986F" w14:textId="77777777" w:rsidR="00E051ED" w:rsidRPr="00276F1E" w:rsidRDefault="00276F1E" w:rsidP="00572C7A">
      <w:pPr>
        <w:numPr>
          <w:ilvl w:val="0"/>
          <w:numId w:val="13"/>
        </w:numPr>
      </w:pPr>
      <w:r w:rsidRPr="00276F1E">
        <w:t>Total Prescription item v</w:t>
      </w:r>
      <w:r w:rsidR="00E051ED" w:rsidRPr="00276F1E">
        <w:t>olumes</w:t>
      </w:r>
    </w:p>
    <w:p w14:paraId="24FA8EDA" w14:textId="77777777" w:rsidR="00276F1E" w:rsidRPr="00276F1E" w:rsidRDefault="00276F1E" w:rsidP="00572C7A">
      <w:pPr>
        <w:numPr>
          <w:ilvl w:val="0"/>
          <w:numId w:val="13"/>
        </w:numPr>
      </w:pPr>
      <w:r w:rsidRPr="00276F1E">
        <w:t>Total Prescription item volumes for BNF Chapters 1 to 4 and 6 to 10</w:t>
      </w:r>
    </w:p>
    <w:p w14:paraId="3B470156" w14:textId="77777777" w:rsidR="00E051ED" w:rsidRPr="00276F1E" w:rsidRDefault="00E051ED" w:rsidP="00572C7A">
      <w:pPr>
        <w:numPr>
          <w:ilvl w:val="0"/>
          <w:numId w:val="13"/>
        </w:numPr>
      </w:pPr>
      <w:r w:rsidRPr="00276F1E">
        <w:t>Total Prescrip</w:t>
      </w:r>
      <w:r w:rsidR="00276F1E" w:rsidRPr="00276F1E">
        <w:t xml:space="preserve">tion item </w:t>
      </w:r>
      <w:r w:rsidRPr="00276F1E">
        <w:t>volumes where NHS number and patient age have been identified</w:t>
      </w:r>
    </w:p>
    <w:p w14:paraId="2E0B064D" w14:textId="77777777" w:rsidR="00E051ED" w:rsidRPr="00276F1E" w:rsidRDefault="00276F1E" w:rsidP="00572C7A">
      <w:pPr>
        <w:numPr>
          <w:ilvl w:val="0"/>
          <w:numId w:val="13"/>
        </w:numPr>
      </w:pPr>
      <w:r w:rsidRPr="00276F1E">
        <w:t xml:space="preserve">Total </w:t>
      </w:r>
      <w:r w:rsidR="00E051ED" w:rsidRPr="00276F1E">
        <w:t>Prescription item volumes for BNF Chapters 1</w:t>
      </w:r>
      <w:r w:rsidRPr="00276F1E">
        <w:t xml:space="preserve"> to </w:t>
      </w:r>
      <w:r w:rsidR="00E051ED" w:rsidRPr="00276F1E">
        <w:t>4 and 6</w:t>
      </w:r>
      <w:r w:rsidRPr="00276F1E">
        <w:t xml:space="preserve"> to </w:t>
      </w:r>
      <w:r w:rsidR="00E051ED" w:rsidRPr="00276F1E">
        <w:t>10 where NHS number and patient age have been identified</w:t>
      </w:r>
    </w:p>
    <w:p w14:paraId="77FD8B71" w14:textId="77777777" w:rsidR="004E3E0C" w:rsidRPr="004E3E0C" w:rsidRDefault="00CC00C9" w:rsidP="001D3131">
      <w:pPr>
        <w:pStyle w:val="Heading1"/>
        <w:rPr>
          <w:rStyle w:val="Heading1Char"/>
          <w:rFonts w:eastAsia="Calibri"/>
          <w:b/>
          <w:bCs/>
        </w:rPr>
      </w:pPr>
      <w:bookmarkStart w:id="42" w:name="_Toc473297134"/>
      <w:bookmarkStart w:id="43" w:name="_Toc473635667"/>
      <w:bookmarkStart w:id="44" w:name="_Toc473636482"/>
      <w:bookmarkStart w:id="45" w:name="_Toc474398582"/>
      <w:bookmarkStart w:id="46" w:name="_Toc475027481"/>
      <w:bookmarkStart w:id="47" w:name="_Toc234231956"/>
      <w:r w:rsidRPr="004E3E0C">
        <w:rPr>
          <w:rStyle w:val="Heading1Char"/>
          <w:rFonts w:eastAsia="Calibri"/>
          <w:b/>
          <w:bCs/>
        </w:rPr>
        <w:lastRenderedPageBreak/>
        <w:t>Dat</w:t>
      </w:r>
      <w:r w:rsidR="00532BBC" w:rsidRPr="004E3E0C">
        <w:rPr>
          <w:rStyle w:val="Heading1Char"/>
          <w:rFonts w:eastAsia="Calibri"/>
          <w:b/>
          <w:bCs/>
        </w:rPr>
        <w:t>a</w:t>
      </w:r>
      <w:r w:rsidRPr="004E3E0C">
        <w:rPr>
          <w:rStyle w:val="Heading1Char"/>
          <w:rFonts w:eastAsia="Calibri"/>
          <w:b/>
          <w:bCs/>
        </w:rPr>
        <w:t xml:space="preserve"> Source</w:t>
      </w:r>
      <w:bookmarkEnd w:id="47"/>
    </w:p>
    <w:bookmarkEnd w:id="42"/>
    <w:bookmarkEnd w:id="43"/>
    <w:bookmarkEnd w:id="44"/>
    <w:bookmarkEnd w:id="45"/>
    <w:bookmarkEnd w:id="46"/>
    <w:p w14:paraId="54DB553A" w14:textId="68D7D410" w:rsidR="00CC00C9" w:rsidRPr="00276F1E" w:rsidRDefault="00CC00C9" w:rsidP="00572C7A">
      <w:r w:rsidRPr="00276F1E">
        <w:t>NHS Business Services Authority -</w:t>
      </w:r>
      <w:r w:rsidRPr="00276F1E">
        <w:rPr>
          <w:b/>
        </w:rPr>
        <w:t xml:space="preserve"> </w:t>
      </w:r>
      <w:r w:rsidRPr="00276F1E">
        <w:t xml:space="preserve">based on data from the NHSBSA’s </w:t>
      </w:r>
      <w:r w:rsidR="00532BBC">
        <w:t>prescription processing</w:t>
      </w:r>
      <w:r w:rsidR="00532BBC" w:rsidRPr="00276F1E">
        <w:t xml:space="preserve"> </w:t>
      </w:r>
      <w:r w:rsidRPr="00276F1E">
        <w:t xml:space="preserve">system which contains all NHS prescription data, </w:t>
      </w:r>
      <w:r w:rsidR="00D465B8">
        <w:t>except</w:t>
      </w:r>
      <w:r w:rsidRPr="00276F1E">
        <w:t xml:space="preserve"> prescriptions which are dispensed in prisons, hospitals and private prescriptions. </w:t>
      </w:r>
    </w:p>
    <w:p w14:paraId="1E27D34D" w14:textId="77777777" w:rsidR="00CC00C9" w:rsidRPr="00CC00C9" w:rsidRDefault="00CC00C9" w:rsidP="00572C7A">
      <w:r w:rsidRPr="00CC00C9">
        <w:t>Analysis is based on drugs that were reimbursed by the NHSBSA. It excludes items not dispensed</w:t>
      </w:r>
      <w:r w:rsidR="00D404FE">
        <w:t xml:space="preserve"> and</w:t>
      </w:r>
      <w:r w:rsidR="000E1505">
        <w:t xml:space="preserve"> </w:t>
      </w:r>
      <w:r w:rsidRPr="00CC00C9">
        <w:t>disallowed</w:t>
      </w:r>
      <w:r w:rsidR="00D404FE">
        <w:t>.</w:t>
      </w:r>
      <w:r w:rsidRPr="00CC00C9">
        <w:t xml:space="preserve"> If a prescription was </w:t>
      </w:r>
      <w:r w:rsidR="00930660" w:rsidRPr="00CC00C9">
        <w:t>issued but</w:t>
      </w:r>
      <w:r w:rsidRPr="00CC00C9">
        <w:t xml:space="preserve"> not presented for dispensing or was not submitted to NHS Prescription Services by the dispenser, then it is not included in the data provided.</w:t>
      </w:r>
    </w:p>
    <w:p w14:paraId="78E1F108" w14:textId="77777777" w:rsidR="00CC00C9" w:rsidRPr="00DA679C" w:rsidRDefault="00CC00C9" w:rsidP="00572C7A"/>
    <w:p w14:paraId="0EE8CBBA" w14:textId="6ABED21A" w:rsidR="00F1444E" w:rsidRDefault="00CC00C9" w:rsidP="001D3131">
      <w:pPr>
        <w:rPr>
          <w:rStyle w:val="Hyperlink"/>
        </w:rPr>
      </w:pPr>
      <w:bookmarkStart w:id="48" w:name="_Toc473297135"/>
      <w:bookmarkStart w:id="49" w:name="_Toc473635668"/>
      <w:bookmarkStart w:id="50" w:name="_Toc473636483"/>
      <w:bookmarkStart w:id="51" w:name="_Toc474398583"/>
      <w:bookmarkStart w:id="52" w:name="_Toc475027482"/>
      <w:r w:rsidRPr="00F1444E">
        <w:rPr>
          <w:rStyle w:val="Strong"/>
        </w:rPr>
        <w:t>Data owner &amp; contact details:</w:t>
      </w:r>
      <w:bookmarkEnd w:id="48"/>
      <w:bookmarkEnd w:id="49"/>
      <w:bookmarkEnd w:id="50"/>
      <w:bookmarkEnd w:id="51"/>
      <w:bookmarkEnd w:id="52"/>
      <w:r w:rsidR="009F0D7B">
        <w:t xml:space="preserve"> </w:t>
      </w:r>
      <w:hyperlink r:id="rId12" w:history="1">
        <w:r w:rsidR="00F1444E" w:rsidRPr="00F1444E">
          <w:rPr>
            <w:rStyle w:val="Hyperlink"/>
          </w:rPr>
          <w:t>DataServicesSupport@nhsbsa.nhs.uk</w:t>
        </w:r>
      </w:hyperlink>
      <w:r w:rsidR="00F1444E">
        <w:rPr>
          <w:rStyle w:val="Hyperlink"/>
        </w:rPr>
        <w:t xml:space="preserve"> </w:t>
      </w:r>
      <w:bookmarkStart w:id="53" w:name="_Toc473297136"/>
      <w:bookmarkStart w:id="54" w:name="_Toc473635669"/>
      <w:bookmarkStart w:id="55" w:name="_Toc473636484"/>
      <w:bookmarkStart w:id="56" w:name="_Toc474398584"/>
      <w:bookmarkStart w:id="57" w:name="_Toc475027483"/>
    </w:p>
    <w:p w14:paraId="13DC4FF3" w14:textId="77777777" w:rsidR="00382508" w:rsidRPr="00276F1E" w:rsidRDefault="00CC00C9" w:rsidP="001D3131">
      <w:r w:rsidRPr="00F1444E">
        <w:rPr>
          <w:rStyle w:val="Strong"/>
        </w:rPr>
        <w:t>Time Frame:</w:t>
      </w:r>
      <w:bookmarkEnd w:id="53"/>
      <w:bookmarkEnd w:id="54"/>
      <w:bookmarkEnd w:id="55"/>
      <w:bookmarkEnd w:id="56"/>
      <w:bookmarkEnd w:id="57"/>
      <w:r w:rsidRPr="00F1444E">
        <w:t xml:space="preserve"> Refreshed monthly</w:t>
      </w:r>
    </w:p>
    <w:p w14:paraId="05F3EBA8" w14:textId="77777777" w:rsidR="003B36E1" w:rsidRPr="008A139B" w:rsidRDefault="00020033" w:rsidP="00572C7A">
      <w:pPr>
        <w:pStyle w:val="Heading1"/>
      </w:pPr>
      <w:bookmarkStart w:id="58" w:name="_Toc473297137"/>
      <w:bookmarkStart w:id="59" w:name="_Toc473635670"/>
      <w:bookmarkStart w:id="60" w:name="_Toc473636485"/>
      <w:bookmarkStart w:id="61" w:name="_Toc474398585"/>
      <w:bookmarkStart w:id="62" w:name="_Toc475027484"/>
      <w:bookmarkStart w:id="63" w:name="_Toc234231957"/>
      <w:r w:rsidRPr="008A139B">
        <w:t xml:space="preserve">Data quality </w:t>
      </w:r>
      <w:r w:rsidR="00072A76" w:rsidRPr="008A139B">
        <w:t>assurance</w:t>
      </w:r>
      <w:bookmarkEnd w:id="58"/>
      <w:bookmarkEnd w:id="59"/>
      <w:bookmarkEnd w:id="60"/>
      <w:bookmarkEnd w:id="61"/>
      <w:bookmarkEnd w:id="62"/>
      <w:bookmarkEnd w:id="63"/>
    </w:p>
    <w:p w14:paraId="79A43F5B" w14:textId="3D8084BC" w:rsidR="00C61192" w:rsidRPr="003B36E1" w:rsidRDefault="00020033" w:rsidP="001D3131">
      <w:pPr>
        <w:rPr>
          <w:b/>
        </w:rPr>
      </w:pPr>
      <w:r w:rsidRPr="00276F1E">
        <w:t>NHS</w:t>
      </w:r>
      <w:r w:rsidR="00D465B8">
        <w:t>BSA</w:t>
      </w:r>
      <w:r w:rsidRPr="00276F1E">
        <w:t xml:space="preserve"> Prescription Services have their own internal quality process to assure the data they provide matches what was originally submitted as part of the pr</w:t>
      </w:r>
      <w:r w:rsidR="001067D3" w:rsidRPr="00276F1E">
        <w:t xml:space="preserve">escription processing activity. </w:t>
      </w:r>
      <w:r w:rsidRPr="00276F1E">
        <w:t>Some processes are complex and manual therefore there may be random inaccuracies in capturing prescription information which are then reflected in the data</w:t>
      </w:r>
      <w:r w:rsidR="00D465B8">
        <w:t>,</w:t>
      </w:r>
      <w:r w:rsidRPr="00276F1E">
        <w:t xml:space="preserve"> but checks are in place to reduce the chance of issues occurring.</w:t>
      </w:r>
      <w:r w:rsidR="00CB609B" w:rsidRPr="00276F1E">
        <w:t xml:space="preserve"> </w:t>
      </w:r>
      <w:r w:rsidRPr="00276F1E">
        <w:t xml:space="preserve">The processes operate to </w:t>
      </w:r>
      <w:proofErr w:type="gramStart"/>
      <w:r w:rsidRPr="00276F1E">
        <w:t>a number of</w:t>
      </w:r>
      <w:proofErr w:type="gramEnd"/>
      <w:r w:rsidRPr="00276F1E">
        <w:t xml:space="preserve"> key performance indicators, one of which is the percentage Prescription Information Accuracy, the target being 99.</w:t>
      </w:r>
      <w:r w:rsidR="00CC0BC6">
        <w:t>85</w:t>
      </w:r>
      <w:r w:rsidRPr="00276F1E">
        <w:t>%</w:t>
      </w:r>
      <w:r w:rsidR="00D465B8">
        <w:t>;</w:t>
      </w:r>
      <w:r w:rsidRPr="00276F1E">
        <w:t xml:space="preserve"> </w:t>
      </w:r>
      <w:proofErr w:type="gramStart"/>
      <w:r w:rsidRPr="00276F1E">
        <w:t>at</w:t>
      </w:r>
      <w:proofErr w:type="gramEnd"/>
      <w:r w:rsidRPr="00276F1E">
        <w:t xml:space="preserve"> </w:t>
      </w:r>
      <w:r w:rsidR="009803C4">
        <w:t>March</w:t>
      </w:r>
      <w:r w:rsidR="00FD1B15">
        <w:t xml:space="preserve"> 20</w:t>
      </w:r>
      <w:r w:rsidR="00CC0BC6">
        <w:t>2</w:t>
      </w:r>
      <w:r w:rsidR="009803C4">
        <w:t>6</w:t>
      </w:r>
      <w:r w:rsidRPr="00276F1E">
        <w:t xml:space="preserve"> the accuracy level achieved over the latest 12</w:t>
      </w:r>
      <w:r w:rsidR="00D465B8">
        <w:t>-</w:t>
      </w:r>
      <w:r w:rsidRPr="00276F1E">
        <w:t>month rolling period was 99.</w:t>
      </w:r>
      <w:r w:rsidR="00CC0BC6">
        <w:t>9</w:t>
      </w:r>
      <w:r w:rsidR="009803C4">
        <w:t>2</w:t>
      </w:r>
      <w:r w:rsidRPr="00276F1E">
        <w:t>%.</w:t>
      </w:r>
    </w:p>
    <w:p w14:paraId="77CE7C59" w14:textId="147F4537" w:rsidR="00200848" w:rsidRDefault="00930660" w:rsidP="00F90BC4">
      <w:r>
        <w:t>When published for th</w:t>
      </w:r>
      <w:r w:rsidR="00F9716D">
        <w:t xml:space="preserve">e </w:t>
      </w:r>
      <w:r>
        <w:t>first time in 2017, t</w:t>
      </w:r>
      <w:r w:rsidR="005F4017" w:rsidRPr="00C61192">
        <w:t xml:space="preserve">he </w:t>
      </w:r>
      <w:r>
        <w:t xml:space="preserve">NHS BSA </w:t>
      </w:r>
      <w:r w:rsidR="005F4017" w:rsidRPr="00C61192">
        <w:t xml:space="preserve">polypharmacy prescribing comparators </w:t>
      </w:r>
      <w:r>
        <w:t>were</w:t>
      </w:r>
      <w:r w:rsidRPr="00C61192">
        <w:t xml:space="preserve"> </w:t>
      </w:r>
      <w:r w:rsidR="005F4017" w:rsidRPr="00C61192">
        <w:t>the first suite of measures to take advantage of</w:t>
      </w:r>
      <w:r w:rsidR="00C61192">
        <w:t xml:space="preserve"> the development linking the NHS number to prescription items. </w:t>
      </w:r>
    </w:p>
    <w:p w14:paraId="566E9F15" w14:textId="77777777" w:rsidR="00F90BC4" w:rsidRDefault="00BB267B" w:rsidP="00F90BC4">
      <w:r w:rsidRPr="004E75E2">
        <w:t>N</w:t>
      </w:r>
      <w:r w:rsidR="000A428A" w:rsidRPr="004E75E2">
        <w:t xml:space="preserve">early </w:t>
      </w:r>
      <w:r w:rsidRPr="004E75E2">
        <w:t>9</w:t>
      </w:r>
      <w:r w:rsidR="00F1444E" w:rsidRPr="004E75E2">
        <w:t>9</w:t>
      </w:r>
      <w:r w:rsidRPr="004E75E2">
        <w:t>% of all prescription items</w:t>
      </w:r>
      <w:r w:rsidR="00F1444E" w:rsidRPr="004E75E2">
        <w:t xml:space="preserve"> </w:t>
      </w:r>
      <w:r w:rsidRPr="004E75E2">
        <w:t>issued by English prescribing organisations</w:t>
      </w:r>
      <w:r w:rsidR="00F9716D">
        <w:t xml:space="preserve"> (excluding high volume vaccination claims)</w:t>
      </w:r>
      <w:r w:rsidR="00F1444E" w:rsidRPr="004E75E2">
        <w:t xml:space="preserve"> </w:t>
      </w:r>
      <w:r w:rsidRPr="004E75E2">
        <w:t xml:space="preserve">in 2024/25 could be linked to an NHS Number. For paper prescriptions this figure was </w:t>
      </w:r>
      <w:r w:rsidR="00F1444E" w:rsidRPr="004E75E2">
        <w:t>85</w:t>
      </w:r>
      <w:r w:rsidRPr="004E75E2">
        <w:t>%. The accuracy of patient information scanned from paper forms in 2020 was found to be over 99.9%.</w:t>
      </w:r>
      <w:r w:rsidR="00F1444E" w:rsidRPr="004E75E2">
        <w:t xml:space="preserve"> Coverage was lower but still high in earlier time periods especially before 2019 when use of the electronic prescribing system was lower – so some long term timeseries may be subject to slight upward trends that are spurious.</w:t>
      </w:r>
    </w:p>
    <w:p w14:paraId="2A1E902A" w14:textId="0F4147DD" w:rsidR="003B175D" w:rsidRPr="00146D00" w:rsidRDefault="00A25E4E" w:rsidP="006649FD">
      <w:pPr>
        <w:pStyle w:val="Heading1"/>
        <w:rPr>
          <w:rStyle w:val="Heading1Char"/>
          <w:b/>
          <w:bCs/>
          <w:szCs w:val="26"/>
        </w:rPr>
      </w:pPr>
      <w:r w:rsidRPr="00146D00">
        <w:br w:type="page"/>
      </w:r>
      <w:bookmarkStart w:id="64" w:name="_Toc473297138"/>
      <w:bookmarkStart w:id="65" w:name="_Toc473635671"/>
      <w:bookmarkStart w:id="66" w:name="_Toc473636486"/>
      <w:bookmarkStart w:id="67" w:name="_Toc474398586"/>
      <w:bookmarkStart w:id="68" w:name="_Toc475027485"/>
      <w:bookmarkStart w:id="69" w:name="_Toc234231958"/>
      <w:r w:rsidR="003B175D" w:rsidRPr="006649FD">
        <w:rPr>
          <w:rFonts w:eastAsia="Calibri"/>
        </w:rPr>
        <w:lastRenderedPageBreak/>
        <w:t xml:space="preserve">Polypharmacy Comparator </w:t>
      </w:r>
      <w:r w:rsidR="003B175D" w:rsidRPr="006649FD">
        <w:t>Specifications</w:t>
      </w:r>
      <w:bookmarkEnd w:id="64"/>
      <w:bookmarkEnd w:id="65"/>
      <w:bookmarkEnd w:id="66"/>
      <w:bookmarkEnd w:id="67"/>
      <w:bookmarkEnd w:id="68"/>
      <w:bookmarkEnd w:id="69"/>
    </w:p>
    <w:p w14:paraId="718D68BB" w14:textId="77777777" w:rsidR="003B175D" w:rsidRDefault="003B175D" w:rsidP="001D3131">
      <w:pPr>
        <w:pStyle w:val="Heading2"/>
      </w:pPr>
      <w:bookmarkStart w:id="70" w:name="_Toc473636487"/>
      <w:bookmarkStart w:id="71" w:name="_Toc474398587"/>
      <w:bookmarkStart w:id="72" w:name="_Toc475027486"/>
      <w:bookmarkStart w:id="73" w:name="_Toc234231959"/>
      <w:r w:rsidRPr="001E4A72">
        <w:t>Average number of unique medicines</w:t>
      </w:r>
      <w:bookmarkEnd w:id="70"/>
      <w:bookmarkEnd w:id="71"/>
      <w:bookmarkEnd w:id="72"/>
      <w:bookmarkEnd w:id="73"/>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gridCol w:w="7654"/>
      </w:tblGrid>
      <w:tr w:rsidR="00CD58DC" w:rsidRPr="00CD58DC" w14:paraId="20DA3B81" w14:textId="77777777" w:rsidTr="00B9745F">
        <w:tc>
          <w:tcPr>
            <w:tcW w:w="9889" w:type="dxa"/>
            <w:gridSpan w:val="3"/>
            <w:shd w:val="clear" w:color="auto" w:fill="D9D9D9"/>
          </w:tcPr>
          <w:p w14:paraId="349DB29F" w14:textId="77777777" w:rsidR="00CD58DC" w:rsidRPr="003B36E1" w:rsidRDefault="00CD58DC" w:rsidP="00B9745F">
            <w:pPr>
              <w:pStyle w:val="ComparatorSPecBoxBold"/>
              <w:rPr>
                <w:highlight w:val="yellow"/>
              </w:rPr>
            </w:pPr>
            <w:r w:rsidRPr="003B36E1">
              <w:t>Section 1: Introduction / Overview</w:t>
            </w:r>
          </w:p>
        </w:tc>
      </w:tr>
      <w:tr w:rsidR="00CD58DC" w:rsidRPr="00CD58DC" w14:paraId="1340F872" w14:textId="77777777" w:rsidTr="00460B48">
        <w:trPr>
          <w:trHeight w:val="236"/>
        </w:trPr>
        <w:tc>
          <w:tcPr>
            <w:tcW w:w="534" w:type="dxa"/>
            <w:shd w:val="clear" w:color="auto" w:fill="D9D9D9"/>
          </w:tcPr>
          <w:p w14:paraId="28B0E9CA" w14:textId="03290C5F" w:rsidR="00CD58DC" w:rsidRPr="003B36E1" w:rsidRDefault="00CD58DC" w:rsidP="00B9745F">
            <w:pPr>
              <w:pStyle w:val="ComparatorSPecBoxBold"/>
            </w:pPr>
            <w:r w:rsidRPr="003B36E1">
              <w:t>1.1</w:t>
            </w:r>
          </w:p>
        </w:tc>
        <w:tc>
          <w:tcPr>
            <w:tcW w:w="1701" w:type="dxa"/>
            <w:tcBorders>
              <w:bottom w:val="single" w:sz="4" w:space="0" w:color="auto"/>
            </w:tcBorders>
            <w:shd w:val="clear" w:color="auto" w:fill="D9D9D9"/>
          </w:tcPr>
          <w:p w14:paraId="2605C5B9" w14:textId="77777777" w:rsidR="00CD58DC" w:rsidRPr="003B36E1" w:rsidRDefault="00CD58DC" w:rsidP="00B9745F">
            <w:pPr>
              <w:pStyle w:val="ComparatorSPecBoxBold"/>
            </w:pPr>
            <w:r w:rsidRPr="003B36E1">
              <w:t>Title</w:t>
            </w:r>
          </w:p>
        </w:tc>
        <w:tc>
          <w:tcPr>
            <w:tcW w:w="7654" w:type="dxa"/>
          </w:tcPr>
          <w:p w14:paraId="467F0DCB" w14:textId="77777777" w:rsidR="00CD58DC" w:rsidRPr="003B36E1" w:rsidRDefault="00CD58DC" w:rsidP="00601590">
            <w:pPr>
              <w:pStyle w:val="ComparatorSpecBoxSpacing"/>
            </w:pPr>
            <w:r w:rsidRPr="003B36E1">
              <w:t>Average number of unique medicines</w:t>
            </w:r>
          </w:p>
        </w:tc>
      </w:tr>
      <w:tr w:rsidR="00CD58DC" w:rsidRPr="00CD58DC" w14:paraId="0D0D850E" w14:textId="77777777" w:rsidTr="00460B48">
        <w:tc>
          <w:tcPr>
            <w:tcW w:w="534" w:type="dxa"/>
            <w:shd w:val="clear" w:color="auto" w:fill="D9D9D9"/>
          </w:tcPr>
          <w:p w14:paraId="3E87DCC5" w14:textId="77777777" w:rsidR="00CD58DC" w:rsidRPr="003B36E1" w:rsidRDefault="00CD58DC" w:rsidP="00B9745F">
            <w:pPr>
              <w:pStyle w:val="ComparatorSPecBoxBold"/>
            </w:pPr>
            <w:r w:rsidRPr="003B36E1">
              <w:t>1.2</w:t>
            </w:r>
          </w:p>
        </w:tc>
        <w:tc>
          <w:tcPr>
            <w:tcW w:w="1701" w:type="dxa"/>
            <w:tcBorders>
              <w:top w:val="single" w:sz="4" w:space="0" w:color="auto"/>
              <w:bottom w:val="single" w:sz="4" w:space="0" w:color="auto"/>
            </w:tcBorders>
            <w:shd w:val="clear" w:color="auto" w:fill="D9D9D9"/>
          </w:tcPr>
          <w:p w14:paraId="7D2D439C" w14:textId="77777777" w:rsidR="00CD58DC" w:rsidRPr="003B36E1" w:rsidRDefault="00CD58DC" w:rsidP="00B9745F">
            <w:pPr>
              <w:pStyle w:val="ComparatorSPecBoxBold"/>
            </w:pPr>
            <w:r w:rsidRPr="003B36E1">
              <w:t>MO Theme</w:t>
            </w:r>
          </w:p>
        </w:tc>
        <w:tc>
          <w:tcPr>
            <w:tcW w:w="7654" w:type="dxa"/>
          </w:tcPr>
          <w:p w14:paraId="4C87B3E7" w14:textId="4EC683A6" w:rsidR="000E1505" w:rsidRPr="003B36E1" w:rsidRDefault="00601590" w:rsidP="00601590">
            <w:pPr>
              <w:pStyle w:val="ComparatorSpecBoxSpacing"/>
            </w:pPr>
            <w:r>
              <w:t>Polypharmacy</w:t>
            </w:r>
          </w:p>
        </w:tc>
      </w:tr>
      <w:tr w:rsidR="00CD58DC" w:rsidRPr="00CD58DC" w14:paraId="4C5F8413" w14:textId="77777777" w:rsidTr="00460B48">
        <w:tc>
          <w:tcPr>
            <w:tcW w:w="534" w:type="dxa"/>
            <w:shd w:val="clear" w:color="auto" w:fill="D9D9D9"/>
          </w:tcPr>
          <w:p w14:paraId="5AB61F49" w14:textId="77777777" w:rsidR="00CD58DC" w:rsidRPr="003B36E1" w:rsidRDefault="00CD58DC" w:rsidP="00B9745F">
            <w:pPr>
              <w:pStyle w:val="ComparatorSPecBoxBold"/>
            </w:pPr>
            <w:r w:rsidRPr="003B36E1">
              <w:t>1.3</w:t>
            </w:r>
          </w:p>
        </w:tc>
        <w:tc>
          <w:tcPr>
            <w:tcW w:w="1701" w:type="dxa"/>
            <w:tcBorders>
              <w:top w:val="single" w:sz="4" w:space="0" w:color="auto"/>
              <w:bottom w:val="single" w:sz="4" w:space="0" w:color="auto"/>
            </w:tcBorders>
            <w:shd w:val="clear" w:color="auto" w:fill="D9D9D9"/>
          </w:tcPr>
          <w:p w14:paraId="17DB0C03" w14:textId="77777777" w:rsidR="00CD58DC" w:rsidRPr="003B36E1" w:rsidRDefault="00CD58DC" w:rsidP="00B9745F">
            <w:pPr>
              <w:pStyle w:val="ComparatorSPecBoxBold"/>
            </w:pPr>
            <w:r w:rsidRPr="003B36E1">
              <w:t>Definition</w:t>
            </w:r>
          </w:p>
        </w:tc>
        <w:tc>
          <w:tcPr>
            <w:tcW w:w="7654" w:type="dxa"/>
          </w:tcPr>
          <w:p w14:paraId="4968966C" w14:textId="77777777" w:rsidR="000E1505" w:rsidRPr="003B36E1" w:rsidRDefault="00CD58DC" w:rsidP="00601590">
            <w:pPr>
              <w:pStyle w:val="ComparatorSpecBoxSpacing"/>
            </w:pPr>
            <w:r w:rsidRPr="003B36E1">
              <w:t>Average number of unique medicines prescribed per patient (</w:t>
            </w:r>
            <w:r w:rsidR="00974EE3" w:rsidRPr="00974EE3">
              <w:t>all patients, patients aged 0-17, 18 to 24, 10-year age bands between 25 and 84, 65 and over, 75 and over, and 85 and over</w:t>
            </w:r>
            <w:r w:rsidRPr="003B36E1">
              <w:t>)</w:t>
            </w:r>
            <w:r w:rsidR="000E1505">
              <w:t>.</w:t>
            </w:r>
          </w:p>
        </w:tc>
      </w:tr>
      <w:tr w:rsidR="00CD58DC" w:rsidRPr="00CD58DC" w14:paraId="14689374" w14:textId="77777777" w:rsidTr="00460B48">
        <w:trPr>
          <w:trHeight w:val="203"/>
        </w:trPr>
        <w:tc>
          <w:tcPr>
            <w:tcW w:w="534" w:type="dxa"/>
            <w:shd w:val="clear" w:color="auto" w:fill="D9D9D9"/>
          </w:tcPr>
          <w:p w14:paraId="075ABAC0" w14:textId="77777777" w:rsidR="00CD58DC" w:rsidRPr="003B36E1" w:rsidRDefault="00CD58DC" w:rsidP="00B9745F">
            <w:pPr>
              <w:pStyle w:val="ComparatorSPecBoxBold"/>
            </w:pPr>
            <w:r w:rsidRPr="003B36E1">
              <w:t>1.4</w:t>
            </w:r>
          </w:p>
        </w:tc>
        <w:tc>
          <w:tcPr>
            <w:tcW w:w="1701" w:type="dxa"/>
            <w:tcBorders>
              <w:top w:val="single" w:sz="4" w:space="0" w:color="auto"/>
              <w:bottom w:val="single" w:sz="4" w:space="0" w:color="auto"/>
            </w:tcBorders>
            <w:shd w:val="clear" w:color="auto" w:fill="D9D9D9"/>
          </w:tcPr>
          <w:p w14:paraId="3EBB162A" w14:textId="77777777" w:rsidR="00CD58DC" w:rsidRPr="003F7FEF" w:rsidRDefault="00CD58DC" w:rsidP="00B9745F">
            <w:pPr>
              <w:pStyle w:val="ComparatorSPecBoxBold"/>
            </w:pPr>
            <w:r w:rsidRPr="003F7FEF">
              <w:t>Reporting Level</w:t>
            </w:r>
          </w:p>
        </w:tc>
        <w:tc>
          <w:tcPr>
            <w:tcW w:w="7654" w:type="dxa"/>
          </w:tcPr>
          <w:p w14:paraId="2A4E2EDD" w14:textId="77777777" w:rsidR="00CD58DC" w:rsidRPr="003F7FEF" w:rsidRDefault="00974EE3" w:rsidP="00601590">
            <w:pPr>
              <w:pStyle w:val="ComparatorSpecBoxSpacing"/>
            </w:pPr>
            <w:r w:rsidRPr="00974EE3">
              <w:t xml:space="preserve">Practice level (aggregated to PCN, SICBL, </w:t>
            </w:r>
            <w:r w:rsidR="002C2F02">
              <w:t>HIN</w:t>
            </w:r>
            <w:r w:rsidRPr="00974EE3">
              <w:t>, ICB, Regional and England level)</w:t>
            </w:r>
          </w:p>
        </w:tc>
      </w:tr>
      <w:tr w:rsidR="00CD58DC" w:rsidRPr="00CD58DC" w14:paraId="3887BA97" w14:textId="77777777" w:rsidTr="00460B48">
        <w:trPr>
          <w:trHeight w:val="3936"/>
        </w:trPr>
        <w:tc>
          <w:tcPr>
            <w:tcW w:w="534" w:type="dxa"/>
            <w:shd w:val="clear" w:color="auto" w:fill="D9D9D9"/>
          </w:tcPr>
          <w:p w14:paraId="0AED8157" w14:textId="77777777" w:rsidR="00CD58DC" w:rsidRPr="003B36E1" w:rsidRDefault="00CD58DC" w:rsidP="00B9745F">
            <w:pPr>
              <w:pStyle w:val="ComparatorSPecBoxBold"/>
            </w:pPr>
            <w:r w:rsidRPr="003B36E1">
              <w:t>1.5</w:t>
            </w:r>
          </w:p>
        </w:tc>
        <w:tc>
          <w:tcPr>
            <w:tcW w:w="1701" w:type="dxa"/>
            <w:tcBorders>
              <w:top w:val="single" w:sz="4" w:space="0" w:color="auto"/>
              <w:bottom w:val="single" w:sz="4" w:space="0" w:color="auto"/>
            </w:tcBorders>
            <w:shd w:val="clear" w:color="auto" w:fill="D9D9D9"/>
          </w:tcPr>
          <w:p w14:paraId="5487A2EC" w14:textId="77777777" w:rsidR="00CD58DC" w:rsidRPr="003F7FEF" w:rsidRDefault="00CD58DC" w:rsidP="00B9745F">
            <w:pPr>
              <w:pStyle w:val="ComparatorSPecBoxBold"/>
            </w:pPr>
            <w:r w:rsidRPr="003F7FEF">
              <w:t>Numerator</w:t>
            </w:r>
          </w:p>
        </w:tc>
        <w:tc>
          <w:tcPr>
            <w:tcW w:w="7654" w:type="dxa"/>
          </w:tcPr>
          <w:p w14:paraId="2EDEC640" w14:textId="21722E3F" w:rsidR="00B9745F" w:rsidRDefault="00CD58DC" w:rsidP="00601590">
            <w:pPr>
              <w:pStyle w:val="ComparatorSpecBoxSpacing"/>
            </w:pPr>
            <w:r w:rsidRPr="003F7FEF">
              <w:t>Total number of unique medicines prescribed for patients (</w:t>
            </w:r>
            <w:r w:rsidR="00974EE3">
              <w:t>all patients, patients aged 0-17, 18 to 24, 10-year age bands between 25 and 84, 65 and over, 75 and over, and 85 and over</w:t>
            </w:r>
            <w:r w:rsidRPr="003F7FEF">
              <w:t xml:space="preserve">) from </w:t>
            </w:r>
            <w:r w:rsidR="006D4B84" w:rsidRPr="003F7FEF">
              <w:t xml:space="preserve">one or more of </w:t>
            </w:r>
            <w:r w:rsidRPr="003F7FEF">
              <w:t>the following BNF chapters, during a single month</w:t>
            </w:r>
            <w:r w:rsidR="000E1505" w:rsidRPr="003F7FE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146"/>
            </w:tblGrid>
            <w:tr w:rsidR="00B9745F" w:rsidRPr="003F7FEF" w14:paraId="10BC4773" w14:textId="77777777" w:rsidTr="00601590">
              <w:trPr>
                <w:trHeight w:val="283"/>
                <w:jc w:val="center"/>
              </w:trPr>
              <w:tc>
                <w:tcPr>
                  <w:tcW w:w="4536" w:type="dxa"/>
                  <w:shd w:val="clear" w:color="auto" w:fill="D9D9D9"/>
                  <w:noWrap/>
                  <w:vAlign w:val="center"/>
                  <w:hideMark/>
                </w:tcPr>
                <w:p w14:paraId="6DAF9E02" w14:textId="03E9FBBC" w:rsidR="00CD58DC" w:rsidRPr="00B9745F" w:rsidRDefault="00CD58DC" w:rsidP="00601590">
                  <w:pPr>
                    <w:pStyle w:val="ComparatorSPecBoxBold"/>
                  </w:pPr>
                  <w:r w:rsidRPr="00B9745F">
                    <w:t>BNF Name</w:t>
                  </w:r>
                </w:p>
              </w:tc>
              <w:tc>
                <w:tcPr>
                  <w:tcW w:w="1146" w:type="dxa"/>
                  <w:shd w:val="clear" w:color="auto" w:fill="D9D9D9"/>
                  <w:noWrap/>
                  <w:vAlign w:val="center"/>
                  <w:hideMark/>
                </w:tcPr>
                <w:p w14:paraId="054DB242" w14:textId="426AFE10" w:rsidR="00CD58DC" w:rsidRPr="00B9745F" w:rsidRDefault="00CD58DC" w:rsidP="00601590">
                  <w:pPr>
                    <w:pStyle w:val="ComparatorSPecBoxBold"/>
                    <w:jc w:val="center"/>
                  </w:pPr>
                  <w:r w:rsidRPr="00B9745F">
                    <w:t>BNF Code</w:t>
                  </w:r>
                </w:p>
              </w:tc>
            </w:tr>
            <w:tr w:rsidR="00B9745F" w:rsidRPr="003F7FEF" w14:paraId="27723317" w14:textId="77777777" w:rsidTr="00601590">
              <w:trPr>
                <w:trHeight w:val="283"/>
                <w:jc w:val="center"/>
              </w:trPr>
              <w:tc>
                <w:tcPr>
                  <w:tcW w:w="4536" w:type="dxa"/>
                  <w:noWrap/>
                  <w:vAlign w:val="center"/>
                  <w:hideMark/>
                </w:tcPr>
                <w:p w14:paraId="220DC678" w14:textId="3547F704" w:rsidR="00CD58DC" w:rsidRPr="00B9745F" w:rsidRDefault="00CD58DC" w:rsidP="00B9745F">
                  <w:pPr>
                    <w:pStyle w:val="ComparatorSpecBoxNormal"/>
                  </w:pPr>
                  <w:r w:rsidRPr="00B9745F">
                    <w:t>Gastro-</w:t>
                  </w:r>
                  <w:r w:rsidR="00601590">
                    <w:t>i</w:t>
                  </w:r>
                  <w:r w:rsidRPr="00B9745F">
                    <w:t xml:space="preserve">ntestinal </w:t>
                  </w:r>
                  <w:r w:rsidR="00601590">
                    <w:t>s</w:t>
                  </w:r>
                  <w:r w:rsidRPr="00B9745F">
                    <w:t>ystem</w:t>
                  </w:r>
                </w:p>
              </w:tc>
              <w:tc>
                <w:tcPr>
                  <w:tcW w:w="1146" w:type="dxa"/>
                  <w:noWrap/>
                  <w:vAlign w:val="center"/>
                  <w:hideMark/>
                </w:tcPr>
                <w:p w14:paraId="0583AC35" w14:textId="77777777" w:rsidR="00CD58DC" w:rsidRPr="00B9745F" w:rsidRDefault="00CD58DC" w:rsidP="00601590">
                  <w:pPr>
                    <w:pStyle w:val="ComparatorSpecBoxNormal"/>
                    <w:jc w:val="center"/>
                  </w:pPr>
                  <w:r w:rsidRPr="00B9745F">
                    <w:t>01</w:t>
                  </w:r>
                </w:p>
              </w:tc>
            </w:tr>
            <w:tr w:rsidR="00B9745F" w:rsidRPr="003F7FEF" w14:paraId="2B23B8EF" w14:textId="77777777" w:rsidTr="00601590">
              <w:trPr>
                <w:trHeight w:val="283"/>
                <w:jc w:val="center"/>
              </w:trPr>
              <w:tc>
                <w:tcPr>
                  <w:tcW w:w="4536" w:type="dxa"/>
                  <w:noWrap/>
                  <w:vAlign w:val="center"/>
                  <w:hideMark/>
                </w:tcPr>
                <w:p w14:paraId="631EB7EB" w14:textId="0BA34FA2" w:rsidR="00CD58DC" w:rsidRPr="00B9745F" w:rsidRDefault="00CD58DC" w:rsidP="00B9745F">
                  <w:pPr>
                    <w:pStyle w:val="ComparatorSpecBoxNormal"/>
                  </w:pPr>
                  <w:r w:rsidRPr="00B9745F">
                    <w:t xml:space="preserve">Cardiovascular </w:t>
                  </w:r>
                  <w:r w:rsidR="00601590">
                    <w:t>s</w:t>
                  </w:r>
                  <w:r w:rsidRPr="00B9745F">
                    <w:t>ystem</w:t>
                  </w:r>
                </w:p>
              </w:tc>
              <w:tc>
                <w:tcPr>
                  <w:tcW w:w="1146" w:type="dxa"/>
                  <w:noWrap/>
                  <w:vAlign w:val="center"/>
                  <w:hideMark/>
                </w:tcPr>
                <w:p w14:paraId="2C82A5E9" w14:textId="77777777" w:rsidR="00CD58DC" w:rsidRPr="00B9745F" w:rsidRDefault="00CD58DC" w:rsidP="00601590">
                  <w:pPr>
                    <w:pStyle w:val="ComparatorSpecBoxNormal"/>
                    <w:jc w:val="center"/>
                  </w:pPr>
                  <w:r w:rsidRPr="00B9745F">
                    <w:t>02</w:t>
                  </w:r>
                </w:p>
              </w:tc>
            </w:tr>
            <w:tr w:rsidR="00B9745F" w:rsidRPr="003F7FEF" w14:paraId="1093105A" w14:textId="77777777" w:rsidTr="00601590">
              <w:trPr>
                <w:trHeight w:val="283"/>
                <w:jc w:val="center"/>
              </w:trPr>
              <w:tc>
                <w:tcPr>
                  <w:tcW w:w="4536" w:type="dxa"/>
                  <w:noWrap/>
                  <w:vAlign w:val="center"/>
                  <w:hideMark/>
                </w:tcPr>
                <w:p w14:paraId="147A61C6" w14:textId="77777777" w:rsidR="00CD58DC" w:rsidRPr="00B9745F" w:rsidRDefault="00CD58DC" w:rsidP="00B9745F">
                  <w:pPr>
                    <w:pStyle w:val="ComparatorSpecBoxNormal"/>
                  </w:pPr>
                  <w:r w:rsidRPr="00B9745F">
                    <w:t>Respiratory System</w:t>
                  </w:r>
                </w:p>
              </w:tc>
              <w:tc>
                <w:tcPr>
                  <w:tcW w:w="1146" w:type="dxa"/>
                  <w:noWrap/>
                  <w:vAlign w:val="center"/>
                  <w:hideMark/>
                </w:tcPr>
                <w:p w14:paraId="36059E34" w14:textId="77777777" w:rsidR="00CD58DC" w:rsidRPr="00B9745F" w:rsidRDefault="00CD58DC" w:rsidP="00601590">
                  <w:pPr>
                    <w:pStyle w:val="ComparatorSpecBoxNormal"/>
                    <w:jc w:val="center"/>
                  </w:pPr>
                  <w:r w:rsidRPr="00B9745F">
                    <w:t>03</w:t>
                  </w:r>
                </w:p>
              </w:tc>
            </w:tr>
            <w:tr w:rsidR="00B9745F" w:rsidRPr="003F7FEF" w14:paraId="1CEB0876" w14:textId="77777777" w:rsidTr="00601590">
              <w:trPr>
                <w:trHeight w:val="283"/>
                <w:jc w:val="center"/>
              </w:trPr>
              <w:tc>
                <w:tcPr>
                  <w:tcW w:w="4536" w:type="dxa"/>
                  <w:noWrap/>
                  <w:vAlign w:val="center"/>
                  <w:hideMark/>
                </w:tcPr>
                <w:p w14:paraId="74E70FE7" w14:textId="7FF58C32" w:rsidR="00CD58DC" w:rsidRPr="00B9745F" w:rsidRDefault="00CD58DC" w:rsidP="00B9745F">
                  <w:pPr>
                    <w:pStyle w:val="ComparatorSpecBoxNormal"/>
                  </w:pPr>
                  <w:r w:rsidRPr="00B9745F">
                    <w:t xml:space="preserve">Central Nervous </w:t>
                  </w:r>
                  <w:r w:rsidR="00601590">
                    <w:t>s</w:t>
                  </w:r>
                  <w:r w:rsidRPr="00B9745F">
                    <w:t>ystem</w:t>
                  </w:r>
                </w:p>
              </w:tc>
              <w:tc>
                <w:tcPr>
                  <w:tcW w:w="1146" w:type="dxa"/>
                  <w:noWrap/>
                  <w:vAlign w:val="center"/>
                  <w:hideMark/>
                </w:tcPr>
                <w:p w14:paraId="5F5A0E7F" w14:textId="77777777" w:rsidR="00CD58DC" w:rsidRPr="00B9745F" w:rsidRDefault="00CD58DC" w:rsidP="00601590">
                  <w:pPr>
                    <w:pStyle w:val="ComparatorSpecBoxNormal"/>
                    <w:jc w:val="center"/>
                  </w:pPr>
                  <w:r w:rsidRPr="00B9745F">
                    <w:t>04</w:t>
                  </w:r>
                </w:p>
              </w:tc>
            </w:tr>
            <w:tr w:rsidR="00B9745F" w:rsidRPr="003F7FEF" w14:paraId="6922502A" w14:textId="77777777" w:rsidTr="00601590">
              <w:trPr>
                <w:trHeight w:val="283"/>
                <w:jc w:val="center"/>
              </w:trPr>
              <w:tc>
                <w:tcPr>
                  <w:tcW w:w="4536" w:type="dxa"/>
                  <w:noWrap/>
                  <w:vAlign w:val="center"/>
                  <w:hideMark/>
                </w:tcPr>
                <w:p w14:paraId="7FB06709" w14:textId="0D395624" w:rsidR="00CD58DC" w:rsidRPr="00B9745F" w:rsidRDefault="00CD58DC" w:rsidP="00B9745F">
                  <w:pPr>
                    <w:pStyle w:val="ComparatorSpecBoxNormal"/>
                  </w:pPr>
                  <w:r w:rsidRPr="00B9745F">
                    <w:t xml:space="preserve">Endocrine </w:t>
                  </w:r>
                  <w:r w:rsidR="00601590">
                    <w:t>s</w:t>
                  </w:r>
                  <w:r w:rsidRPr="00B9745F">
                    <w:t>ystem</w:t>
                  </w:r>
                </w:p>
              </w:tc>
              <w:tc>
                <w:tcPr>
                  <w:tcW w:w="1146" w:type="dxa"/>
                  <w:noWrap/>
                  <w:vAlign w:val="center"/>
                  <w:hideMark/>
                </w:tcPr>
                <w:p w14:paraId="2D6DD21C" w14:textId="77777777" w:rsidR="00CD58DC" w:rsidRPr="00B9745F" w:rsidRDefault="00CD58DC" w:rsidP="00601590">
                  <w:pPr>
                    <w:pStyle w:val="ComparatorSpecBoxNormal"/>
                    <w:jc w:val="center"/>
                  </w:pPr>
                  <w:r w:rsidRPr="00B9745F">
                    <w:t>06</w:t>
                  </w:r>
                </w:p>
              </w:tc>
            </w:tr>
            <w:tr w:rsidR="00B9745F" w:rsidRPr="003F7FEF" w14:paraId="3E43D1D8" w14:textId="77777777" w:rsidTr="00601590">
              <w:trPr>
                <w:trHeight w:val="283"/>
                <w:jc w:val="center"/>
              </w:trPr>
              <w:tc>
                <w:tcPr>
                  <w:tcW w:w="4536" w:type="dxa"/>
                  <w:noWrap/>
                  <w:vAlign w:val="center"/>
                  <w:hideMark/>
                </w:tcPr>
                <w:p w14:paraId="646A4CD9" w14:textId="7DE3A608" w:rsidR="00CD58DC" w:rsidRPr="00B9745F" w:rsidRDefault="00CD58DC" w:rsidP="00B9745F">
                  <w:pPr>
                    <w:pStyle w:val="ComparatorSpecBoxNormal"/>
                  </w:pPr>
                  <w:r w:rsidRPr="00B9745F">
                    <w:t>Obstetrics,</w:t>
                  </w:r>
                  <w:r w:rsidR="00601590">
                    <w:t xml:space="preserve"> g</w:t>
                  </w:r>
                  <w:r w:rsidRPr="00B9745F">
                    <w:t>ynae</w:t>
                  </w:r>
                  <w:r w:rsidR="00601590">
                    <w:t>cology and u</w:t>
                  </w:r>
                  <w:r w:rsidRPr="00B9745F">
                    <w:t>rinary</w:t>
                  </w:r>
                  <w:r w:rsidR="00601590">
                    <w:t>-t</w:t>
                  </w:r>
                  <w:r w:rsidRPr="00B9745F">
                    <w:t xml:space="preserve">ract </w:t>
                  </w:r>
                  <w:r w:rsidR="00601590">
                    <w:t>d</w:t>
                  </w:r>
                  <w:r w:rsidRPr="00B9745F">
                    <w:t>isorders</w:t>
                  </w:r>
                </w:p>
              </w:tc>
              <w:tc>
                <w:tcPr>
                  <w:tcW w:w="1146" w:type="dxa"/>
                  <w:noWrap/>
                  <w:vAlign w:val="center"/>
                  <w:hideMark/>
                </w:tcPr>
                <w:p w14:paraId="5D1308C2" w14:textId="77777777" w:rsidR="00CD58DC" w:rsidRPr="00B9745F" w:rsidRDefault="00CD58DC" w:rsidP="00601590">
                  <w:pPr>
                    <w:pStyle w:val="ComparatorSpecBoxNormal"/>
                    <w:jc w:val="center"/>
                  </w:pPr>
                  <w:r w:rsidRPr="00B9745F">
                    <w:t>07</w:t>
                  </w:r>
                </w:p>
              </w:tc>
            </w:tr>
            <w:tr w:rsidR="00B9745F" w:rsidRPr="003F7FEF" w14:paraId="694C527D" w14:textId="77777777" w:rsidTr="00601590">
              <w:trPr>
                <w:trHeight w:val="283"/>
                <w:jc w:val="center"/>
              </w:trPr>
              <w:tc>
                <w:tcPr>
                  <w:tcW w:w="4536" w:type="dxa"/>
                  <w:noWrap/>
                  <w:vAlign w:val="center"/>
                  <w:hideMark/>
                </w:tcPr>
                <w:p w14:paraId="4AD61D5D" w14:textId="0DA3BEEB" w:rsidR="00CD58DC" w:rsidRPr="00B9745F" w:rsidRDefault="00CD58DC" w:rsidP="00B9745F">
                  <w:pPr>
                    <w:pStyle w:val="ComparatorSpecBoxNormal"/>
                  </w:pPr>
                  <w:r w:rsidRPr="00B9745F">
                    <w:t xml:space="preserve">Malignant </w:t>
                  </w:r>
                  <w:r w:rsidR="00601590">
                    <w:t>d</w:t>
                  </w:r>
                  <w:r w:rsidRPr="00B9745F">
                    <w:t xml:space="preserve">isease </w:t>
                  </w:r>
                  <w:r w:rsidR="00601590">
                    <w:t>and</w:t>
                  </w:r>
                  <w:r w:rsidRPr="00B9745F">
                    <w:t xml:space="preserve"> </w:t>
                  </w:r>
                  <w:r w:rsidR="00601590">
                    <w:t>i</w:t>
                  </w:r>
                  <w:r w:rsidRPr="00B9745F">
                    <w:t>mmunosuppression</w:t>
                  </w:r>
                </w:p>
              </w:tc>
              <w:tc>
                <w:tcPr>
                  <w:tcW w:w="1146" w:type="dxa"/>
                  <w:noWrap/>
                  <w:vAlign w:val="center"/>
                  <w:hideMark/>
                </w:tcPr>
                <w:p w14:paraId="13316715" w14:textId="77777777" w:rsidR="00CD58DC" w:rsidRPr="00B9745F" w:rsidRDefault="00CD58DC" w:rsidP="00601590">
                  <w:pPr>
                    <w:pStyle w:val="ComparatorSpecBoxNormal"/>
                    <w:jc w:val="center"/>
                  </w:pPr>
                  <w:r w:rsidRPr="00B9745F">
                    <w:t>08</w:t>
                  </w:r>
                </w:p>
              </w:tc>
            </w:tr>
            <w:tr w:rsidR="00B9745F" w:rsidRPr="003F7FEF" w14:paraId="595CCF0F" w14:textId="77777777" w:rsidTr="00601590">
              <w:trPr>
                <w:trHeight w:val="283"/>
                <w:jc w:val="center"/>
              </w:trPr>
              <w:tc>
                <w:tcPr>
                  <w:tcW w:w="4536" w:type="dxa"/>
                  <w:noWrap/>
                  <w:vAlign w:val="center"/>
                  <w:hideMark/>
                </w:tcPr>
                <w:p w14:paraId="300578A7" w14:textId="42756E41" w:rsidR="00CD58DC" w:rsidRPr="00B9745F" w:rsidRDefault="00CD58DC" w:rsidP="00B9745F">
                  <w:pPr>
                    <w:pStyle w:val="ComparatorSpecBoxNormal"/>
                  </w:pPr>
                  <w:r w:rsidRPr="00B9745F">
                    <w:t xml:space="preserve">Nutrition </w:t>
                  </w:r>
                  <w:r w:rsidR="00601590">
                    <w:t>a</w:t>
                  </w:r>
                  <w:r w:rsidRPr="00B9745F">
                    <w:t xml:space="preserve">nd </w:t>
                  </w:r>
                  <w:r w:rsidR="00601590">
                    <w:t>b</w:t>
                  </w:r>
                  <w:r w:rsidRPr="00B9745F">
                    <w:t>lood</w:t>
                  </w:r>
                </w:p>
              </w:tc>
              <w:tc>
                <w:tcPr>
                  <w:tcW w:w="1146" w:type="dxa"/>
                  <w:noWrap/>
                  <w:vAlign w:val="center"/>
                  <w:hideMark/>
                </w:tcPr>
                <w:p w14:paraId="5CF26014" w14:textId="77777777" w:rsidR="00CD58DC" w:rsidRPr="00B9745F" w:rsidRDefault="00CD58DC" w:rsidP="00601590">
                  <w:pPr>
                    <w:pStyle w:val="ComparatorSpecBoxNormal"/>
                    <w:jc w:val="center"/>
                  </w:pPr>
                  <w:r w:rsidRPr="00B9745F">
                    <w:t>09</w:t>
                  </w:r>
                </w:p>
              </w:tc>
            </w:tr>
            <w:tr w:rsidR="00B9745F" w:rsidRPr="003F7FEF" w14:paraId="2132BC8A" w14:textId="77777777" w:rsidTr="00601590">
              <w:trPr>
                <w:trHeight w:val="283"/>
                <w:jc w:val="center"/>
              </w:trPr>
              <w:tc>
                <w:tcPr>
                  <w:tcW w:w="4536" w:type="dxa"/>
                  <w:noWrap/>
                  <w:vAlign w:val="center"/>
                  <w:hideMark/>
                </w:tcPr>
                <w:p w14:paraId="58804C96" w14:textId="6DDE348A" w:rsidR="00CD58DC" w:rsidRPr="00B9745F" w:rsidRDefault="00CD58DC" w:rsidP="00B9745F">
                  <w:pPr>
                    <w:pStyle w:val="ComparatorSpecBoxNormal"/>
                  </w:pPr>
                  <w:r w:rsidRPr="00B9745F">
                    <w:t xml:space="preserve">Musculoskeletal </w:t>
                  </w:r>
                  <w:r w:rsidR="00601590">
                    <w:t>and</w:t>
                  </w:r>
                  <w:r w:rsidRPr="00B9745F">
                    <w:t xml:space="preserve"> </w:t>
                  </w:r>
                  <w:r w:rsidR="00601590">
                    <w:t>j</w:t>
                  </w:r>
                  <w:r w:rsidRPr="00B9745F">
                    <w:t xml:space="preserve">oint </w:t>
                  </w:r>
                  <w:r w:rsidR="00601590">
                    <w:t>d</w:t>
                  </w:r>
                  <w:r w:rsidRPr="00B9745F">
                    <w:t>iseases</w:t>
                  </w:r>
                </w:p>
              </w:tc>
              <w:tc>
                <w:tcPr>
                  <w:tcW w:w="1146" w:type="dxa"/>
                  <w:noWrap/>
                  <w:vAlign w:val="center"/>
                  <w:hideMark/>
                </w:tcPr>
                <w:p w14:paraId="4D070409" w14:textId="77777777" w:rsidR="00CD58DC" w:rsidRPr="00B9745F" w:rsidRDefault="00CD58DC" w:rsidP="00601590">
                  <w:pPr>
                    <w:pStyle w:val="ComparatorSpecBoxNormal"/>
                    <w:jc w:val="center"/>
                  </w:pPr>
                  <w:r w:rsidRPr="00B9745F">
                    <w:t>10</w:t>
                  </w:r>
                </w:p>
              </w:tc>
            </w:tr>
          </w:tbl>
          <w:p w14:paraId="3277C9DC" w14:textId="77777777" w:rsidR="00CD58DC" w:rsidRPr="003F7FEF" w:rsidRDefault="00CD58DC" w:rsidP="00B9745F">
            <w:pPr>
              <w:pStyle w:val="ComparatorSpecBoxNormal"/>
            </w:pPr>
          </w:p>
        </w:tc>
      </w:tr>
      <w:tr w:rsidR="00CD58DC" w:rsidRPr="00CD58DC" w14:paraId="1706D915" w14:textId="77777777" w:rsidTr="00460B48">
        <w:trPr>
          <w:trHeight w:val="597"/>
        </w:trPr>
        <w:tc>
          <w:tcPr>
            <w:tcW w:w="534" w:type="dxa"/>
            <w:shd w:val="clear" w:color="auto" w:fill="D9D9D9"/>
          </w:tcPr>
          <w:p w14:paraId="4A0DF923" w14:textId="77777777" w:rsidR="00CD58DC" w:rsidRPr="003B36E1" w:rsidRDefault="00CD58DC" w:rsidP="00B9745F">
            <w:pPr>
              <w:pStyle w:val="ComparatorSPecBoxBold"/>
            </w:pPr>
            <w:r w:rsidRPr="003B36E1">
              <w:t>1.6</w:t>
            </w:r>
          </w:p>
        </w:tc>
        <w:tc>
          <w:tcPr>
            <w:tcW w:w="1701" w:type="dxa"/>
            <w:tcBorders>
              <w:top w:val="single" w:sz="4" w:space="0" w:color="auto"/>
              <w:bottom w:val="single" w:sz="4" w:space="0" w:color="auto"/>
            </w:tcBorders>
            <w:shd w:val="clear" w:color="auto" w:fill="D9D9D9"/>
          </w:tcPr>
          <w:p w14:paraId="151B9C18" w14:textId="77777777" w:rsidR="00CD58DC" w:rsidRPr="003B36E1" w:rsidRDefault="00CD58DC" w:rsidP="00B9745F">
            <w:pPr>
              <w:pStyle w:val="ComparatorSPecBoxBold"/>
            </w:pPr>
            <w:r w:rsidRPr="003B36E1">
              <w:t>Denominator</w:t>
            </w:r>
          </w:p>
        </w:tc>
        <w:tc>
          <w:tcPr>
            <w:tcW w:w="7654" w:type="dxa"/>
          </w:tcPr>
          <w:p w14:paraId="5F3FF92B" w14:textId="77777777" w:rsidR="00CD58DC" w:rsidRPr="003B36E1" w:rsidRDefault="00CD58DC" w:rsidP="00601590">
            <w:pPr>
              <w:pStyle w:val="ComparatorSpecBoxSpacing"/>
            </w:pPr>
            <w:r w:rsidRPr="003B36E1">
              <w:t>Total number of patients (</w:t>
            </w:r>
            <w:r w:rsidR="00974EE3">
              <w:t>all patients, patients aged 0-17, 18 to 24, 10-year age bands between 25 and 84, 65 and over, 75 and over, and 85 and over</w:t>
            </w:r>
            <w:r w:rsidRPr="003B36E1">
              <w:t>) prescribed one or more medicine</w:t>
            </w:r>
            <w:r w:rsidR="00377D17">
              <w:t>s</w:t>
            </w:r>
            <w:r w:rsidRPr="003B36E1">
              <w:t xml:space="preserve"> within BNF chapters 1 to 4 and 6 to 10 durin</w:t>
            </w:r>
            <w:r w:rsidR="000E1505">
              <w:t xml:space="preserve">g same </w:t>
            </w:r>
            <w:proofErr w:type="gramStart"/>
            <w:r w:rsidR="000E1505">
              <w:t>time period</w:t>
            </w:r>
            <w:proofErr w:type="gramEnd"/>
            <w:r w:rsidR="000E1505">
              <w:t xml:space="preserve"> as numerator.</w:t>
            </w:r>
          </w:p>
          <w:p w14:paraId="1A2CB6B7" w14:textId="77777777" w:rsidR="00CD58DC" w:rsidRPr="003B36E1" w:rsidRDefault="00CD58DC" w:rsidP="00601590">
            <w:pPr>
              <w:pStyle w:val="ComparatorSpecBoxSpacing"/>
            </w:pPr>
            <w:r w:rsidRPr="003B36E1">
              <w:t>Note: BNF chapters 1 to 4 and 6 to 10 have been selected for this denominator and throughout the Polypharmacy comparators to focus on patients that could be within a higher risk category</w:t>
            </w:r>
            <w:r w:rsidR="000E1505">
              <w:t>.</w:t>
            </w:r>
          </w:p>
          <w:p w14:paraId="45D4FD51" w14:textId="77777777" w:rsidR="00CD58DC" w:rsidRPr="003B36E1" w:rsidRDefault="00CD58DC" w:rsidP="00601590">
            <w:pPr>
              <w:pStyle w:val="ComparatorSpecBoxSpacing"/>
            </w:pPr>
            <w:r w:rsidRPr="003B36E1">
              <w:t>Using Patient list size as the denominator was discounted for this comparator as the focus here is on those patient</w:t>
            </w:r>
            <w:r w:rsidR="000E1505">
              <w:t>s that have received a medicine.</w:t>
            </w:r>
          </w:p>
        </w:tc>
      </w:tr>
      <w:tr w:rsidR="00CD58DC" w:rsidRPr="00CD58DC" w14:paraId="3CF2F9FB" w14:textId="77777777" w:rsidTr="00460B48">
        <w:tc>
          <w:tcPr>
            <w:tcW w:w="534" w:type="dxa"/>
            <w:shd w:val="clear" w:color="auto" w:fill="D9D9D9"/>
          </w:tcPr>
          <w:p w14:paraId="7CC2A722" w14:textId="77777777" w:rsidR="00CD58DC" w:rsidRPr="003B36E1" w:rsidRDefault="00CD58DC" w:rsidP="00B9745F">
            <w:pPr>
              <w:pStyle w:val="ComparatorSPecBoxBold"/>
            </w:pPr>
            <w:r w:rsidRPr="003B36E1">
              <w:t>1.7</w:t>
            </w:r>
          </w:p>
        </w:tc>
        <w:tc>
          <w:tcPr>
            <w:tcW w:w="1701" w:type="dxa"/>
            <w:tcBorders>
              <w:top w:val="single" w:sz="4" w:space="0" w:color="auto"/>
            </w:tcBorders>
            <w:shd w:val="clear" w:color="auto" w:fill="D9D9D9"/>
          </w:tcPr>
          <w:p w14:paraId="5292BF82" w14:textId="77777777" w:rsidR="00CD58DC" w:rsidRPr="003B36E1" w:rsidRDefault="00CD58DC" w:rsidP="00B9745F">
            <w:pPr>
              <w:pStyle w:val="ComparatorSPecBoxBold"/>
            </w:pPr>
            <w:r w:rsidRPr="003B36E1">
              <w:t>Methodology</w:t>
            </w:r>
          </w:p>
        </w:tc>
        <w:tc>
          <w:tcPr>
            <w:tcW w:w="7654" w:type="dxa"/>
          </w:tcPr>
          <w:p w14:paraId="62C9B751" w14:textId="77777777" w:rsidR="00CD58DC" w:rsidRDefault="00CD58DC" w:rsidP="00601590">
            <w:pPr>
              <w:pStyle w:val="ComparatorSpecBoxSpacing"/>
            </w:pPr>
            <w:r w:rsidRPr="003B36E1">
              <w:t>N</w:t>
            </w:r>
            <w:r w:rsidR="00740047" w:rsidRPr="003B36E1">
              <w:t>umerator divided by denominator</w:t>
            </w:r>
          </w:p>
          <w:p w14:paraId="2E097C51" w14:textId="77777777" w:rsidR="00CD58DC" w:rsidRPr="003B36E1" w:rsidRDefault="00CD58DC" w:rsidP="00601590">
            <w:pPr>
              <w:pStyle w:val="ComparatorSpecBoxSpacing"/>
            </w:pPr>
            <w:r w:rsidRPr="003B36E1">
              <w:t>Note: BNF chapters 1 to 4 and 6 to 10 have been selected for this comparator and throughout the Polypharmacy comparators to focus on patients that could be within a higher risk category associated with taking multiple medicines</w:t>
            </w:r>
            <w:r w:rsidR="000E1505">
              <w:t>.</w:t>
            </w:r>
          </w:p>
        </w:tc>
      </w:tr>
      <w:tr w:rsidR="00CD58DC" w:rsidRPr="00CD58DC" w14:paraId="7C1DA591" w14:textId="77777777" w:rsidTr="00B9745F">
        <w:tc>
          <w:tcPr>
            <w:tcW w:w="9889" w:type="dxa"/>
            <w:gridSpan w:val="3"/>
            <w:shd w:val="clear" w:color="auto" w:fill="D9D9D9"/>
          </w:tcPr>
          <w:p w14:paraId="506CE1C2" w14:textId="77777777" w:rsidR="00CD58DC" w:rsidRPr="003B36E1" w:rsidRDefault="00CD58DC" w:rsidP="00601590">
            <w:pPr>
              <w:pStyle w:val="ComparatorSPecBoxBold"/>
              <w:rPr>
                <w:highlight w:val="yellow"/>
              </w:rPr>
            </w:pPr>
            <w:r w:rsidRPr="003B36E1">
              <w:t>Section 2: Rationale</w:t>
            </w:r>
          </w:p>
        </w:tc>
      </w:tr>
      <w:tr w:rsidR="00CD58DC" w:rsidRPr="00CD58DC" w14:paraId="6EE025E3" w14:textId="77777777" w:rsidTr="00460B48">
        <w:trPr>
          <w:trHeight w:val="558"/>
        </w:trPr>
        <w:tc>
          <w:tcPr>
            <w:tcW w:w="534" w:type="dxa"/>
            <w:shd w:val="clear" w:color="auto" w:fill="D9D9D9"/>
          </w:tcPr>
          <w:p w14:paraId="1865A091" w14:textId="77777777" w:rsidR="00CD58DC" w:rsidRPr="003B36E1" w:rsidRDefault="00CD58DC" w:rsidP="00601590">
            <w:pPr>
              <w:pStyle w:val="ComparatorSPecBoxBold"/>
            </w:pPr>
            <w:r w:rsidRPr="003B36E1">
              <w:t>2.1</w:t>
            </w:r>
          </w:p>
        </w:tc>
        <w:tc>
          <w:tcPr>
            <w:tcW w:w="1701" w:type="dxa"/>
            <w:tcBorders>
              <w:bottom w:val="single" w:sz="4" w:space="0" w:color="auto"/>
            </w:tcBorders>
            <w:shd w:val="clear" w:color="auto" w:fill="D9D9D9"/>
          </w:tcPr>
          <w:p w14:paraId="0DCD9BF1" w14:textId="77777777" w:rsidR="00CD58DC" w:rsidRPr="003B36E1" w:rsidRDefault="00CD58DC" w:rsidP="00601590">
            <w:pPr>
              <w:pStyle w:val="ComparatorSPecBoxBold"/>
            </w:pPr>
            <w:r w:rsidRPr="003B36E1">
              <w:t>Purpose</w:t>
            </w:r>
          </w:p>
        </w:tc>
        <w:tc>
          <w:tcPr>
            <w:tcW w:w="7654" w:type="dxa"/>
          </w:tcPr>
          <w:p w14:paraId="3580068D" w14:textId="77777777" w:rsidR="00601590" w:rsidRDefault="00CD58DC" w:rsidP="00601590">
            <w:pPr>
              <w:pStyle w:val="ComparatorSpecBoxSpacing"/>
            </w:pPr>
            <w:r w:rsidRPr="003B36E1">
              <w:t>This comparator shows the average number of unique</w:t>
            </w:r>
            <w:r w:rsidRPr="003B36E1">
              <w:rPr>
                <w:vertAlign w:val="superscript"/>
              </w:rPr>
              <w:t xml:space="preserve"> </w:t>
            </w:r>
            <w:r w:rsidRPr="003B36E1">
              <w:t>medicines prescribed per patient (</w:t>
            </w:r>
            <w:r w:rsidR="00974EE3">
              <w:t>all patients, patients aged 0-17, 18 to 24, 10-year age bands between 25 and 84, 65 and over, 75 and over, and 85 and over</w:t>
            </w:r>
            <w:r w:rsidRPr="003B36E1">
              <w:t>)</w:t>
            </w:r>
            <w:r w:rsidR="00601590">
              <w:t>.</w:t>
            </w:r>
          </w:p>
          <w:p w14:paraId="0F3E1FAD" w14:textId="0CF531B1" w:rsidR="00CD58DC" w:rsidRPr="003B36E1" w:rsidRDefault="00CD58DC" w:rsidP="00601590">
            <w:pPr>
              <w:pStyle w:val="ComparatorSpecBoxNormal"/>
            </w:pPr>
            <w:r w:rsidRPr="003B36E1">
              <w:t xml:space="preserve">This allows practices and </w:t>
            </w:r>
            <w:r w:rsidR="00F83576">
              <w:t>ICB</w:t>
            </w:r>
            <w:r w:rsidRPr="003B36E1">
              <w:t>s to</w:t>
            </w:r>
            <w:r w:rsidR="000E1505">
              <w:t>:</w:t>
            </w:r>
            <w:r w:rsidRPr="003B36E1">
              <w:t xml:space="preserve"> </w:t>
            </w:r>
          </w:p>
          <w:p w14:paraId="5D51D96F" w14:textId="77777777" w:rsidR="00CD58DC" w:rsidRPr="003B36E1" w:rsidRDefault="00CD58DC" w:rsidP="00601590">
            <w:pPr>
              <w:pStyle w:val="ComparatorSpecBoxList"/>
            </w:pPr>
            <w:r w:rsidRPr="003B36E1">
              <w:t>see the variation across practices within a</w:t>
            </w:r>
            <w:r w:rsidR="00F83576">
              <w:t>n</w:t>
            </w:r>
            <w:r w:rsidRPr="003B36E1">
              <w:t xml:space="preserve"> </w:t>
            </w:r>
            <w:r w:rsidR="00F83576">
              <w:t>ICB</w:t>
            </w:r>
            <w:r w:rsidRPr="003B36E1">
              <w:t xml:space="preserve"> </w:t>
            </w:r>
            <w:r w:rsidRPr="00601590">
              <w:t>and</w:t>
            </w:r>
            <w:r w:rsidRPr="003B36E1">
              <w:t xml:space="preserve"> across </w:t>
            </w:r>
            <w:r w:rsidR="00F83576">
              <w:t>ICB</w:t>
            </w:r>
            <w:r w:rsidRPr="003B36E1">
              <w:t>s</w:t>
            </w:r>
          </w:p>
          <w:p w14:paraId="280F60E6" w14:textId="77777777" w:rsidR="00CD58DC" w:rsidRPr="003B36E1" w:rsidRDefault="00CD58DC" w:rsidP="00601590">
            <w:pPr>
              <w:pStyle w:val="ComparatorSpecBoxList"/>
            </w:pPr>
            <w:r w:rsidRPr="003B36E1">
              <w:t xml:space="preserve">identify if polypharmacy is </w:t>
            </w:r>
            <w:r w:rsidR="006D4B84" w:rsidRPr="003B36E1">
              <w:t>an area to be investigated</w:t>
            </w:r>
            <w:r w:rsidRPr="003B36E1">
              <w:t xml:space="preserve"> </w:t>
            </w:r>
          </w:p>
          <w:p w14:paraId="3A5BE612" w14:textId="77777777" w:rsidR="00CD58DC" w:rsidRDefault="00CD58DC" w:rsidP="00601590">
            <w:pPr>
              <w:pStyle w:val="ComparatorSpecBoxList"/>
            </w:pPr>
            <w:r w:rsidRPr="003B36E1">
              <w:t>demonstrate the impact of initiatives to address polypharmacy</w:t>
            </w:r>
          </w:p>
          <w:p w14:paraId="71052EC5" w14:textId="77777777" w:rsidR="001648AB" w:rsidRPr="003B36E1" w:rsidRDefault="001648AB" w:rsidP="001648AB">
            <w:pPr>
              <w:pStyle w:val="ComparatorSpecBoxList"/>
              <w:numPr>
                <w:ilvl w:val="0"/>
                <w:numId w:val="0"/>
              </w:numPr>
              <w:ind w:left="714"/>
            </w:pPr>
          </w:p>
        </w:tc>
      </w:tr>
      <w:tr w:rsidR="00CD58DC" w:rsidRPr="00CD58DC" w14:paraId="4906CD46" w14:textId="77777777" w:rsidTr="00460B48">
        <w:tc>
          <w:tcPr>
            <w:tcW w:w="534" w:type="dxa"/>
            <w:shd w:val="clear" w:color="auto" w:fill="D9D9D9"/>
          </w:tcPr>
          <w:p w14:paraId="281A6C14" w14:textId="77777777" w:rsidR="00CD58DC" w:rsidRPr="003B36E1" w:rsidRDefault="00CD58DC" w:rsidP="00601590">
            <w:pPr>
              <w:pStyle w:val="ComparatorSPecBoxBold"/>
            </w:pPr>
            <w:r w:rsidRPr="003B36E1">
              <w:t>2.2</w:t>
            </w:r>
          </w:p>
          <w:p w14:paraId="18B1036D" w14:textId="77777777" w:rsidR="00CD58DC" w:rsidRPr="003B36E1" w:rsidRDefault="00CD58DC" w:rsidP="00B9745F">
            <w:pPr>
              <w:pStyle w:val="ComparatorSpecBoxNormal"/>
            </w:pPr>
          </w:p>
        </w:tc>
        <w:tc>
          <w:tcPr>
            <w:tcW w:w="1701" w:type="dxa"/>
            <w:shd w:val="clear" w:color="auto" w:fill="D9D9D9"/>
          </w:tcPr>
          <w:p w14:paraId="59DD1D00" w14:textId="77777777" w:rsidR="00CD58DC" w:rsidRPr="003B36E1" w:rsidRDefault="00CD58DC" w:rsidP="00601590">
            <w:pPr>
              <w:pStyle w:val="ComparatorSPecBoxBold"/>
            </w:pPr>
            <w:r w:rsidRPr="003B36E1">
              <w:t>Evidence and Policy Base</w:t>
            </w:r>
          </w:p>
        </w:tc>
        <w:tc>
          <w:tcPr>
            <w:tcW w:w="7654" w:type="dxa"/>
          </w:tcPr>
          <w:p w14:paraId="12AE6FE1" w14:textId="77777777" w:rsidR="00CD58DC" w:rsidRPr="003B36E1" w:rsidRDefault="00CD58DC" w:rsidP="00601590">
            <w:pPr>
              <w:pStyle w:val="ComparatorSpecBoxSpacing"/>
            </w:pPr>
            <w:r w:rsidRPr="003B36E1">
              <w:t>The average number of prescription items issued per head of the population has increased steadily since 2005, from 14.3 to 19.8 per head in 2015.</w:t>
            </w:r>
            <w:r w:rsidR="005370E6" w:rsidRPr="003B36E1">
              <w:t xml:space="preserve"> </w:t>
            </w:r>
            <w:r w:rsidR="005370E6" w:rsidRPr="003B36E1">
              <w:rPr>
                <w:vertAlign w:val="superscript"/>
              </w:rPr>
              <w:t>(6)</w:t>
            </w:r>
          </w:p>
        </w:tc>
      </w:tr>
    </w:tbl>
    <w:p w14:paraId="24FDDBA9" w14:textId="77777777" w:rsidR="006B2873" w:rsidRDefault="00C5471C" w:rsidP="001D3131">
      <w:pPr>
        <w:pStyle w:val="Heading2"/>
      </w:pPr>
      <w:bookmarkStart w:id="74" w:name="_Toc473636488"/>
      <w:bookmarkStart w:id="75" w:name="_Toc474398588"/>
      <w:bookmarkStart w:id="76" w:name="_Toc475027487"/>
      <w:r>
        <w:br w:type="page"/>
      </w:r>
      <w:bookmarkStart w:id="77" w:name="_Toc473636490"/>
      <w:bookmarkStart w:id="78" w:name="_Toc474398590"/>
      <w:bookmarkStart w:id="79" w:name="_Toc475027489"/>
      <w:bookmarkStart w:id="80" w:name="_Toc234231960"/>
      <w:r w:rsidR="006B2873" w:rsidRPr="008A139B">
        <w:lastRenderedPageBreak/>
        <w:t>Multiple prescribing of anticoagulants and antiplatelet medicines</w:t>
      </w:r>
      <w:bookmarkEnd w:id="77"/>
      <w:bookmarkEnd w:id="78"/>
      <w:bookmarkEnd w:id="79"/>
      <w:bookmarkEnd w:id="80"/>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7654"/>
      </w:tblGrid>
      <w:tr w:rsidR="006B2873" w:rsidRPr="005E736D" w14:paraId="3406D3C5" w14:textId="77777777" w:rsidTr="00742585">
        <w:tc>
          <w:tcPr>
            <w:tcW w:w="9889" w:type="dxa"/>
            <w:gridSpan w:val="3"/>
            <w:shd w:val="clear" w:color="auto" w:fill="D9D9D9"/>
          </w:tcPr>
          <w:p w14:paraId="7A29E36D" w14:textId="77777777" w:rsidR="006B2873" w:rsidRPr="00A25E4E" w:rsidRDefault="006B2873" w:rsidP="00601590">
            <w:pPr>
              <w:pStyle w:val="ComparatorSPecBoxBold"/>
              <w:rPr>
                <w:highlight w:val="yellow"/>
              </w:rPr>
            </w:pPr>
            <w:r w:rsidRPr="00974EE3">
              <w:t>Section 1: Introduction / Overview</w:t>
            </w:r>
          </w:p>
        </w:tc>
      </w:tr>
      <w:tr w:rsidR="006B2873" w:rsidRPr="005E736D" w14:paraId="76D63A60" w14:textId="77777777" w:rsidTr="00460B48">
        <w:trPr>
          <w:trHeight w:val="216"/>
        </w:trPr>
        <w:tc>
          <w:tcPr>
            <w:tcW w:w="534" w:type="dxa"/>
            <w:shd w:val="clear" w:color="auto" w:fill="D9D9D9"/>
          </w:tcPr>
          <w:p w14:paraId="04F6FA1F" w14:textId="77777777" w:rsidR="006B2873" w:rsidRPr="00A25E4E" w:rsidRDefault="006B2873" w:rsidP="00601590">
            <w:pPr>
              <w:pStyle w:val="ComparatorSPecBoxBold"/>
            </w:pPr>
            <w:r w:rsidRPr="00974EE3">
              <w:t>1.1</w:t>
            </w:r>
          </w:p>
        </w:tc>
        <w:tc>
          <w:tcPr>
            <w:tcW w:w="1701" w:type="dxa"/>
            <w:tcBorders>
              <w:bottom w:val="single" w:sz="4" w:space="0" w:color="auto"/>
            </w:tcBorders>
            <w:shd w:val="clear" w:color="auto" w:fill="D9D9D9"/>
          </w:tcPr>
          <w:p w14:paraId="11E62AAA" w14:textId="77777777" w:rsidR="006B2873" w:rsidRPr="00A25E4E" w:rsidRDefault="006B2873" w:rsidP="00601590">
            <w:pPr>
              <w:pStyle w:val="ComparatorSPecBoxBold"/>
            </w:pPr>
            <w:r w:rsidRPr="00974EE3">
              <w:t>Title</w:t>
            </w:r>
          </w:p>
        </w:tc>
        <w:tc>
          <w:tcPr>
            <w:tcW w:w="7654" w:type="dxa"/>
          </w:tcPr>
          <w:p w14:paraId="45FF8676" w14:textId="77777777" w:rsidR="006B2873" w:rsidRPr="00A25E4E" w:rsidRDefault="006B2873" w:rsidP="00601590">
            <w:pPr>
              <w:pStyle w:val="ComparatorSpecBoxSpacing"/>
            </w:pPr>
            <w:r w:rsidRPr="00974EE3">
              <w:rPr>
                <w:rFonts w:eastAsia="Calibri"/>
              </w:rPr>
              <w:t>Multiple prescribing of anticoagulants and antiplatelet medicine</w:t>
            </w:r>
          </w:p>
        </w:tc>
      </w:tr>
      <w:tr w:rsidR="006B2873" w:rsidRPr="005E736D" w14:paraId="31696E71" w14:textId="77777777" w:rsidTr="00460B48">
        <w:trPr>
          <w:trHeight w:val="75"/>
        </w:trPr>
        <w:tc>
          <w:tcPr>
            <w:tcW w:w="534" w:type="dxa"/>
            <w:shd w:val="clear" w:color="auto" w:fill="D9D9D9"/>
          </w:tcPr>
          <w:p w14:paraId="138A6918" w14:textId="77777777" w:rsidR="006B2873" w:rsidRPr="003B36E1" w:rsidRDefault="006B2873" w:rsidP="00601590">
            <w:pPr>
              <w:pStyle w:val="ComparatorSPecBoxBold"/>
            </w:pPr>
            <w:r w:rsidRPr="003B36E1">
              <w:t>1.2</w:t>
            </w:r>
          </w:p>
        </w:tc>
        <w:tc>
          <w:tcPr>
            <w:tcW w:w="1701" w:type="dxa"/>
            <w:tcBorders>
              <w:top w:val="single" w:sz="4" w:space="0" w:color="auto"/>
              <w:bottom w:val="single" w:sz="4" w:space="0" w:color="auto"/>
            </w:tcBorders>
            <w:shd w:val="clear" w:color="auto" w:fill="D9D9D9"/>
          </w:tcPr>
          <w:p w14:paraId="3FEE66B4" w14:textId="77777777" w:rsidR="006B2873" w:rsidRPr="00A25E4E" w:rsidRDefault="006B2873" w:rsidP="00601590">
            <w:pPr>
              <w:pStyle w:val="ComparatorSPecBoxBold"/>
            </w:pPr>
            <w:r w:rsidRPr="00974EE3">
              <w:t>MO Theme</w:t>
            </w:r>
          </w:p>
        </w:tc>
        <w:tc>
          <w:tcPr>
            <w:tcW w:w="7654" w:type="dxa"/>
          </w:tcPr>
          <w:p w14:paraId="37E6EEF1" w14:textId="77777777" w:rsidR="006B2873" w:rsidRPr="004E3E0C" w:rsidRDefault="006B2873" w:rsidP="00601590">
            <w:pPr>
              <w:pStyle w:val="ComparatorSpecBoxSpacing"/>
            </w:pPr>
            <w:r w:rsidRPr="004E3E0C">
              <w:t>POLYPHARMACY</w:t>
            </w:r>
          </w:p>
        </w:tc>
      </w:tr>
      <w:tr w:rsidR="006B2873" w:rsidRPr="005E736D" w14:paraId="7DB5A080" w14:textId="77777777" w:rsidTr="00460B48">
        <w:trPr>
          <w:trHeight w:val="958"/>
        </w:trPr>
        <w:tc>
          <w:tcPr>
            <w:tcW w:w="534" w:type="dxa"/>
            <w:shd w:val="clear" w:color="auto" w:fill="D9D9D9"/>
          </w:tcPr>
          <w:p w14:paraId="34BEA531" w14:textId="77777777" w:rsidR="006B2873" w:rsidRPr="003B36E1" w:rsidRDefault="006B2873" w:rsidP="00601590">
            <w:pPr>
              <w:pStyle w:val="ComparatorSPecBoxBold"/>
            </w:pPr>
            <w:r w:rsidRPr="003B36E1">
              <w:t>1.3</w:t>
            </w:r>
          </w:p>
        </w:tc>
        <w:tc>
          <w:tcPr>
            <w:tcW w:w="1701" w:type="dxa"/>
            <w:tcBorders>
              <w:top w:val="single" w:sz="4" w:space="0" w:color="auto"/>
              <w:bottom w:val="single" w:sz="4" w:space="0" w:color="auto"/>
            </w:tcBorders>
            <w:shd w:val="clear" w:color="auto" w:fill="D9D9D9"/>
          </w:tcPr>
          <w:p w14:paraId="10D40EDD" w14:textId="77777777" w:rsidR="006B2873" w:rsidRPr="003B36E1" w:rsidRDefault="006B2873" w:rsidP="00601590">
            <w:pPr>
              <w:pStyle w:val="ComparatorSPecBoxBold"/>
            </w:pPr>
            <w:r w:rsidRPr="003B36E1">
              <w:t>Definition</w:t>
            </w:r>
          </w:p>
        </w:tc>
        <w:tc>
          <w:tcPr>
            <w:tcW w:w="7654" w:type="dxa"/>
          </w:tcPr>
          <w:p w14:paraId="324AE165" w14:textId="77777777" w:rsidR="006B2873" w:rsidRPr="003B36E1" w:rsidRDefault="006B2873" w:rsidP="00601590">
            <w:pPr>
              <w:pStyle w:val="ComparatorSpecBoxSpacing"/>
            </w:pPr>
            <w:r w:rsidRPr="003B36E1">
              <w:t>Patients (</w:t>
            </w:r>
            <w:r>
              <w:t>all patients, patients aged 0-17, 18 to 24, 10-year age bands between 25 and 84, 65 and over, 75 and over, and 85 and over</w:t>
            </w:r>
            <w:r w:rsidRPr="003B36E1">
              <w:t>)</w:t>
            </w:r>
            <w:r>
              <w:t xml:space="preserve"> </w:t>
            </w:r>
            <w:r w:rsidRPr="003B36E1">
              <w:t>prescribed three or more unique medicines that have an anticoagulant or antiplatelet action as a percentage of patients prescribed one or more unique</w:t>
            </w:r>
            <w:r w:rsidRPr="003B36E1">
              <w:rPr>
                <w:vertAlign w:val="superscript"/>
              </w:rPr>
              <w:t xml:space="preserve"> </w:t>
            </w:r>
            <w:r w:rsidRPr="003B36E1">
              <w:t>medicines that have an anticoagulant or antiplatelet action during the same reporting period</w:t>
            </w:r>
            <w:r>
              <w:t>.</w:t>
            </w:r>
          </w:p>
        </w:tc>
      </w:tr>
      <w:tr w:rsidR="006B2873" w:rsidRPr="005E736D" w14:paraId="6E7D817B" w14:textId="77777777" w:rsidTr="00460B48">
        <w:trPr>
          <w:trHeight w:val="157"/>
        </w:trPr>
        <w:tc>
          <w:tcPr>
            <w:tcW w:w="534" w:type="dxa"/>
            <w:shd w:val="clear" w:color="auto" w:fill="D9D9D9"/>
          </w:tcPr>
          <w:p w14:paraId="3BDB5346" w14:textId="77777777" w:rsidR="006B2873" w:rsidRPr="003B36E1" w:rsidRDefault="006B2873" w:rsidP="00601590">
            <w:pPr>
              <w:pStyle w:val="ComparatorSPecBoxBold"/>
            </w:pPr>
            <w:r w:rsidRPr="003B36E1">
              <w:t>1.4</w:t>
            </w:r>
          </w:p>
        </w:tc>
        <w:tc>
          <w:tcPr>
            <w:tcW w:w="1701" w:type="dxa"/>
            <w:tcBorders>
              <w:top w:val="single" w:sz="4" w:space="0" w:color="auto"/>
              <w:bottom w:val="single" w:sz="4" w:space="0" w:color="auto"/>
            </w:tcBorders>
            <w:shd w:val="clear" w:color="auto" w:fill="D9D9D9"/>
          </w:tcPr>
          <w:p w14:paraId="6816792C" w14:textId="77777777" w:rsidR="006B2873" w:rsidRPr="00251F07" w:rsidRDefault="006B2873" w:rsidP="00601590">
            <w:pPr>
              <w:pStyle w:val="ComparatorSPecBoxBold"/>
              <w:rPr>
                <w:bCs/>
              </w:rPr>
            </w:pPr>
            <w:r w:rsidRPr="00251F07">
              <w:rPr>
                <w:bCs/>
              </w:rPr>
              <w:t>Reporting Level</w:t>
            </w:r>
          </w:p>
        </w:tc>
        <w:tc>
          <w:tcPr>
            <w:tcW w:w="7654" w:type="dxa"/>
          </w:tcPr>
          <w:p w14:paraId="41337788" w14:textId="77777777" w:rsidR="006B2873" w:rsidRPr="00251F07" w:rsidRDefault="006B2873" w:rsidP="00601590">
            <w:pPr>
              <w:pStyle w:val="ComparatorSpecBoxSpacing"/>
              <w:rPr>
                <w:rFonts w:eastAsia="Calibri"/>
              </w:rPr>
            </w:pPr>
            <w:r w:rsidRPr="00251F07">
              <w:rPr>
                <w:rFonts w:eastAsia="Calibri"/>
              </w:rPr>
              <w:t xml:space="preserve">Practice level (aggregated to PCN, SICBL, </w:t>
            </w:r>
            <w:r w:rsidR="002C2F02">
              <w:rPr>
                <w:rFonts w:eastAsia="Calibri"/>
              </w:rPr>
              <w:t>HIN</w:t>
            </w:r>
            <w:r w:rsidRPr="00251F07">
              <w:rPr>
                <w:rFonts w:eastAsia="Calibri"/>
              </w:rPr>
              <w:t>, ICB, Regional and England level)</w:t>
            </w:r>
          </w:p>
        </w:tc>
      </w:tr>
      <w:tr w:rsidR="006B2873" w:rsidRPr="005E736D" w14:paraId="664131D3" w14:textId="77777777" w:rsidTr="00460B48">
        <w:trPr>
          <w:trHeight w:val="1478"/>
        </w:trPr>
        <w:tc>
          <w:tcPr>
            <w:tcW w:w="534" w:type="dxa"/>
            <w:shd w:val="clear" w:color="auto" w:fill="D9D9D9"/>
          </w:tcPr>
          <w:p w14:paraId="5FDD4D28" w14:textId="77777777" w:rsidR="006B2873" w:rsidRPr="003B36E1" w:rsidRDefault="006B2873" w:rsidP="00601590">
            <w:pPr>
              <w:pStyle w:val="ComparatorSPecBoxBold"/>
            </w:pPr>
            <w:r w:rsidRPr="003B36E1">
              <w:t>1.5</w:t>
            </w:r>
          </w:p>
        </w:tc>
        <w:tc>
          <w:tcPr>
            <w:tcW w:w="1701" w:type="dxa"/>
            <w:tcBorders>
              <w:top w:val="single" w:sz="4" w:space="0" w:color="auto"/>
              <w:bottom w:val="single" w:sz="4" w:space="0" w:color="auto"/>
            </w:tcBorders>
            <w:shd w:val="clear" w:color="auto" w:fill="D9D9D9"/>
          </w:tcPr>
          <w:p w14:paraId="47E5F2F0" w14:textId="77777777" w:rsidR="006B2873" w:rsidRPr="003B36E1" w:rsidRDefault="006B2873" w:rsidP="00601590">
            <w:pPr>
              <w:pStyle w:val="ComparatorSPecBoxBold"/>
            </w:pPr>
            <w:r w:rsidRPr="003B36E1">
              <w:t>Numerator</w:t>
            </w:r>
          </w:p>
        </w:tc>
        <w:tc>
          <w:tcPr>
            <w:tcW w:w="7654" w:type="dxa"/>
          </w:tcPr>
          <w:p w14:paraId="5BA5C13F" w14:textId="77777777" w:rsidR="006B2873" w:rsidRPr="003B36E1" w:rsidRDefault="006B2873" w:rsidP="00601590">
            <w:pPr>
              <w:pStyle w:val="ComparatorSpecBoxSpacing"/>
            </w:pPr>
            <w:r w:rsidRPr="003B36E1">
              <w:t>Number of patients (</w:t>
            </w:r>
            <w:r>
              <w:t>all patients, patients aged 0-17, 18 to 24, 10-year age bands between 25 and 84, 65 and over, 75 and over, and 85 and over</w:t>
            </w:r>
            <w:r w:rsidRPr="003B36E1">
              <w:t>)</w:t>
            </w:r>
            <w:r>
              <w:t xml:space="preserve"> </w:t>
            </w:r>
            <w:r w:rsidRPr="003B36E1">
              <w:t>prescribed three or more unique</w:t>
            </w:r>
            <w:r>
              <w:t xml:space="preserve"> medicines</w:t>
            </w:r>
            <w:r w:rsidRPr="003B36E1">
              <w:t xml:space="preserve"> within a single month that have an anticoagulant or antiplatelet action and are included in one or more of the following BNF codes</w:t>
            </w:r>
            <w:r>
              <w:t>.</w:t>
            </w:r>
          </w:p>
          <w:tbl>
            <w:tblPr>
              <w:tblpPr w:leftFromText="181" w:rightFromText="181" w:topFromText="142" w:bottomFromText="142" w:vertAnchor="text" w:horzAnchor="margin" w:tblpY="160"/>
              <w:tblOverlap w:val="never"/>
              <w:tblW w:w="7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8"/>
              <w:gridCol w:w="2410"/>
            </w:tblGrid>
            <w:tr w:rsidR="001648AB" w:rsidRPr="003B36E1" w14:paraId="6D79D56A" w14:textId="77777777" w:rsidTr="004A28A9">
              <w:trPr>
                <w:trHeight w:val="283"/>
              </w:trPr>
              <w:tc>
                <w:tcPr>
                  <w:tcW w:w="4668" w:type="dxa"/>
                  <w:shd w:val="clear" w:color="auto" w:fill="D9D9D9"/>
                  <w:vAlign w:val="center"/>
                  <w:hideMark/>
                </w:tcPr>
                <w:p w14:paraId="4AE51F2C" w14:textId="77777777" w:rsidR="001648AB" w:rsidRPr="009A17E6" w:rsidRDefault="001648AB" w:rsidP="001648AB">
                  <w:pPr>
                    <w:pStyle w:val="ComparatorSPecBoxBold"/>
                  </w:pPr>
                  <w:r w:rsidRPr="009A17E6">
                    <w:t xml:space="preserve">BNF Name </w:t>
                  </w:r>
                </w:p>
              </w:tc>
              <w:tc>
                <w:tcPr>
                  <w:tcW w:w="2410" w:type="dxa"/>
                  <w:shd w:val="clear" w:color="auto" w:fill="D9D9D9"/>
                  <w:vAlign w:val="center"/>
                  <w:hideMark/>
                </w:tcPr>
                <w:p w14:paraId="52E9C6BB" w14:textId="77777777" w:rsidR="001648AB" w:rsidRPr="009A17E6" w:rsidRDefault="001648AB" w:rsidP="001648AB">
                  <w:pPr>
                    <w:pStyle w:val="ComparatorSPecBoxBold"/>
                    <w:ind w:left="720"/>
                  </w:pPr>
                  <w:r w:rsidRPr="009A17E6">
                    <w:t>BNF Code</w:t>
                  </w:r>
                </w:p>
              </w:tc>
            </w:tr>
            <w:tr w:rsidR="001648AB" w:rsidRPr="003B36E1" w14:paraId="13D5EFA9" w14:textId="77777777" w:rsidTr="004A28A9">
              <w:trPr>
                <w:trHeight w:val="283"/>
              </w:trPr>
              <w:tc>
                <w:tcPr>
                  <w:tcW w:w="4668" w:type="dxa"/>
                </w:tcPr>
                <w:p w14:paraId="75FD2968" w14:textId="77777777" w:rsidR="001648AB" w:rsidRPr="003B36E1" w:rsidRDefault="001648AB" w:rsidP="001648AB">
                  <w:pPr>
                    <w:pStyle w:val="ComparatorSpecBoxNormal"/>
                  </w:pPr>
                  <w:r w:rsidRPr="003B36E1">
                    <w:t>Oral Anticoagulants</w:t>
                  </w:r>
                </w:p>
                <w:p w14:paraId="0C2A7C30" w14:textId="77777777" w:rsidR="001648AB" w:rsidRPr="003B36E1" w:rsidRDefault="001648AB" w:rsidP="001648AB">
                  <w:pPr>
                    <w:pStyle w:val="ComparatorSpecBoxNormal"/>
                  </w:pPr>
                  <w:r w:rsidRPr="003B36E1">
                    <w:rPr>
                      <w:u w:val="single"/>
                    </w:rPr>
                    <w:t>excluding</w:t>
                  </w:r>
                  <w:r w:rsidRPr="003B36E1">
                    <w:t xml:space="preserve"> INR Blood Testing Reagents</w:t>
                  </w:r>
                </w:p>
              </w:tc>
              <w:tc>
                <w:tcPr>
                  <w:tcW w:w="2410" w:type="dxa"/>
                </w:tcPr>
                <w:p w14:paraId="54EAE539" w14:textId="77777777" w:rsidR="001648AB" w:rsidRPr="003B36E1" w:rsidRDefault="001648AB" w:rsidP="001648AB">
                  <w:pPr>
                    <w:pStyle w:val="ComparatorSpecBoxNormal"/>
                    <w:ind w:left="720"/>
                    <w:rPr>
                      <w:lang w:eastAsia="en-GB"/>
                    </w:rPr>
                  </w:pPr>
                  <w:r w:rsidRPr="003B36E1">
                    <w:rPr>
                      <w:lang w:eastAsia="en-GB"/>
                    </w:rPr>
                    <w:t>0208020</w:t>
                  </w:r>
                </w:p>
                <w:p w14:paraId="5268A6DB" w14:textId="77777777" w:rsidR="001648AB" w:rsidRPr="003B36E1" w:rsidRDefault="001648AB" w:rsidP="001648AB">
                  <w:pPr>
                    <w:pStyle w:val="ComparatorSpecBoxNormal"/>
                    <w:ind w:left="720"/>
                    <w:rPr>
                      <w:lang w:eastAsia="en-GB"/>
                    </w:rPr>
                  </w:pPr>
                  <w:r w:rsidRPr="003B36E1">
                    <w:rPr>
                      <w:lang w:eastAsia="en-GB"/>
                    </w:rPr>
                    <w:t>0208020W0</w:t>
                  </w:r>
                </w:p>
              </w:tc>
            </w:tr>
            <w:tr w:rsidR="001648AB" w:rsidRPr="003B36E1" w14:paraId="0E84103C" w14:textId="77777777" w:rsidTr="004A28A9">
              <w:trPr>
                <w:trHeight w:val="283"/>
              </w:trPr>
              <w:tc>
                <w:tcPr>
                  <w:tcW w:w="4668" w:type="dxa"/>
                  <w:vAlign w:val="center"/>
                </w:tcPr>
                <w:p w14:paraId="1157E08B" w14:textId="77777777" w:rsidR="001648AB" w:rsidRPr="003B36E1" w:rsidRDefault="001648AB" w:rsidP="009D44F4">
                  <w:pPr>
                    <w:pStyle w:val="ComparatorSpecBoxNormal"/>
                  </w:pPr>
                  <w:r w:rsidRPr="003B36E1">
                    <w:t>Antiplatelet Drugs</w:t>
                  </w:r>
                </w:p>
              </w:tc>
              <w:tc>
                <w:tcPr>
                  <w:tcW w:w="2410" w:type="dxa"/>
                  <w:vAlign w:val="center"/>
                </w:tcPr>
                <w:p w14:paraId="734DE62C" w14:textId="77777777" w:rsidR="001648AB" w:rsidRPr="003B36E1" w:rsidRDefault="001648AB" w:rsidP="009D44F4">
                  <w:pPr>
                    <w:pStyle w:val="ComparatorSpecBoxNormal"/>
                    <w:ind w:left="720"/>
                    <w:rPr>
                      <w:lang w:eastAsia="en-GB"/>
                    </w:rPr>
                  </w:pPr>
                  <w:r w:rsidRPr="003B36E1">
                    <w:rPr>
                      <w:lang w:eastAsia="en-GB"/>
                    </w:rPr>
                    <w:t>0209000</w:t>
                  </w:r>
                </w:p>
              </w:tc>
            </w:tr>
          </w:tbl>
          <w:p w14:paraId="7BDDE8AC" w14:textId="2741F03D" w:rsidR="006B2873" w:rsidRPr="003B36E1" w:rsidRDefault="006B2873" w:rsidP="00601590">
            <w:pPr>
              <w:pStyle w:val="ComparatorSpecBoxSpacing"/>
            </w:pPr>
            <w:r w:rsidRPr="003B36E1">
              <w:t>Only aspirin 75mg presentations (BNF 2.9) are included in the numerator (BNF 209000). Whilst prescribers should be aware that other aspirin containing presentations (BNF 4.7.1 which includes aspirin 300mg) and N</w:t>
            </w:r>
            <w:r>
              <w:t>on-</w:t>
            </w:r>
            <w:r w:rsidRPr="003B36E1">
              <w:t>S</w:t>
            </w:r>
            <w:r>
              <w:t xml:space="preserve">teroidal </w:t>
            </w:r>
            <w:r w:rsidRPr="003B36E1">
              <w:t>A</w:t>
            </w:r>
            <w:r>
              <w:t xml:space="preserve">nti-inflammatory </w:t>
            </w:r>
            <w:r w:rsidRPr="003B36E1">
              <w:t>D</w:t>
            </w:r>
            <w:r>
              <w:t>rugs</w:t>
            </w:r>
            <w:r w:rsidRPr="003B36E1">
              <w:t xml:space="preserve"> exert antiplatelet activity, they have been excluded from the numerator. These prescribing comparators should be viewed as </w:t>
            </w:r>
            <w:r w:rsidR="00FA35EA" w:rsidRPr="003B36E1">
              <w:t>developmental,</w:t>
            </w:r>
            <w:r w:rsidRPr="003B36E1">
              <w:t xml:space="preserve"> and the specifications will be reviewed over time. </w:t>
            </w:r>
          </w:p>
          <w:p w14:paraId="0B3408C5" w14:textId="77777777" w:rsidR="006B2873" w:rsidRPr="003B36E1" w:rsidRDefault="006B2873" w:rsidP="00601590">
            <w:pPr>
              <w:pStyle w:val="ComparatorSpecBoxSpacing"/>
            </w:pPr>
            <w:r w:rsidRPr="003B36E1">
              <w:t>Parenteral anticoagulants have also been excluded on the basis that they may be prescribed prior to commencing oral treatment and potentially captured in the same reporting period</w:t>
            </w:r>
            <w:r>
              <w:t>.</w:t>
            </w:r>
          </w:p>
        </w:tc>
      </w:tr>
      <w:tr w:rsidR="006B2873" w:rsidRPr="005E736D" w14:paraId="4B6B0834" w14:textId="77777777" w:rsidTr="00460B48">
        <w:trPr>
          <w:trHeight w:val="796"/>
        </w:trPr>
        <w:tc>
          <w:tcPr>
            <w:tcW w:w="534" w:type="dxa"/>
            <w:shd w:val="clear" w:color="auto" w:fill="D9D9D9"/>
          </w:tcPr>
          <w:p w14:paraId="6E2157B2" w14:textId="77777777" w:rsidR="006B2873" w:rsidRPr="003B36E1" w:rsidRDefault="006B2873" w:rsidP="00601590">
            <w:pPr>
              <w:pStyle w:val="ComparatorSPecBoxBold"/>
            </w:pPr>
            <w:r w:rsidRPr="003B36E1">
              <w:t>1.6</w:t>
            </w:r>
          </w:p>
        </w:tc>
        <w:tc>
          <w:tcPr>
            <w:tcW w:w="1701" w:type="dxa"/>
            <w:tcBorders>
              <w:top w:val="single" w:sz="4" w:space="0" w:color="auto"/>
              <w:bottom w:val="single" w:sz="4" w:space="0" w:color="auto"/>
            </w:tcBorders>
            <w:shd w:val="clear" w:color="auto" w:fill="D9D9D9"/>
          </w:tcPr>
          <w:p w14:paraId="102E4506" w14:textId="77777777" w:rsidR="006B2873" w:rsidRPr="003B36E1" w:rsidRDefault="006B2873" w:rsidP="00601590">
            <w:pPr>
              <w:pStyle w:val="ComparatorSPecBoxBold"/>
            </w:pPr>
            <w:r w:rsidRPr="003B36E1">
              <w:t>Denominator</w:t>
            </w:r>
          </w:p>
        </w:tc>
        <w:tc>
          <w:tcPr>
            <w:tcW w:w="7654" w:type="dxa"/>
          </w:tcPr>
          <w:p w14:paraId="5A1AA64F" w14:textId="77777777" w:rsidR="006B2873" w:rsidRPr="003B36E1" w:rsidRDefault="006B2873" w:rsidP="00601590">
            <w:pPr>
              <w:pStyle w:val="ComparatorSpecBoxSpacing"/>
            </w:pPr>
            <w:r w:rsidRPr="003B36E1">
              <w:t>Number of patients (all, 65 and over, 75 and over, 85 and over)</w:t>
            </w:r>
            <w:r>
              <w:t xml:space="preserve"> </w:t>
            </w:r>
            <w:r w:rsidRPr="003B36E1">
              <w:t xml:space="preserve">prescribed one or more medicines that have an anticoagulant or antiplatelet action within same BNF areas as numerator during same </w:t>
            </w:r>
            <w:proofErr w:type="gramStart"/>
            <w:r w:rsidRPr="003B36E1">
              <w:t>time period</w:t>
            </w:r>
            <w:proofErr w:type="gramEnd"/>
            <w:r w:rsidRPr="003B36E1">
              <w:t xml:space="preserve"> as numerator</w:t>
            </w:r>
            <w:r>
              <w:t>.</w:t>
            </w:r>
          </w:p>
        </w:tc>
      </w:tr>
      <w:tr w:rsidR="006B2873" w:rsidRPr="005E736D" w14:paraId="49AAA9B1" w14:textId="77777777" w:rsidTr="00460B48">
        <w:trPr>
          <w:trHeight w:val="530"/>
        </w:trPr>
        <w:tc>
          <w:tcPr>
            <w:tcW w:w="534" w:type="dxa"/>
            <w:shd w:val="clear" w:color="auto" w:fill="D9D9D9"/>
          </w:tcPr>
          <w:p w14:paraId="6426951F" w14:textId="77777777" w:rsidR="006B2873" w:rsidRPr="003B36E1" w:rsidRDefault="006B2873" w:rsidP="00601590">
            <w:pPr>
              <w:pStyle w:val="ComparatorSPecBoxBold"/>
            </w:pPr>
            <w:r w:rsidRPr="003B36E1">
              <w:t>1.7</w:t>
            </w:r>
          </w:p>
        </w:tc>
        <w:tc>
          <w:tcPr>
            <w:tcW w:w="1701" w:type="dxa"/>
            <w:tcBorders>
              <w:top w:val="single" w:sz="4" w:space="0" w:color="auto"/>
            </w:tcBorders>
            <w:shd w:val="clear" w:color="auto" w:fill="D9D9D9"/>
          </w:tcPr>
          <w:p w14:paraId="3733A51F" w14:textId="77777777" w:rsidR="006B2873" w:rsidRPr="003B36E1" w:rsidRDefault="006B2873" w:rsidP="00601590">
            <w:pPr>
              <w:pStyle w:val="ComparatorSPecBoxBold"/>
            </w:pPr>
            <w:r w:rsidRPr="003B36E1">
              <w:t>Methodology</w:t>
            </w:r>
          </w:p>
        </w:tc>
        <w:tc>
          <w:tcPr>
            <w:tcW w:w="7654" w:type="dxa"/>
          </w:tcPr>
          <w:p w14:paraId="53526E74" w14:textId="77777777" w:rsidR="006B2873" w:rsidRDefault="006B2873" w:rsidP="00601590">
            <w:pPr>
              <w:pStyle w:val="ComparatorSpecBoxSpacing"/>
            </w:pPr>
            <w:r w:rsidRPr="003B36E1">
              <w:t>Numerator divided by denominator</w:t>
            </w:r>
          </w:p>
          <w:p w14:paraId="1C6429F7" w14:textId="77777777" w:rsidR="006B2873" w:rsidRPr="000E1505" w:rsidRDefault="006B2873" w:rsidP="00601590">
            <w:pPr>
              <w:pStyle w:val="ComparatorSpecBoxSpacing"/>
            </w:pPr>
            <w:r w:rsidRPr="003B36E1">
              <w:t>Presented as a percentage</w:t>
            </w:r>
          </w:p>
        </w:tc>
      </w:tr>
      <w:tr w:rsidR="006B2873" w:rsidRPr="005E736D" w14:paraId="4029C7CF" w14:textId="77777777" w:rsidTr="00742585">
        <w:trPr>
          <w:trHeight w:val="277"/>
        </w:trPr>
        <w:tc>
          <w:tcPr>
            <w:tcW w:w="9889" w:type="dxa"/>
            <w:gridSpan w:val="3"/>
            <w:shd w:val="clear" w:color="auto" w:fill="D9D9D9"/>
          </w:tcPr>
          <w:p w14:paraId="333CD7A6" w14:textId="77777777" w:rsidR="006B2873" w:rsidRPr="003B36E1" w:rsidRDefault="006B2873" w:rsidP="00601590">
            <w:pPr>
              <w:pStyle w:val="ComparatorSPecBoxBold"/>
              <w:rPr>
                <w:highlight w:val="yellow"/>
              </w:rPr>
            </w:pPr>
            <w:r w:rsidRPr="003B36E1">
              <w:t>Section 2: Rationale</w:t>
            </w:r>
          </w:p>
        </w:tc>
      </w:tr>
      <w:tr w:rsidR="006B2873" w:rsidRPr="005E736D" w14:paraId="2261F2EC" w14:textId="77777777" w:rsidTr="00460B48">
        <w:trPr>
          <w:trHeight w:val="889"/>
        </w:trPr>
        <w:tc>
          <w:tcPr>
            <w:tcW w:w="534" w:type="dxa"/>
            <w:shd w:val="clear" w:color="auto" w:fill="D9D9D9"/>
          </w:tcPr>
          <w:p w14:paraId="1DE31523" w14:textId="77777777" w:rsidR="006B2873" w:rsidRPr="003B36E1" w:rsidRDefault="006B2873" w:rsidP="00601590">
            <w:pPr>
              <w:pStyle w:val="ComparatorSPecBoxBold"/>
            </w:pPr>
            <w:r w:rsidRPr="003B36E1">
              <w:t>2.1</w:t>
            </w:r>
          </w:p>
        </w:tc>
        <w:tc>
          <w:tcPr>
            <w:tcW w:w="1701" w:type="dxa"/>
            <w:tcBorders>
              <w:bottom w:val="single" w:sz="4" w:space="0" w:color="auto"/>
            </w:tcBorders>
            <w:shd w:val="clear" w:color="auto" w:fill="D9D9D9"/>
          </w:tcPr>
          <w:p w14:paraId="2BAE9763" w14:textId="77777777" w:rsidR="006B2873" w:rsidRPr="003B36E1" w:rsidRDefault="006B2873" w:rsidP="00601590">
            <w:pPr>
              <w:pStyle w:val="ComparatorSPecBoxBold"/>
            </w:pPr>
            <w:r w:rsidRPr="003B36E1">
              <w:t>Purpose</w:t>
            </w:r>
          </w:p>
        </w:tc>
        <w:tc>
          <w:tcPr>
            <w:tcW w:w="7654" w:type="dxa"/>
          </w:tcPr>
          <w:p w14:paraId="63F2893A" w14:textId="50DFF30B" w:rsidR="006B2873" w:rsidRDefault="006B2873" w:rsidP="00601590">
            <w:pPr>
              <w:pStyle w:val="ComparatorSpecBoxSpacing"/>
            </w:pPr>
            <w:r w:rsidRPr="003B36E1">
              <w:t>To identify the number of patients prescribed multiple medicines that have the same or a similar anticoagulant or antiplatelet pharmacological action resulting in a reduction in the ability of their blood to clot.</w:t>
            </w:r>
            <w:r w:rsidR="009F0D7B">
              <w:t xml:space="preserve"> </w:t>
            </w:r>
          </w:p>
          <w:p w14:paraId="48C97431" w14:textId="77777777" w:rsidR="001648AB" w:rsidRPr="003B36E1" w:rsidRDefault="001648AB" w:rsidP="001648AB">
            <w:pPr>
              <w:pStyle w:val="ComparatorSpecBoxNormal"/>
            </w:pPr>
            <w:r w:rsidRPr="003B36E1">
              <w:t xml:space="preserve">This allows practices and </w:t>
            </w:r>
            <w:r>
              <w:t>ICB</w:t>
            </w:r>
            <w:r w:rsidRPr="003B36E1">
              <w:t>s to</w:t>
            </w:r>
            <w:r>
              <w:t>:</w:t>
            </w:r>
            <w:r w:rsidRPr="003B36E1">
              <w:t xml:space="preserve"> </w:t>
            </w:r>
          </w:p>
          <w:p w14:paraId="737B605A" w14:textId="77777777" w:rsidR="001648AB" w:rsidRPr="003B36E1" w:rsidRDefault="001648AB" w:rsidP="001648AB">
            <w:pPr>
              <w:pStyle w:val="ComparatorSpecBoxList"/>
            </w:pPr>
            <w:r w:rsidRPr="003B36E1">
              <w:t>see the variation across practices within a</w:t>
            </w:r>
            <w:r>
              <w:t>n</w:t>
            </w:r>
            <w:r w:rsidRPr="003B36E1">
              <w:t xml:space="preserve"> </w:t>
            </w:r>
            <w:r>
              <w:t>ICB</w:t>
            </w:r>
            <w:r w:rsidRPr="003B36E1">
              <w:t xml:space="preserve"> </w:t>
            </w:r>
            <w:r w:rsidRPr="00601590">
              <w:t>and</w:t>
            </w:r>
            <w:r w:rsidRPr="003B36E1">
              <w:t xml:space="preserve"> across </w:t>
            </w:r>
            <w:r>
              <w:t>ICB</w:t>
            </w:r>
            <w:r w:rsidRPr="003B36E1">
              <w:t>s</w:t>
            </w:r>
          </w:p>
          <w:p w14:paraId="7281C3FC" w14:textId="77777777" w:rsidR="001648AB" w:rsidRDefault="001648AB" w:rsidP="001648AB">
            <w:pPr>
              <w:pStyle w:val="ComparatorSpecBoxList"/>
            </w:pPr>
            <w:r w:rsidRPr="003B36E1">
              <w:t xml:space="preserve">identify if polypharmacy is an area to be investigated </w:t>
            </w:r>
          </w:p>
          <w:p w14:paraId="36C77089" w14:textId="77777777" w:rsidR="006B2873" w:rsidRDefault="001648AB" w:rsidP="001648AB">
            <w:pPr>
              <w:pStyle w:val="ComparatorSpecBoxList"/>
            </w:pPr>
            <w:r w:rsidRPr="003B36E1">
              <w:t>demonstrate the impact of initiatives to address polypharmacy</w:t>
            </w:r>
          </w:p>
          <w:p w14:paraId="2725C650" w14:textId="77777777" w:rsidR="007F39CD" w:rsidRPr="007F39CD" w:rsidRDefault="007F39CD" w:rsidP="007F39CD">
            <w:pPr>
              <w:pStyle w:val="ComparatorSpecBoxList"/>
            </w:pPr>
            <w:r w:rsidRPr="007F39CD">
              <w:t>identify the number of patients at risk from combinations of anticoagulants and antiplatelet medicines</w:t>
            </w:r>
          </w:p>
          <w:p w14:paraId="2B9C331F" w14:textId="2945B6C7" w:rsidR="001648AB" w:rsidRPr="004E3E0C" w:rsidRDefault="001648AB" w:rsidP="001648AB">
            <w:pPr>
              <w:pStyle w:val="ComparatorSpecBoxList"/>
              <w:numPr>
                <w:ilvl w:val="0"/>
                <w:numId w:val="0"/>
              </w:numPr>
              <w:ind w:left="714"/>
            </w:pPr>
          </w:p>
        </w:tc>
      </w:tr>
      <w:tr w:rsidR="006B2873" w:rsidRPr="005E736D" w14:paraId="1BADF8CC" w14:textId="77777777" w:rsidTr="00460B48">
        <w:tc>
          <w:tcPr>
            <w:tcW w:w="534" w:type="dxa"/>
            <w:shd w:val="clear" w:color="auto" w:fill="D9D9D9"/>
          </w:tcPr>
          <w:p w14:paraId="22B1063A" w14:textId="77777777" w:rsidR="006B2873" w:rsidRPr="003B36E1" w:rsidRDefault="006B2873" w:rsidP="00601590">
            <w:pPr>
              <w:pStyle w:val="ComparatorSPecBoxBold"/>
            </w:pPr>
            <w:r w:rsidRPr="003B36E1">
              <w:t>2.2</w:t>
            </w:r>
          </w:p>
        </w:tc>
        <w:tc>
          <w:tcPr>
            <w:tcW w:w="1701" w:type="dxa"/>
            <w:tcBorders>
              <w:bottom w:val="single" w:sz="4" w:space="0" w:color="auto"/>
            </w:tcBorders>
            <w:shd w:val="clear" w:color="auto" w:fill="D9D9D9"/>
          </w:tcPr>
          <w:p w14:paraId="7C48A546" w14:textId="77777777" w:rsidR="006B2873" w:rsidRPr="003B36E1" w:rsidRDefault="006B2873" w:rsidP="00601590">
            <w:pPr>
              <w:pStyle w:val="ComparatorSPecBoxBold"/>
            </w:pPr>
            <w:r w:rsidRPr="003B36E1">
              <w:t>Evidence and Policy Base</w:t>
            </w:r>
          </w:p>
        </w:tc>
        <w:tc>
          <w:tcPr>
            <w:tcW w:w="7654" w:type="dxa"/>
          </w:tcPr>
          <w:p w14:paraId="09F97634" w14:textId="77777777" w:rsidR="006B2873" w:rsidRPr="00251F07" w:rsidRDefault="006B2873" w:rsidP="001648AB">
            <w:pPr>
              <w:pStyle w:val="ComparatorSpecBoxSpacing"/>
            </w:pPr>
            <w:r w:rsidRPr="00251F07">
              <w:t>Whilst some patients with AF and other heart conditions such as acute coronary syndrome may clinically require multiple anticoagulants or antiplatelet, prescribers should be aware of the increased risks posed by these combinations and extra care should be taken of these patients for the duration of therapy.</w:t>
            </w:r>
          </w:p>
          <w:p w14:paraId="07FFCB08" w14:textId="0AFF199F" w:rsidR="006B2873" w:rsidRPr="00251F07" w:rsidRDefault="006B2873" w:rsidP="001648AB">
            <w:pPr>
              <w:pStyle w:val="ComparatorSpecBoxSpacing"/>
            </w:pPr>
            <w:hyperlink r:id="rId13" w:history="1">
              <w:r w:rsidRPr="00251F07">
                <w:rPr>
                  <w:rStyle w:val="Hyperlink"/>
                </w:rPr>
                <w:t>https://academic.oup.com/eurheartj/article/35/45/3155/2481294/Management-of-antithrombotic-therapy-in-atrial</w:t>
              </w:r>
            </w:hyperlink>
          </w:p>
          <w:p w14:paraId="7B1C993E" w14:textId="77777777" w:rsidR="006B2873" w:rsidRPr="00251F07" w:rsidRDefault="006B2873" w:rsidP="001648AB">
            <w:pPr>
              <w:pStyle w:val="ComparatorSpecBoxSpacing"/>
            </w:pPr>
            <w:r w:rsidRPr="00251F07">
              <w:lastRenderedPageBreak/>
              <w:t>Supporting Evidence</w:t>
            </w:r>
          </w:p>
          <w:p w14:paraId="167E8A7C" w14:textId="77777777" w:rsidR="001648AB" w:rsidRDefault="006B2873" w:rsidP="001648AB">
            <w:pPr>
              <w:pStyle w:val="ComparatorSpecBoxSpacing"/>
            </w:pPr>
            <w:hyperlink r:id="rId14" w:anchor="safety-issues-with-anticoagulants" w:history="1">
              <w:r w:rsidRPr="00251F07">
                <w:rPr>
                  <w:rStyle w:val="Hyperlink"/>
                </w:rPr>
                <w:t>https://www.nice.org.uk/advice/ktt16/chapter/Evidence-context#safety-issues-with-anticoagulants</w:t>
              </w:r>
            </w:hyperlink>
          </w:p>
          <w:p w14:paraId="2AFABE89" w14:textId="0F938234" w:rsidR="006B2873" w:rsidRPr="00251F07" w:rsidRDefault="006B2873" w:rsidP="001648AB">
            <w:pPr>
              <w:pStyle w:val="NHSFormatting"/>
            </w:pPr>
            <w:hyperlink r:id="rId15" w:tooltip="Archives of internal medicine." w:history="1">
              <w:r w:rsidRPr="00251F07">
                <w:rPr>
                  <w:rStyle w:val="Hyperlink"/>
                  <w:color w:val="660066"/>
                </w:rPr>
                <w:t>Arch Intern Med.</w:t>
              </w:r>
            </w:hyperlink>
            <w:r w:rsidRPr="00251F07">
              <w:t xml:space="preserve"> 2010 Sep 13;170(16):1433-41. </w:t>
            </w:r>
            <w:proofErr w:type="spellStart"/>
            <w:r w:rsidRPr="00251F07">
              <w:t>doi</w:t>
            </w:r>
            <w:proofErr w:type="spellEnd"/>
            <w:r w:rsidRPr="00251F07">
              <w:t>: 10.1001/archinternmed.2010.271.</w:t>
            </w:r>
          </w:p>
          <w:p w14:paraId="5A3AB1F6" w14:textId="11722BE7" w:rsidR="006B2873" w:rsidRPr="00E7361D" w:rsidRDefault="006B2873" w:rsidP="001648AB">
            <w:pPr>
              <w:pStyle w:val="ComparatorSpecBoxSpacing"/>
              <w:rPr>
                <w:rStyle w:val="Hyperlink"/>
                <w:color w:val="auto"/>
                <w:u w:val="none"/>
              </w:rPr>
            </w:pPr>
            <w:r w:rsidRPr="00251F07">
              <w:t>Risk of bleeding with single, dual, or triple therapy with warfarin, aspirin, and clopidogrel in patients with atrial fibrillation.</w:t>
            </w:r>
          </w:p>
          <w:p w14:paraId="18CA15AB" w14:textId="3D6A64EC" w:rsidR="006B2873" w:rsidRPr="003B36E1" w:rsidRDefault="006B2873" w:rsidP="001D3131">
            <w:pPr>
              <w:pStyle w:val="NHSFormatting"/>
            </w:pPr>
            <w:hyperlink r:id="rId16" w:history="1">
              <w:r w:rsidRPr="00E74068">
                <w:rPr>
                  <w:rStyle w:val="Hyperlink"/>
                </w:rPr>
                <w:t>https://www.ncbi.nlm.nih.gov/pubmed/?term=Clausen%20MT%5BAuthor%5D&amp;cauthor=true&amp;cauthor_uid=20837828</w:t>
              </w:r>
            </w:hyperlink>
          </w:p>
        </w:tc>
      </w:tr>
    </w:tbl>
    <w:p w14:paraId="7C2E5C02" w14:textId="77777777" w:rsidR="00CD58DC" w:rsidRDefault="006B2873" w:rsidP="001D3131">
      <w:pPr>
        <w:pStyle w:val="Heading2"/>
      </w:pPr>
      <w:r>
        <w:lastRenderedPageBreak/>
        <w:br w:type="page"/>
      </w:r>
      <w:bookmarkStart w:id="81" w:name="_Toc234231961"/>
      <w:r w:rsidR="00CD58DC" w:rsidRPr="008A139B">
        <w:lastRenderedPageBreak/>
        <w:t>Percentage of patients prescribed 8/10/15/20 or more unique medicines</w:t>
      </w:r>
      <w:bookmarkEnd w:id="74"/>
      <w:bookmarkEnd w:id="75"/>
      <w:bookmarkEnd w:id="76"/>
      <w:bookmarkEnd w:id="81"/>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7654"/>
      </w:tblGrid>
      <w:tr w:rsidR="00CD58DC" w:rsidRPr="00CD58DC" w14:paraId="61948B24" w14:textId="77777777" w:rsidTr="005E736D">
        <w:tc>
          <w:tcPr>
            <w:tcW w:w="9889" w:type="dxa"/>
            <w:gridSpan w:val="3"/>
            <w:shd w:val="clear" w:color="auto" w:fill="D9D9D9"/>
          </w:tcPr>
          <w:p w14:paraId="46771605" w14:textId="77777777" w:rsidR="00CD58DC" w:rsidRPr="003B36E1" w:rsidRDefault="00CD58DC" w:rsidP="00955279">
            <w:pPr>
              <w:pStyle w:val="ComparatorSPecBoxBold"/>
              <w:rPr>
                <w:highlight w:val="yellow"/>
              </w:rPr>
            </w:pPr>
            <w:r w:rsidRPr="003B36E1">
              <w:t>Section 1: Introduction / Overview</w:t>
            </w:r>
          </w:p>
        </w:tc>
      </w:tr>
      <w:tr w:rsidR="00CD58DC" w:rsidRPr="00CD58DC" w14:paraId="49BC383B" w14:textId="77777777" w:rsidTr="00460B48">
        <w:tc>
          <w:tcPr>
            <w:tcW w:w="534" w:type="dxa"/>
            <w:shd w:val="clear" w:color="auto" w:fill="D9D9D9"/>
          </w:tcPr>
          <w:p w14:paraId="1AAACF4E" w14:textId="77777777" w:rsidR="00CD58DC" w:rsidRPr="003B36E1" w:rsidRDefault="00827E0B" w:rsidP="00955279">
            <w:pPr>
              <w:pStyle w:val="ComparatorSPecBoxBold"/>
            </w:pPr>
            <w:r>
              <w:t>1.1</w:t>
            </w:r>
          </w:p>
        </w:tc>
        <w:tc>
          <w:tcPr>
            <w:tcW w:w="1701" w:type="dxa"/>
            <w:tcBorders>
              <w:bottom w:val="single" w:sz="4" w:space="0" w:color="auto"/>
            </w:tcBorders>
            <w:shd w:val="clear" w:color="auto" w:fill="D9D9D9"/>
          </w:tcPr>
          <w:p w14:paraId="25DF940B" w14:textId="77777777" w:rsidR="00CD58DC" w:rsidRPr="003B36E1" w:rsidRDefault="00CD58DC" w:rsidP="00955279">
            <w:pPr>
              <w:pStyle w:val="ComparatorSPecBoxBold"/>
            </w:pPr>
            <w:r w:rsidRPr="003B36E1">
              <w:t>Title</w:t>
            </w:r>
          </w:p>
        </w:tc>
        <w:tc>
          <w:tcPr>
            <w:tcW w:w="7654" w:type="dxa"/>
          </w:tcPr>
          <w:p w14:paraId="0D3F2006" w14:textId="77777777" w:rsidR="00CD58DC" w:rsidRPr="003B36E1" w:rsidRDefault="00CD58DC" w:rsidP="00955279">
            <w:pPr>
              <w:pStyle w:val="ComparatorSpecBoxSpacing"/>
            </w:pPr>
            <w:r w:rsidRPr="003B36E1">
              <w:t>Percentage of patients prescribed 8/10/</w:t>
            </w:r>
            <w:r w:rsidR="00C656CC" w:rsidRPr="003B36E1">
              <w:t>15/20 or more unique medicines</w:t>
            </w:r>
          </w:p>
        </w:tc>
      </w:tr>
      <w:tr w:rsidR="00CD58DC" w:rsidRPr="00CD58DC" w14:paraId="5941FCD8" w14:textId="77777777" w:rsidTr="00460B48">
        <w:tc>
          <w:tcPr>
            <w:tcW w:w="534" w:type="dxa"/>
            <w:shd w:val="clear" w:color="auto" w:fill="D9D9D9"/>
          </w:tcPr>
          <w:p w14:paraId="54C61629" w14:textId="77777777" w:rsidR="00CD58DC" w:rsidRPr="003B36E1" w:rsidRDefault="00CD58DC" w:rsidP="00955279">
            <w:pPr>
              <w:pStyle w:val="ComparatorSPecBoxBold"/>
            </w:pPr>
            <w:r w:rsidRPr="003B36E1">
              <w:t>1.2</w:t>
            </w:r>
          </w:p>
        </w:tc>
        <w:tc>
          <w:tcPr>
            <w:tcW w:w="1701" w:type="dxa"/>
            <w:tcBorders>
              <w:top w:val="single" w:sz="4" w:space="0" w:color="auto"/>
              <w:bottom w:val="single" w:sz="4" w:space="0" w:color="auto"/>
            </w:tcBorders>
            <w:shd w:val="clear" w:color="auto" w:fill="D9D9D9"/>
          </w:tcPr>
          <w:p w14:paraId="4E4CFDDB" w14:textId="77777777" w:rsidR="00CD58DC" w:rsidRPr="003B36E1" w:rsidRDefault="00CD58DC" w:rsidP="00955279">
            <w:pPr>
              <w:pStyle w:val="ComparatorSPecBoxBold"/>
            </w:pPr>
            <w:r w:rsidRPr="003B36E1">
              <w:t>MO Theme</w:t>
            </w:r>
          </w:p>
        </w:tc>
        <w:tc>
          <w:tcPr>
            <w:tcW w:w="7654" w:type="dxa"/>
          </w:tcPr>
          <w:p w14:paraId="7AB3A807" w14:textId="77777777" w:rsidR="000E1505" w:rsidRPr="003B36E1" w:rsidRDefault="00CD58DC" w:rsidP="00955279">
            <w:pPr>
              <w:pStyle w:val="ComparatorSpecBoxSpacing"/>
            </w:pPr>
            <w:r w:rsidRPr="003B36E1">
              <w:t>POLYPHARMACY</w:t>
            </w:r>
          </w:p>
        </w:tc>
      </w:tr>
      <w:tr w:rsidR="00CD58DC" w:rsidRPr="00CD58DC" w14:paraId="3293B8FF" w14:textId="77777777" w:rsidTr="00460B48">
        <w:tc>
          <w:tcPr>
            <w:tcW w:w="534" w:type="dxa"/>
            <w:shd w:val="clear" w:color="auto" w:fill="D9D9D9"/>
          </w:tcPr>
          <w:p w14:paraId="538DBE50" w14:textId="77777777" w:rsidR="00CD58DC" w:rsidRPr="003B36E1" w:rsidRDefault="00CD58DC" w:rsidP="00955279">
            <w:pPr>
              <w:pStyle w:val="ComparatorSPecBoxBold"/>
            </w:pPr>
            <w:r w:rsidRPr="003B36E1">
              <w:t>1.3</w:t>
            </w:r>
          </w:p>
        </w:tc>
        <w:tc>
          <w:tcPr>
            <w:tcW w:w="1701" w:type="dxa"/>
            <w:tcBorders>
              <w:top w:val="single" w:sz="4" w:space="0" w:color="auto"/>
              <w:bottom w:val="single" w:sz="4" w:space="0" w:color="auto"/>
            </w:tcBorders>
            <w:shd w:val="clear" w:color="auto" w:fill="D9D9D9"/>
          </w:tcPr>
          <w:p w14:paraId="7FCAE6B7" w14:textId="77777777" w:rsidR="00CD58DC" w:rsidRPr="003B36E1" w:rsidRDefault="00CD58DC" w:rsidP="00955279">
            <w:pPr>
              <w:pStyle w:val="ComparatorSPecBoxBold"/>
            </w:pPr>
            <w:r w:rsidRPr="003B36E1">
              <w:t>Definition</w:t>
            </w:r>
          </w:p>
        </w:tc>
        <w:tc>
          <w:tcPr>
            <w:tcW w:w="7654" w:type="dxa"/>
          </w:tcPr>
          <w:p w14:paraId="2601EAA6" w14:textId="77777777" w:rsidR="000E1505" w:rsidRPr="003B36E1" w:rsidRDefault="00CD58DC" w:rsidP="00955279">
            <w:pPr>
              <w:pStyle w:val="ComparatorSpecBoxSpacing"/>
            </w:pPr>
            <w:r w:rsidRPr="003B36E1">
              <w:t xml:space="preserve">Number of patients </w:t>
            </w:r>
            <w:r w:rsidR="00635DA0" w:rsidRPr="003B36E1">
              <w:t>(</w:t>
            </w:r>
            <w:r w:rsidR="00974EE3" w:rsidRPr="00974EE3">
              <w:t>all patients, patients aged 0-17, 18 to 24, 10-year age bands between 25 and 84, 65 and over, 75 and over, and 85 and over</w:t>
            </w:r>
            <w:r w:rsidR="00635DA0" w:rsidRPr="003B36E1">
              <w:t>)</w:t>
            </w:r>
            <w:r w:rsidR="00635DA0">
              <w:t xml:space="preserve"> </w:t>
            </w:r>
            <w:r w:rsidRPr="003B36E1">
              <w:t>prescribed 8/10/15/20</w:t>
            </w:r>
            <w:r w:rsidR="00FB4161" w:rsidRPr="003B36E1">
              <w:t xml:space="preserve"> or more</w:t>
            </w:r>
            <w:r w:rsidRPr="003B36E1">
              <w:t xml:space="preserve"> unique medicines as a percentage of the number of patients prescribed one or more medicines</w:t>
            </w:r>
            <w:r w:rsidR="006C000F">
              <w:t xml:space="preserve"> </w:t>
            </w:r>
          </w:p>
        </w:tc>
      </w:tr>
      <w:tr w:rsidR="00CD58DC" w:rsidRPr="00CD58DC" w14:paraId="54607668" w14:textId="77777777" w:rsidTr="00460B48">
        <w:trPr>
          <w:trHeight w:val="241"/>
        </w:trPr>
        <w:tc>
          <w:tcPr>
            <w:tcW w:w="534" w:type="dxa"/>
            <w:shd w:val="clear" w:color="auto" w:fill="D9D9D9"/>
          </w:tcPr>
          <w:p w14:paraId="682CEE8B" w14:textId="77777777" w:rsidR="00CD58DC" w:rsidRPr="003B36E1" w:rsidRDefault="00CD58DC" w:rsidP="00955279">
            <w:pPr>
              <w:pStyle w:val="ComparatorSPecBoxBold"/>
            </w:pPr>
            <w:r w:rsidRPr="003B36E1">
              <w:t>1.4</w:t>
            </w:r>
          </w:p>
        </w:tc>
        <w:tc>
          <w:tcPr>
            <w:tcW w:w="1701" w:type="dxa"/>
            <w:tcBorders>
              <w:top w:val="single" w:sz="4" w:space="0" w:color="auto"/>
              <w:bottom w:val="single" w:sz="4" w:space="0" w:color="auto"/>
            </w:tcBorders>
            <w:shd w:val="clear" w:color="auto" w:fill="D9D9D9"/>
          </w:tcPr>
          <w:p w14:paraId="1EC83785" w14:textId="77777777" w:rsidR="00CD58DC" w:rsidRPr="003B36E1" w:rsidRDefault="00CD58DC" w:rsidP="00955279">
            <w:pPr>
              <w:pStyle w:val="ComparatorSPecBoxBold"/>
            </w:pPr>
            <w:r w:rsidRPr="003B36E1">
              <w:t>Reporting Level</w:t>
            </w:r>
          </w:p>
        </w:tc>
        <w:tc>
          <w:tcPr>
            <w:tcW w:w="7654" w:type="dxa"/>
          </w:tcPr>
          <w:p w14:paraId="0206A7D0" w14:textId="77777777" w:rsidR="000E1505" w:rsidRPr="003B36E1" w:rsidRDefault="00974EE3" w:rsidP="00955279">
            <w:pPr>
              <w:pStyle w:val="ComparatorSpecBoxSpacing"/>
            </w:pPr>
            <w:r w:rsidRPr="00974EE3">
              <w:t xml:space="preserve">Practice level (aggregated to PCN, SICBL, </w:t>
            </w:r>
            <w:r w:rsidR="002C2F02">
              <w:t>HIN</w:t>
            </w:r>
            <w:r w:rsidRPr="00974EE3">
              <w:t>, ICB, Regional and England level)</w:t>
            </w:r>
          </w:p>
        </w:tc>
      </w:tr>
      <w:tr w:rsidR="00CD58DC" w:rsidRPr="00CD58DC" w14:paraId="735D1E3E" w14:textId="77777777" w:rsidTr="00460B48">
        <w:trPr>
          <w:trHeight w:val="3094"/>
        </w:trPr>
        <w:tc>
          <w:tcPr>
            <w:tcW w:w="534" w:type="dxa"/>
            <w:shd w:val="clear" w:color="auto" w:fill="D9D9D9"/>
          </w:tcPr>
          <w:p w14:paraId="13AB5532" w14:textId="77777777" w:rsidR="00CD58DC" w:rsidRPr="003B36E1" w:rsidRDefault="00CD58DC" w:rsidP="00955279">
            <w:pPr>
              <w:pStyle w:val="ComparatorSPecBoxBold"/>
            </w:pPr>
            <w:r w:rsidRPr="003B36E1">
              <w:t>1.5</w:t>
            </w:r>
          </w:p>
        </w:tc>
        <w:tc>
          <w:tcPr>
            <w:tcW w:w="1701" w:type="dxa"/>
            <w:tcBorders>
              <w:top w:val="single" w:sz="4" w:space="0" w:color="auto"/>
              <w:bottom w:val="single" w:sz="4" w:space="0" w:color="auto"/>
            </w:tcBorders>
            <w:shd w:val="clear" w:color="auto" w:fill="D9D9D9"/>
          </w:tcPr>
          <w:p w14:paraId="2EF00860" w14:textId="77777777" w:rsidR="00CD58DC" w:rsidRPr="003B36E1" w:rsidRDefault="00CD58DC" w:rsidP="00955279">
            <w:pPr>
              <w:pStyle w:val="ComparatorSPecBoxBold"/>
            </w:pPr>
            <w:r w:rsidRPr="003B36E1">
              <w:t>Numerator</w:t>
            </w:r>
          </w:p>
        </w:tc>
        <w:tc>
          <w:tcPr>
            <w:tcW w:w="7654" w:type="dxa"/>
          </w:tcPr>
          <w:p w14:paraId="497E20F8" w14:textId="77777777" w:rsidR="00CD58DC" w:rsidRPr="003B36E1" w:rsidRDefault="00CD58DC" w:rsidP="00955279">
            <w:pPr>
              <w:pStyle w:val="ComparatorSpecBoxSpacing"/>
            </w:pPr>
            <w:r w:rsidRPr="003B36E1">
              <w:t xml:space="preserve">Number of patients </w:t>
            </w:r>
            <w:r w:rsidR="00635DA0" w:rsidRPr="003B36E1">
              <w:t>(</w:t>
            </w:r>
            <w:r w:rsidR="00974EE3" w:rsidRPr="00974EE3">
              <w:t>all patients, patients aged 0-17, 18 to 24, 10-year age bands between 25 and 84, 65 and over, 75 and over, and 85 and over</w:t>
            </w:r>
            <w:r w:rsidR="00635DA0" w:rsidRPr="003B36E1">
              <w:t>)</w:t>
            </w:r>
            <w:r w:rsidR="00635DA0">
              <w:t xml:space="preserve"> </w:t>
            </w:r>
            <w:r w:rsidRPr="003B36E1">
              <w:t>prescribed 8/10/15/20 or more unique</w:t>
            </w:r>
            <w:r w:rsidR="00F64611" w:rsidRPr="003B36E1">
              <w:rPr>
                <w:vertAlign w:val="superscript"/>
              </w:rPr>
              <w:t xml:space="preserve"> </w:t>
            </w:r>
            <w:r w:rsidRPr="003B36E1">
              <w:t>medicines</w:t>
            </w:r>
            <w:r w:rsidR="00137421" w:rsidRPr="003B36E1">
              <w:t xml:space="preserve"> from one or </w:t>
            </w:r>
            <w:r w:rsidR="00E7353C" w:rsidRPr="003B36E1">
              <w:t>more of the following BNF Chapters</w:t>
            </w:r>
            <w:r w:rsidR="000E1505">
              <w:t xml:space="preserve"> in a single month.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1275"/>
            </w:tblGrid>
            <w:tr w:rsidR="00CD58DC" w:rsidRPr="003B36E1" w14:paraId="300BD8A7" w14:textId="77777777" w:rsidTr="009D44F4">
              <w:trPr>
                <w:trHeight w:val="283"/>
                <w:jc w:val="center"/>
              </w:trPr>
              <w:tc>
                <w:tcPr>
                  <w:tcW w:w="5132" w:type="dxa"/>
                  <w:shd w:val="clear" w:color="auto" w:fill="D9D9D9"/>
                  <w:noWrap/>
                  <w:vAlign w:val="center"/>
                  <w:hideMark/>
                </w:tcPr>
                <w:p w14:paraId="18C2CD07" w14:textId="77777777" w:rsidR="00CD58DC" w:rsidRPr="003B36E1" w:rsidRDefault="00CD58DC" w:rsidP="009D44F4">
                  <w:pPr>
                    <w:pStyle w:val="ComparatorSPecBoxBold"/>
                  </w:pPr>
                  <w:r w:rsidRPr="003B36E1">
                    <w:t xml:space="preserve">BNF Name </w:t>
                  </w:r>
                </w:p>
              </w:tc>
              <w:tc>
                <w:tcPr>
                  <w:tcW w:w="1275" w:type="dxa"/>
                  <w:shd w:val="clear" w:color="auto" w:fill="D9D9D9"/>
                  <w:noWrap/>
                  <w:vAlign w:val="center"/>
                  <w:hideMark/>
                </w:tcPr>
                <w:p w14:paraId="0440410A" w14:textId="19F8CB11" w:rsidR="00CD58DC" w:rsidRPr="003B36E1" w:rsidRDefault="00CD58DC" w:rsidP="009D44F4">
                  <w:pPr>
                    <w:pStyle w:val="ComparatorSPecBoxBold"/>
                    <w:jc w:val="center"/>
                  </w:pPr>
                  <w:r w:rsidRPr="003B36E1">
                    <w:t>BNF Code</w:t>
                  </w:r>
                </w:p>
              </w:tc>
            </w:tr>
            <w:tr w:rsidR="00CD58DC" w:rsidRPr="003B36E1" w14:paraId="500DE343" w14:textId="77777777" w:rsidTr="009D44F4">
              <w:trPr>
                <w:trHeight w:val="283"/>
                <w:jc w:val="center"/>
              </w:trPr>
              <w:tc>
                <w:tcPr>
                  <w:tcW w:w="5132" w:type="dxa"/>
                  <w:noWrap/>
                  <w:vAlign w:val="center"/>
                  <w:hideMark/>
                </w:tcPr>
                <w:p w14:paraId="5183451A" w14:textId="77777777" w:rsidR="00CD58DC" w:rsidRPr="003B36E1" w:rsidRDefault="00CD58DC" w:rsidP="009D44F4">
                  <w:pPr>
                    <w:pStyle w:val="ComparatorSpecBoxNormal"/>
                    <w:rPr>
                      <w:lang w:eastAsia="en-GB"/>
                    </w:rPr>
                  </w:pPr>
                  <w:r w:rsidRPr="003B36E1">
                    <w:rPr>
                      <w:lang w:eastAsia="en-GB"/>
                    </w:rPr>
                    <w:t>Gastro-Intestinal System</w:t>
                  </w:r>
                </w:p>
              </w:tc>
              <w:tc>
                <w:tcPr>
                  <w:tcW w:w="1275" w:type="dxa"/>
                  <w:noWrap/>
                  <w:vAlign w:val="center"/>
                  <w:hideMark/>
                </w:tcPr>
                <w:p w14:paraId="33FEC665" w14:textId="77777777" w:rsidR="00CD58DC" w:rsidRPr="003B36E1" w:rsidRDefault="00CD58DC" w:rsidP="009D44F4">
                  <w:pPr>
                    <w:pStyle w:val="ComparatorSpecBoxNormal"/>
                    <w:jc w:val="center"/>
                    <w:rPr>
                      <w:lang w:eastAsia="en-GB"/>
                    </w:rPr>
                  </w:pPr>
                  <w:r w:rsidRPr="003B36E1">
                    <w:rPr>
                      <w:lang w:eastAsia="en-GB"/>
                    </w:rPr>
                    <w:t>01</w:t>
                  </w:r>
                </w:p>
              </w:tc>
            </w:tr>
            <w:tr w:rsidR="00CD58DC" w:rsidRPr="003B36E1" w14:paraId="33DAAC97" w14:textId="77777777" w:rsidTr="009D44F4">
              <w:trPr>
                <w:trHeight w:val="283"/>
                <w:jc w:val="center"/>
              </w:trPr>
              <w:tc>
                <w:tcPr>
                  <w:tcW w:w="5132" w:type="dxa"/>
                  <w:noWrap/>
                  <w:vAlign w:val="center"/>
                  <w:hideMark/>
                </w:tcPr>
                <w:p w14:paraId="3FD4619F" w14:textId="77777777" w:rsidR="00CD58DC" w:rsidRPr="003B36E1" w:rsidRDefault="00CD58DC" w:rsidP="009D44F4">
                  <w:pPr>
                    <w:pStyle w:val="ComparatorSpecBoxNormal"/>
                    <w:rPr>
                      <w:lang w:eastAsia="en-GB"/>
                    </w:rPr>
                  </w:pPr>
                  <w:r w:rsidRPr="003B36E1">
                    <w:rPr>
                      <w:lang w:eastAsia="en-GB"/>
                    </w:rPr>
                    <w:t>Cardiovascular System</w:t>
                  </w:r>
                </w:p>
              </w:tc>
              <w:tc>
                <w:tcPr>
                  <w:tcW w:w="1275" w:type="dxa"/>
                  <w:noWrap/>
                  <w:vAlign w:val="center"/>
                  <w:hideMark/>
                </w:tcPr>
                <w:p w14:paraId="51B1FA43" w14:textId="77777777" w:rsidR="00CD58DC" w:rsidRPr="003B36E1" w:rsidRDefault="00CD58DC" w:rsidP="009D44F4">
                  <w:pPr>
                    <w:pStyle w:val="ComparatorSpecBoxNormal"/>
                    <w:jc w:val="center"/>
                    <w:rPr>
                      <w:lang w:eastAsia="en-GB"/>
                    </w:rPr>
                  </w:pPr>
                  <w:r w:rsidRPr="003B36E1">
                    <w:rPr>
                      <w:lang w:eastAsia="en-GB"/>
                    </w:rPr>
                    <w:t>02</w:t>
                  </w:r>
                </w:p>
              </w:tc>
            </w:tr>
            <w:tr w:rsidR="00CD58DC" w:rsidRPr="003B36E1" w14:paraId="6188A08B" w14:textId="77777777" w:rsidTr="009D44F4">
              <w:trPr>
                <w:trHeight w:val="283"/>
                <w:jc w:val="center"/>
              </w:trPr>
              <w:tc>
                <w:tcPr>
                  <w:tcW w:w="5132" w:type="dxa"/>
                  <w:noWrap/>
                  <w:vAlign w:val="center"/>
                  <w:hideMark/>
                </w:tcPr>
                <w:p w14:paraId="671BE4EF" w14:textId="77777777" w:rsidR="00CD58DC" w:rsidRPr="003B36E1" w:rsidRDefault="00CD58DC" w:rsidP="009D44F4">
                  <w:pPr>
                    <w:pStyle w:val="ComparatorSpecBoxNormal"/>
                    <w:rPr>
                      <w:lang w:eastAsia="en-GB"/>
                    </w:rPr>
                  </w:pPr>
                  <w:r w:rsidRPr="003B36E1">
                    <w:rPr>
                      <w:lang w:eastAsia="en-GB"/>
                    </w:rPr>
                    <w:t>Respiratory System</w:t>
                  </w:r>
                </w:p>
              </w:tc>
              <w:tc>
                <w:tcPr>
                  <w:tcW w:w="1275" w:type="dxa"/>
                  <w:noWrap/>
                  <w:vAlign w:val="center"/>
                  <w:hideMark/>
                </w:tcPr>
                <w:p w14:paraId="342A9AFD" w14:textId="77777777" w:rsidR="00CD58DC" w:rsidRPr="003B36E1" w:rsidRDefault="00CD58DC" w:rsidP="009D44F4">
                  <w:pPr>
                    <w:pStyle w:val="ComparatorSpecBoxNormal"/>
                    <w:jc w:val="center"/>
                    <w:rPr>
                      <w:lang w:eastAsia="en-GB"/>
                    </w:rPr>
                  </w:pPr>
                  <w:r w:rsidRPr="003B36E1">
                    <w:rPr>
                      <w:lang w:eastAsia="en-GB"/>
                    </w:rPr>
                    <w:t>03</w:t>
                  </w:r>
                </w:p>
              </w:tc>
            </w:tr>
            <w:tr w:rsidR="00CD58DC" w:rsidRPr="003B36E1" w14:paraId="33BA1EF8" w14:textId="77777777" w:rsidTr="009D44F4">
              <w:trPr>
                <w:trHeight w:val="283"/>
                <w:jc w:val="center"/>
              </w:trPr>
              <w:tc>
                <w:tcPr>
                  <w:tcW w:w="5132" w:type="dxa"/>
                  <w:noWrap/>
                  <w:vAlign w:val="center"/>
                  <w:hideMark/>
                </w:tcPr>
                <w:p w14:paraId="5183DD05" w14:textId="77777777" w:rsidR="00CD58DC" w:rsidRPr="003B36E1" w:rsidRDefault="00CD58DC" w:rsidP="009D44F4">
                  <w:pPr>
                    <w:pStyle w:val="ComparatorSpecBoxNormal"/>
                    <w:rPr>
                      <w:lang w:eastAsia="en-GB"/>
                    </w:rPr>
                  </w:pPr>
                  <w:r w:rsidRPr="003B36E1">
                    <w:rPr>
                      <w:lang w:eastAsia="en-GB"/>
                    </w:rPr>
                    <w:t>Central Nervous System</w:t>
                  </w:r>
                </w:p>
              </w:tc>
              <w:tc>
                <w:tcPr>
                  <w:tcW w:w="1275" w:type="dxa"/>
                  <w:noWrap/>
                  <w:vAlign w:val="center"/>
                  <w:hideMark/>
                </w:tcPr>
                <w:p w14:paraId="4AC2F191" w14:textId="77777777" w:rsidR="00CD58DC" w:rsidRPr="003B36E1" w:rsidRDefault="00CD58DC" w:rsidP="009D44F4">
                  <w:pPr>
                    <w:pStyle w:val="ComparatorSpecBoxNormal"/>
                    <w:jc w:val="center"/>
                    <w:rPr>
                      <w:lang w:eastAsia="en-GB"/>
                    </w:rPr>
                  </w:pPr>
                  <w:r w:rsidRPr="003B36E1">
                    <w:rPr>
                      <w:lang w:eastAsia="en-GB"/>
                    </w:rPr>
                    <w:t>04</w:t>
                  </w:r>
                </w:p>
              </w:tc>
            </w:tr>
            <w:tr w:rsidR="00CD58DC" w:rsidRPr="003B36E1" w14:paraId="22A85C49" w14:textId="77777777" w:rsidTr="009D44F4">
              <w:trPr>
                <w:trHeight w:val="283"/>
                <w:jc w:val="center"/>
              </w:trPr>
              <w:tc>
                <w:tcPr>
                  <w:tcW w:w="5132" w:type="dxa"/>
                  <w:noWrap/>
                  <w:vAlign w:val="center"/>
                  <w:hideMark/>
                </w:tcPr>
                <w:p w14:paraId="0642DB07" w14:textId="77777777" w:rsidR="00CD58DC" w:rsidRPr="003B36E1" w:rsidRDefault="00CD58DC" w:rsidP="009D44F4">
                  <w:pPr>
                    <w:pStyle w:val="ComparatorSpecBoxNormal"/>
                    <w:rPr>
                      <w:lang w:eastAsia="en-GB"/>
                    </w:rPr>
                  </w:pPr>
                  <w:r w:rsidRPr="003B36E1">
                    <w:rPr>
                      <w:lang w:eastAsia="en-GB"/>
                    </w:rPr>
                    <w:t>Endocrine System</w:t>
                  </w:r>
                </w:p>
              </w:tc>
              <w:tc>
                <w:tcPr>
                  <w:tcW w:w="1275" w:type="dxa"/>
                  <w:noWrap/>
                  <w:vAlign w:val="center"/>
                  <w:hideMark/>
                </w:tcPr>
                <w:p w14:paraId="4DD9413B" w14:textId="77777777" w:rsidR="00CD58DC" w:rsidRPr="003B36E1" w:rsidRDefault="00CD58DC" w:rsidP="009D44F4">
                  <w:pPr>
                    <w:pStyle w:val="ComparatorSpecBoxNormal"/>
                    <w:jc w:val="center"/>
                    <w:rPr>
                      <w:lang w:eastAsia="en-GB"/>
                    </w:rPr>
                  </w:pPr>
                  <w:r w:rsidRPr="003B36E1">
                    <w:rPr>
                      <w:lang w:eastAsia="en-GB"/>
                    </w:rPr>
                    <w:t>06</w:t>
                  </w:r>
                </w:p>
              </w:tc>
            </w:tr>
            <w:tr w:rsidR="00CD58DC" w:rsidRPr="003B36E1" w14:paraId="350E08E3" w14:textId="77777777" w:rsidTr="009D44F4">
              <w:trPr>
                <w:trHeight w:val="283"/>
                <w:jc w:val="center"/>
              </w:trPr>
              <w:tc>
                <w:tcPr>
                  <w:tcW w:w="5132" w:type="dxa"/>
                  <w:noWrap/>
                  <w:vAlign w:val="center"/>
                  <w:hideMark/>
                </w:tcPr>
                <w:p w14:paraId="2FE92CEB" w14:textId="77777777" w:rsidR="00CD58DC" w:rsidRPr="003B36E1" w:rsidRDefault="00CD58DC" w:rsidP="009D44F4">
                  <w:pPr>
                    <w:pStyle w:val="ComparatorSpecBoxNormal"/>
                    <w:rPr>
                      <w:lang w:eastAsia="en-GB"/>
                    </w:rPr>
                  </w:pPr>
                  <w:r w:rsidRPr="003B36E1">
                    <w:rPr>
                      <w:lang w:eastAsia="en-GB"/>
                    </w:rPr>
                    <w:t>Obstetrics,</w:t>
                  </w:r>
                  <w:r w:rsidR="00657DE1">
                    <w:rPr>
                      <w:lang w:eastAsia="en-GB"/>
                    </w:rPr>
                    <w:t xml:space="preserve"> </w:t>
                  </w:r>
                  <w:r w:rsidRPr="003B36E1">
                    <w:rPr>
                      <w:lang w:eastAsia="en-GB"/>
                    </w:rPr>
                    <w:t>Gynae</w:t>
                  </w:r>
                  <w:r w:rsidR="00657DE1">
                    <w:rPr>
                      <w:lang w:eastAsia="en-GB"/>
                    </w:rPr>
                    <w:t xml:space="preserve">cology, and </w:t>
                  </w:r>
                  <w:r w:rsidRPr="003B36E1">
                    <w:rPr>
                      <w:lang w:eastAsia="en-GB"/>
                    </w:rPr>
                    <w:t>Urinary</w:t>
                  </w:r>
                  <w:r w:rsidR="00657DE1">
                    <w:rPr>
                      <w:lang w:eastAsia="en-GB"/>
                    </w:rPr>
                    <w:t>-</w:t>
                  </w:r>
                  <w:r w:rsidRPr="003B36E1">
                    <w:rPr>
                      <w:lang w:eastAsia="en-GB"/>
                    </w:rPr>
                    <w:t>Tract Disorders</w:t>
                  </w:r>
                </w:p>
              </w:tc>
              <w:tc>
                <w:tcPr>
                  <w:tcW w:w="1275" w:type="dxa"/>
                  <w:noWrap/>
                  <w:vAlign w:val="center"/>
                  <w:hideMark/>
                </w:tcPr>
                <w:p w14:paraId="1F6D0964" w14:textId="77777777" w:rsidR="00CD58DC" w:rsidRPr="003B36E1" w:rsidRDefault="00CD58DC" w:rsidP="009D44F4">
                  <w:pPr>
                    <w:pStyle w:val="ComparatorSpecBoxNormal"/>
                    <w:jc w:val="center"/>
                    <w:rPr>
                      <w:lang w:eastAsia="en-GB"/>
                    </w:rPr>
                  </w:pPr>
                  <w:r w:rsidRPr="003B36E1">
                    <w:rPr>
                      <w:lang w:eastAsia="en-GB"/>
                    </w:rPr>
                    <w:t>07</w:t>
                  </w:r>
                </w:p>
              </w:tc>
            </w:tr>
            <w:tr w:rsidR="00CD58DC" w:rsidRPr="003B36E1" w14:paraId="2861EA0B" w14:textId="77777777" w:rsidTr="009D44F4">
              <w:trPr>
                <w:trHeight w:val="283"/>
                <w:jc w:val="center"/>
              </w:trPr>
              <w:tc>
                <w:tcPr>
                  <w:tcW w:w="5132" w:type="dxa"/>
                  <w:noWrap/>
                  <w:vAlign w:val="center"/>
                  <w:hideMark/>
                </w:tcPr>
                <w:p w14:paraId="7677B1D8" w14:textId="77777777" w:rsidR="00CD58DC" w:rsidRPr="003B36E1" w:rsidRDefault="00CD58DC" w:rsidP="009D44F4">
                  <w:pPr>
                    <w:pStyle w:val="ComparatorSpecBoxNormal"/>
                    <w:rPr>
                      <w:lang w:eastAsia="en-GB"/>
                    </w:rPr>
                  </w:pPr>
                  <w:r w:rsidRPr="003B36E1">
                    <w:rPr>
                      <w:lang w:eastAsia="en-GB"/>
                    </w:rPr>
                    <w:t>Malignant Disease &amp; Immunosuppression</w:t>
                  </w:r>
                </w:p>
              </w:tc>
              <w:tc>
                <w:tcPr>
                  <w:tcW w:w="1275" w:type="dxa"/>
                  <w:noWrap/>
                  <w:vAlign w:val="center"/>
                  <w:hideMark/>
                </w:tcPr>
                <w:p w14:paraId="68EEB350" w14:textId="77777777" w:rsidR="00CD58DC" w:rsidRPr="003B36E1" w:rsidRDefault="00CD58DC" w:rsidP="009D44F4">
                  <w:pPr>
                    <w:pStyle w:val="ComparatorSpecBoxNormal"/>
                    <w:jc w:val="center"/>
                    <w:rPr>
                      <w:lang w:eastAsia="en-GB"/>
                    </w:rPr>
                  </w:pPr>
                  <w:r w:rsidRPr="003B36E1">
                    <w:rPr>
                      <w:lang w:eastAsia="en-GB"/>
                    </w:rPr>
                    <w:t>08</w:t>
                  </w:r>
                </w:p>
              </w:tc>
            </w:tr>
            <w:tr w:rsidR="00CD58DC" w:rsidRPr="003B36E1" w14:paraId="6522C9F5" w14:textId="77777777" w:rsidTr="009D44F4">
              <w:trPr>
                <w:trHeight w:val="283"/>
                <w:jc w:val="center"/>
              </w:trPr>
              <w:tc>
                <w:tcPr>
                  <w:tcW w:w="5132" w:type="dxa"/>
                  <w:noWrap/>
                  <w:vAlign w:val="center"/>
                  <w:hideMark/>
                </w:tcPr>
                <w:p w14:paraId="4F5C63A3" w14:textId="77777777" w:rsidR="00CD58DC" w:rsidRPr="00955279" w:rsidRDefault="00CD58DC" w:rsidP="009D44F4">
                  <w:pPr>
                    <w:pStyle w:val="ComparatorSpecBoxNormal"/>
                    <w:rPr>
                      <w:lang w:eastAsia="en-GB"/>
                    </w:rPr>
                  </w:pPr>
                  <w:r w:rsidRPr="00955279">
                    <w:rPr>
                      <w:lang w:eastAsia="en-GB"/>
                    </w:rPr>
                    <w:t>Nutrition And Blood</w:t>
                  </w:r>
                </w:p>
              </w:tc>
              <w:tc>
                <w:tcPr>
                  <w:tcW w:w="1275" w:type="dxa"/>
                  <w:noWrap/>
                  <w:vAlign w:val="center"/>
                  <w:hideMark/>
                </w:tcPr>
                <w:p w14:paraId="26675489" w14:textId="77777777" w:rsidR="00CD58DC" w:rsidRPr="00955279" w:rsidRDefault="00CD58DC" w:rsidP="009D44F4">
                  <w:pPr>
                    <w:pStyle w:val="ComparatorSpecBoxNormal"/>
                    <w:jc w:val="center"/>
                    <w:rPr>
                      <w:lang w:eastAsia="en-GB"/>
                    </w:rPr>
                  </w:pPr>
                  <w:r w:rsidRPr="00955279">
                    <w:rPr>
                      <w:lang w:eastAsia="en-GB"/>
                    </w:rPr>
                    <w:t>09</w:t>
                  </w:r>
                </w:p>
              </w:tc>
            </w:tr>
            <w:tr w:rsidR="00CD58DC" w:rsidRPr="003B36E1" w14:paraId="61D1FCD4" w14:textId="77777777" w:rsidTr="009D44F4">
              <w:trPr>
                <w:trHeight w:val="283"/>
                <w:jc w:val="center"/>
              </w:trPr>
              <w:tc>
                <w:tcPr>
                  <w:tcW w:w="5132" w:type="dxa"/>
                  <w:noWrap/>
                  <w:vAlign w:val="center"/>
                  <w:hideMark/>
                </w:tcPr>
                <w:p w14:paraId="02AAB312" w14:textId="77777777" w:rsidR="00CD58DC" w:rsidRPr="003B36E1" w:rsidRDefault="00CD58DC" w:rsidP="009D44F4">
                  <w:pPr>
                    <w:pStyle w:val="ComparatorSpecBoxNormal"/>
                    <w:rPr>
                      <w:lang w:eastAsia="en-GB"/>
                    </w:rPr>
                  </w:pPr>
                  <w:r w:rsidRPr="003B36E1">
                    <w:rPr>
                      <w:lang w:eastAsia="en-GB"/>
                    </w:rPr>
                    <w:t>Musculoskeletal &amp; Joint Diseases</w:t>
                  </w:r>
                </w:p>
              </w:tc>
              <w:tc>
                <w:tcPr>
                  <w:tcW w:w="1275" w:type="dxa"/>
                  <w:noWrap/>
                  <w:vAlign w:val="center"/>
                  <w:hideMark/>
                </w:tcPr>
                <w:p w14:paraId="69A45EB4" w14:textId="77777777" w:rsidR="00CD58DC" w:rsidRPr="003B36E1" w:rsidRDefault="00CD58DC" w:rsidP="009D44F4">
                  <w:pPr>
                    <w:pStyle w:val="ComparatorSpecBoxNormal"/>
                    <w:jc w:val="center"/>
                    <w:rPr>
                      <w:lang w:eastAsia="en-GB"/>
                    </w:rPr>
                  </w:pPr>
                  <w:r w:rsidRPr="003B36E1">
                    <w:rPr>
                      <w:lang w:eastAsia="en-GB"/>
                    </w:rPr>
                    <w:t>10</w:t>
                  </w:r>
                </w:p>
              </w:tc>
            </w:tr>
          </w:tbl>
          <w:p w14:paraId="4FDD2EE6" w14:textId="77777777" w:rsidR="00A25E4E" w:rsidRPr="003B36E1" w:rsidRDefault="00A25E4E" w:rsidP="00955279">
            <w:pPr>
              <w:pStyle w:val="ComparatorSpecBoxSpacing"/>
            </w:pPr>
            <w:r>
              <w:t xml:space="preserve"> </w:t>
            </w:r>
          </w:p>
        </w:tc>
      </w:tr>
      <w:tr w:rsidR="00CD58DC" w:rsidRPr="00CD58DC" w14:paraId="55EDBA0B" w14:textId="77777777" w:rsidTr="00460B48">
        <w:trPr>
          <w:trHeight w:val="476"/>
        </w:trPr>
        <w:tc>
          <w:tcPr>
            <w:tcW w:w="534" w:type="dxa"/>
            <w:shd w:val="clear" w:color="auto" w:fill="D9D9D9"/>
          </w:tcPr>
          <w:p w14:paraId="565E37EB" w14:textId="77777777" w:rsidR="00CD58DC" w:rsidRPr="003B36E1" w:rsidRDefault="00CD58DC" w:rsidP="00955279">
            <w:pPr>
              <w:pStyle w:val="ComparatorSPecBoxBold"/>
            </w:pPr>
            <w:r w:rsidRPr="003B36E1">
              <w:t>1.6</w:t>
            </w:r>
          </w:p>
        </w:tc>
        <w:tc>
          <w:tcPr>
            <w:tcW w:w="1701" w:type="dxa"/>
            <w:tcBorders>
              <w:top w:val="single" w:sz="4" w:space="0" w:color="auto"/>
              <w:bottom w:val="single" w:sz="4" w:space="0" w:color="auto"/>
            </w:tcBorders>
            <w:shd w:val="clear" w:color="auto" w:fill="D9D9D9"/>
          </w:tcPr>
          <w:p w14:paraId="779414E6" w14:textId="77777777" w:rsidR="00CD58DC" w:rsidRPr="003B36E1" w:rsidRDefault="00CD58DC" w:rsidP="00955279">
            <w:pPr>
              <w:pStyle w:val="ComparatorSPecBoxBold"/>
            </w:pPr>
            <w:r w:rsidRPr="003B36E1">
              <w:t>Denominator</w:t>
            </w:r>
          </w:p>
        </w:tc>
        <w:tc>
          <w:tcPr>
            <w:tcW w:w="7654" w:type="dxa"/>
          </w:tcPr>
          <w:p w14:paraId="06F2B64B" w14:textId="77777777" w:rsidR="00CD58DC" w:rsidRPr="003B36E1" w:rsidRDefault="00CD58DC" w:rsidP="00955279">
            <w:pPr>
              <w:pStyle w:val="ComparatorSpecBoxSpacing"/>
            </w:pPr>
            <w:r w:rsidRPr="003B36E1">
              <w:t xml:space="preserve">Total number of patients </w:t>
            </w:r>
            <w:r w:rsidR="00635DA0" w:rsidRPr="003B36E1">
              <w:t>(</w:t>
            </w:r>
            <w:r w:rsidR="00974EE3">
              <w:t>all patients, patients aged 0-17, 18 to 24, 10-year age bands between 25 and 84, 65 and over, 75 and over, and 85 and over</w:t>
            </w:r>
            <w:r w:rsidR="00635DA0" w:rsidRPr="003B36E1">
              <w:t>)</w:t>
            </w:r>
            <w:r w:rsidR="00635DA0">
              <w:t xml:space="preserve"> </w:t>
            </w:r>
            <w:r w:rsidRPr="003B36E1">
              <w:t xml:space="preserve">prescribed one or more medicines within BNF chapters 1 to 4 and 6 to 10 during same </w:t>
            </w:r>
            <w:proofErr w:type="gramStart"/>
            <w:r w:rsidRPr="003B36E1">
              <w:t>time period</w:t>
            </w:r>
            <w:proofErr w:type="gramEnd"/>
            <w:r w:rsidRPr="003B36E1">
              <w:t xml:space="preserve"> as numerator</w:t>
            </w:r>
            <w:r w:rsidR="000E1505">
              <w:t>.</w:t>
            </w:r>
          </w:p>
          <w:p w14:paraId="6CB7BFEA" w14:textId="77777777" w:rsidR="00CD58DC" w:rsidRPr="003B36E1" w:rsidRDefault="00CD58DC" w:rsidP="00955279">
            <w:pPr>
              <w:pStyle w:val="ComparatorSpecBoxSpacing"/>
            </w:pPr>
            <w:r w:rsidRPr="003B36E1">
              <w:t>Note: BNF chapters 1 to 4 and 6 to 10 have been selected for this denominator and throughout the Polypharmacy comparators to focus on patients that could be within a higher risk category</w:t>
            </w:r>
            <w:r w:rsidR="000E1505">
              <w:t>.</w:t>
            </w:r>
          </w:p>
          <w:p w14:paraId="2205DCA0" w14:textId="77777777" w:rsidR="000E1505" w:rsidRPr="003B36E1" w:rsidRDefault="00CD58DC" w:rsidP="00955279">
            <w:pPr>
              <w:pStyle w:val="ComparatorSpecBoxSpacing"/>
            </w:pPr>
            <w:r w:rsidRPr="003B36E1">
              <w:t>Using Patient list size as the denominator was discounted for this comparator as the focus here is on those patient</w:t>
            </w:r>
            <w:r w:rsidR="000E1505">
              <w:t>s that have received a medicine.</w:t>
            </w:r>
          </w:p>
        </w:tc>
      </w:tr>
      <w:tr w:rsidR="00CD58DC" w:rsidRPr="00CD58DC" w14:paraId="2557C8BF" w14:textId="77777777" w:rsidTr="00460B48">
        <w:tc>
          <w:tcPr>
            <w:tcW w:w="534" w:type="dxa"/>
            <w:shd w:val="clear" w:color="auto" w:fill="D9D9D9"/>
          </w:tcPr>
          <w:p w14:paraId="1C07229F" w14:textId="77777777" w:rsidR="00CD58DC" w:rsidRPr="003B36E1" w:rsidRDefault="00CD58DC" w:rsidP="00955279">
            <w:pPr>
              <w:pStyle w:val="ComparatorSPecBoxBold"/>
            </w:pPr>
            <w:r w:rsidRPr="003B36E1">
              <w:t>1.7</w:t>
            </w:r>
          </w:p>
        </w:tc>
        <w:tc>
          <w:tcPr>
            <w:tcW w:w="1701" w:type="dxa"/>
            <w:tcBorders>
              <w:top w:val="single" w:sz="4" w:space="0" w:color="auto"/>
            </w:tcBorders>
            <w:shd w:val="clear" w:color="auto" w:fill="D9D9D9"/>
          </w:tcPr>
          <w:p w14:paraId="58C7F372" w14:textId="77777777" w:rsidR="00CD58DC" w:rsidRPr="003B36E1" w:rsidRDefault="00CD58DC" w:rsidP="00955279">
            <w:pPr>
              <w:pStyle w:val="ComparatorSPecBoxBold"/>
            </w:pPr>
            <w:r w:rsidRPr="003B36E1">
              <w:t>Methodology</w:t>
            </w:r>
          </w:p>
        </w:tc>
        <w:tc>
          <w:tcPr>
            <w:tcW w:w="7654" w:type="dxa"/>
          </w:tcPr>
          <w:p w14:paraId="09D33369" w14:textId="77777777" w:rsidR="00CD58DC" w:rsidRPr="003B36E1" w:rsidRDefault="00CD58DC" w:rsidP="00955279">
            <w:pPr>
              <w:pStyle w:val="ComparatorSpecBoxSpacing"/>
            </w:pPr>
            <w:r w:rsidRPr="003B36E1">
              <w:t>N</w:t>
            </w:r>
            <w:r w:rsidR="00740047" w:rsidRPr="003B36E1">
              <w:t>umerator divided by denominator</w:t>
            </w:r>
          </w:p>
          <w:p w14:paraId="0667F234" w14:textId="77777777" w:rsidR="00CD58DC" w:rsidRPr="003B36E1" w:rsidRDefault="00740047" w:rsidP="00955279">
            <w:pPr>
              <w:pStyle w:val="ComparatorSpecBoxSpacing"/>
              <w:rPr>
                <w:highlight w:val="yellow"/>
              </w:rPr>
            </w:pPr>
            <w:r w:rsidRPr="003B36E1">
              <w:t>Presented as a percentage</w:t>
            </w:r>
          </w:p>
          <w:p w14:paraId="4FEF2B2A" w14:textId="77777777" w:rsidR="000E1505" w:rsidRPr="003B36E1" w:rsidRDefault="00CD58DC" w:rsidP="00955279">
            <w:pPr>
              <w:pStyle w:val="ComparatorSpecBoxSpacing"/>
            </w:pPr>
            <w:r w:rsidRPr="003B36E1">
              <w:t>Note: BNF chapters 1 to 4 and 6 to 10 have been selected for this comparator and throughout the Polypharmacy comparators to focus on patients that could be within a higher risk category associated</w:t>
            </w:r>
            <w:r w:rsidR="00740047" w:rsidRPr="003B36E1">
              <w:t xml:space="preserve"> with taking multiple </w:t>
            </w:r>
            <w:r w:rsidR="000E1505">
              <w:t>medicines.</w:t>
            </w:r>
          </w:p>
        </w:tc>
      </w:tr>
      <w:tr w:rsidR="00CD58DC" w:rsidRPr="00CD58DC" w14:paraId="74389EB9" w14:textId="77777777" w:rsidTr="00460B48">
        <w:tc>
          <w:tcPr>
            <w:tcW w:w="9889" w:type="dxa"/>
            <w:gridSpan w:val="3"/>
            <w:shd w:val="clear" w:color="auto" w:fill="D9D9D9"/>
          </w:tcPr>
          <w:p w14:paraId="33BCFCBD" w14:textId="77777777" w:rsidR="00CD58DC" w:rsidRPr="003B36E1" w:rsidRDefault="00CD58DC" w:rsidP="00955279">
            <w:pPr>
              <w:pStyle w:val="ComparatorSPecBoxBold"/>
              <w:rPr>
                <w:highlight w:val="yellow"/>
              </w:rPr>
            </w:pPr>
            <w:r w:rsidRPr="003B36E1">
              <w:t>Section 2: Rationale</w:t>
            </w:r>
          </w:p>
        </w:tc>
      </w:tr>
      <w:tr w:rsidR="00CD58DC" w:rsidRPr="00CD58DC" w14:paraId="64EC2920" w14:textId="77777777" w:rsidTr="00460B48">
        <w:trPr>
          <w:trHeight w:val="1237"/>
        </w:trPr>
        <w:tc>
          <w:tcPr>
            <w:tcW w:w="534" w:type="dxa"/>
            <w:shd w:val="clear" w:color="auto" w:fill="D9D9D9"/>
          </w:tcPr>
          <w:p w14:paraId="3B2E04A9" w14:textId="77777777" w:rsidR="00CD58DC" w:rsidRPr="003B36E1" w:rsidRDefault="00CD58DC" w:rsidP="00955279">
            <w:pPr>
              <w:pStyle w:val="ComparatorSPecBoxBold"/>
            </w:pPr>
            <w:r w:rsidRPr="003B36E1">
              <w:t>2.1</w:t>
            </w:r>
          </w:p>
        </w:tc>
        <w:tc>
          <w:tcPr>
            <w:tcW w:w="1701" w:type="dxa"/>
            <w:tcBorders>
              <w:bottom w:val="single" w:sz="4" w:space="0" w:color="auto"/>
            </w:tcBorders>
            <w:shd w:val="clear" w:color="auto" w:fill="D9D9D9"/>
          </w:tcPr>
          <w:p w14:paraId="6F759F22" w14:textId="77777777" w:rsidR="00CD58DC" w:rsidRPr="003B36E1" w:rsidRDefault="00CD58DC" w:rsidP="00955279">
            <w:pPr>
              <w:pStyle w:val="ComparatorSPecBoxBold"/>
            </w:pPr>
            <w:r w:rsidRPr="003B36E1">
              <w:t>Purpose</w:t>
            </w:r>
          </w:p>
        </w:tc>
        <w:tc>
          <w:tcPr>
            <w:tcW w:w="7654" w:type="dxa"/>
          </w:tcPr>
          <w:p w14:paraId="0E66D018" w14:textId="77777777" w:rsidR="000E1505" w:rsidRDefault="00CD58DC" w:rsidP="00955279">
            <w:pPr>
              <w:pStyle w:val="ComparatorSpecBoxSpacing"/>
            </w:pPr>
            <w:r w:rsidRPr="003B36E1">
              <w:t>This comparator shows the number of patients prescribed 8/10/15/20 unique</w:t>
            </w:r>
            <w:r w:rsidRPr="003B36E1">
              <w:rPr>
                <w:vertAlign w:val="superscript"/>
              </w:rPr>
              <w:t xml:space="preserve"> </w:t>
            </w:r>
            <w:r w:rsidRPr="003B36E1">
              <w:t xml:space="preserve">medicines as a percentage of the number of patients prescribed one or more medicines. </w:t>
            </w:r>
          </w:p>
          <w:p w14:paraId="1D99E3AC" w14:textId="77777777" w:rsidR="00955279" w:rsidRPr="003B36E1" w:rsidRDefault="00955279" w:rsidP="00955279">
            <w:pPr>
              <w:pStyle w:val="ComparatorSpecBoxNormal"/>
            </w:pPr>
            <w:r w:rsidRPr="003B36E1">
              <w:t xml:space="preserve">This allows practices and </w:t>
            </w:r>
            <w:r>
              <w:t>ICB</w:t>
            </w:r>
            <w:r w:rsidRPr="003B36E1">
              <w:t>s to</w:t>
            </w:r>
            <w:r>
              <w:t>:</w:t>
            </w:r>
            <w:r w:rsidRPr="003B36E1">
              <w:t xml:space="preserve"> </w:t>
            </w:r>
          </w:p>
          <w:p w14:paraId="33C00112" w14:textId="77777777" w:rsidR="00955279" w:rsidRPr="003B36E1" w:rsidRDefault="00955279" w:rsidP="00955279">
            <w:pPr>
              <w:pStyle w:val="ComparatorSpecBoxList"/>
            </w:pPr>
            <w:r w:rsidRPr="003B36E1">
              <w:t>see the variation across practices within a</w:t>
            </w:r>
            <w:r>
              <w:t>n</w:t>
            </w:r>
            <w:r w:rsidRPr="003B36E1">
              <w:t xml:space="preserve"> </w:t>
            </w:r>
            <w:r>
              <w:t>ICB</w:t>
            </w:r>
            <w:r w:rsidRPr="003B36E1">
              <w:t xml:space="preserve"> </w:t>
            </w:r>
            <w:r w:rsidRPr="00601590">
              <w:t>and</w:t>
            </w:r>
            <w:r w:rsidRPr="003B36E1">
              <w:t xml:space="preserve"> across </w:t>
            </w:r>
            <w:r>
              <w:t>ICB</w:t>
            </w:r>
            <w:r w:rsidRPr="003B36E1">
              <w:t>s</w:t>
            </w:r>
          </w:p>
          <w:p w14:paraId="67F5E33B" w14:textId="77777777" w:rsidR="00955279" w:rsidRDefault="00955279" w:rsidP="00955279">
            <w:pPr>
              <w:pStyle w:val="ComparatorSpecBoxList"/>
            </w:pPr>
            <w:r w:rsidRPr="003B36E1">
              <w:t xml:space="preserve">identify if polypharmacy is an area to be investigated </w:t>
            </w:r>
          </w:p>
          <w:p w14:paraId="3A78EB1A" w14:textId="3C073252" w:rsidR="007F39CD" w:rsidRDefault="007F39CD" w:rsidP="00955279">
            <w:pPr>
              <w:pStyle w:val="ComparatorSpecBoxList"/>
            </w:pPr>
            <w:r>
              <w:t>to help prioritise potential areas of activity</w:t>
            </w:r>
          </w:p>
          <w:p w14:paraId="5F1B4A83" w14:textId="77777777" w:rsidR="00955279" w:rsidRDefault="00955279" w:rsidP="00955279">
            <w:pPr>
              <w:pStyle w:val="ComparatorSpecBoxList"/>
            </w:pPr>
            <w:r w:rsidRPr="003B36E1">
              <w:t>demonstrate the impact of initiatives to address polypharmacy</w:t>
            </w:r>
          </w:p>
          <w:p w14:paraId="606D874B" w14:textId="12DF5A5A" w:rsidR="00CD58DC" w:rsidRPr="00827E0B" w:rsidRDefault="00CD58DC" w:rsidP="00955279">
            <w:pPr>
              <w:pStyle w:val="ComparatorSpecBoxSpacing"/>
            </w:pPr>
          </w:p>
        </w:tc>
      </w:tr>
      <w:tr w:rsidR="00CD58DC" w:rsidRPr="00D2457D" w14:paraId="19112542" w14:textId="77777777" w:rsidTr="00460B48">
        <w:trPr>
          <w:trHeight w:val="416"/>
        </w:trPr>
        <w:tc>
          <w:tcPr>
            <w:tcW w:w="534" w:type="dxa"/>
            <w:shd w:val="clear" w:color="auto" w:fill="D9D9D9"/>
          </w:tcPr>
          <w:p w14:paraId="52F2AB82" w14:textId="77777777" w:rsidR="00CD58DC" w:rsidRPr="003B36E1" w:rsidRDefault="009E03DA" w:rsidP="00955279">
            <w:pPr>
              <w:pStyle w:val="ComparatorSPecBoxBold"/>
            </w:pPr>
            <w:r>
              <w:t>2.2</w:t>
            </w:r>
          </w:p>
        </w:tc>
        <w:tc>
          <w:tcPr>
            <w:tcW w:w="1701" w:type="dxa"/>
            <w:tcBorders>
              <w:bottom w:val="single" w:sz="4" w:space="0" w:color="auto"/>
            </w:tcBorders>
            <w:shd w:val="clear" w:color="auto" w:fill="D9D9D9"/>
          </w:tcPr>
          <w:p w14:paraId="42AA6FDF" w14:textId="77777777" w:rsidR="00CD58DC" w:rsidRPr="003B36E1" w:rsidRDefault="00CD58DC" w:rsidP="00955279">
            <w:pPr>
              <w:pStyle w:val="ComparatorSPecBoxBold"/>
            </w:pPr>
            <w:r w:rsidRPr="003B36E1">
              <w:t>Evidence and Policy Base</w:t>
            </w:r>
          </w:p>
        </w:tc>
        <w:tc>
          <w:tcPr>
            <w:tcW w:w="7654" w:type="dxa"/>
          </w:tcPr>
          <w:p w14:paraId="1F928918" w14:textId="77777777" w:rsidR="00CD58DC" w:rsidRPr="00017956" w:rsidRDefault="00CD58DC" w:rsidP="00955279">
            <w:pPr>
              <w:pStyle w:val="ComparatorSpecBoxSpacing"/>
            </w:pPr>
            <w:r w:rsidRPr="00017956">
              <w:t>The average number of prescription items issued per head of the population has increased steadily since 2005, from 14.3 to 19.8 per head in 2015.</w:t>
            </w:r>
            <w:r w:rsidR="00E7353C" w:rsidRPr="00017956">
              <w:t xml:space="preserve"> </w:t>
            </w:r>
            <w:r w:rsidR="00377D17" w:rsidRPr="003B36E1">
              <w:rPr>
                <w:vertAlign w:val="superscript"/>
              </w:rPr>
              <w:t>(6)</w:t>
            </w:r>
          </w:p>
          <w:p w14:paraId="0B803C95" w14:textId="77777777" w:rsidR="00CD58DC" w:rsidRPr="00017956" w:rsidRDefault="00CD58DC" w:rsidP="00955279">
            <w:pPr>
              <w:pStyle w:val="ComparatorSpecBoxSpacing"/>
            </w:pPr>
            <w:r w:rsidRPr="00017956">
              <w:lastRenderedPageBreak/>
              <w:t>A person taking ten or more med</w:t>
            </w:r>
            <w:r w:rsidR="00206095" w:rsidRPr="00017956">
              <w:t>icine</w:t>
            </w:r>
            <w:r w:rsidRPr="00017956">
              <w:t>s is 300% more likely to be admitted to hospital</w:t>
            </w:r>
            <w:r w:rsidR="000E1505">
              <w:t>.</w:t>
            </w:r>
            <w:r w:rsidR="00E7353C" w:rsidRPr="00017956">
              <w:t xml:space="preserve"> </w:t>
            </w:r>
            <w:r w:rsidR="00377D17">
              <w:rPr>
                <w:vertAlign w:val="superscript"/>
              </w:rPr>
              <w:t>(2)</w:t>
            </w:r>
          </w:p>
          <w:p w14:paraId="209541FC" w14:textId="77777777" w:rsidR="00CD58DC" w:rsidRPr="00017956" w:rsidRDefault="00017956" w:rsidP="00955279">
            <w:pPr>
              <w:pStyle w:val="ComparatorSpecBoxSpacing"/>
            </w:pPr>
            <w:r w:rsidRPr="00017956">
              <w:t xml:space="preserve">The more medicines a person takes, the more likely they are to have </w:t>
            </w:r>
            <w:r w:rsidRPr="001D3131">
              <w:t>an</w:t>
            </w:r>
            <w:r w:rsidRPr="00017956">
              <w:t xml:space="preserve"> adverse event from one of their medicines.</w:t>
            </w:r>
            <w:r w:rsidRPr="00017956">
              <w:rPr>
                <w:rStyle w:val="apple-converted-space"/>
              </w:rPr>
              <w:t> </w:t>
            </w:r>
            <w:r>
              <w:rPr>
                <w:rStyle w:val="apple-converted-space"/>
              </w:rPr>
              <w:t xml:space="preserve">A study found that 80% of patients </w:t>
            </w:r>
            <w:r w:rsidR="00BA5ABB">
              <w:rPr>
                <w:rStyle w:val="apple-converted-space"/>
              </w:rPr>
              <w:t xml:space="preserve">aged </w:t>
            </w:r>
            <w:r w:rsidR="00844506">
              <w:rPr>
                <w:rStyle w:val="apple-converted-space"/>
              </w:rPr>
              <w:t xml:space="preserve">65 </w:t>
            </w:r>
            <w:r w:rsidR="00BA5ABB">
              <w:rPr>
                <w:rStyle w:val="apple-converted-space"/>
              </w:rPr>
              <w:t xml:space="preserve">and over </w:t>
            </w:r>
            <w:r>
              <w:rPr>
                <w:rStyle w:val="apple-converted-space"/>
              </w:rPr>
              <w:t>who were dispensed 15 or more medicines had a potentially serious interaction on their prescription. The same study found that individuals taking multiple medicines were more likely to receive a medicine with anticholinergic activity</w:t>
            </w:r>
            <w:r w:rsidR="000E1505">
              <w:t>.</w:t>
            </w:r>
            <w:r w:rsidRPr="00017956">
              <w:rPr>
                <w:vertAlign w:val="superscript"/>
              </w:rPr>
              <w:t xml:space="preserve"> </w:t>
            </w:r>
            <w:r w:rsidR="00D2457D" w:rsidRPr="00017956">
              <w:rPr>
                <w:vertAlign w:val="superscript"/>
              </w:rPr>
              <w:t>(7)</w:t>
            </w:r>
          </w:p>
        </w:tc>
      </w:tr>
    </w:tbl>
    <w:p w14:paraId="41CF1E1B" w14:textId="77777777" w:rsidR="006B2873" w:rsidRDefault="00A25E4E" w:rsidP="001D3131">
      <w:pPr>
        <w:pStyle w:val="Heading2"/>
      </w:pPr>
      <w:bookmarkStart w:id="82" w:name="_Toc473636489"/>
      <w:bookmarkStart w:id="83" w:name="_Toc474398589"/>
      <w:bookmarkStart w:id="84" w:name="_Toc475027488"/>
      <w:r>
        <w:lastRenderedPageBreak/>
        <w:br w:type="page"/>
      </w:r>
      <w:bookmarkStart w:id="85" w:name="_Toc475027491"/>
      <w:bookmarkStart w:id="86" w:name="_Toc234231962"/>
      <w:r w:rsidR="006B2873" w:rsidRPr="008A139B">
        <w:lastRenderedPageBreak/>
        <w:t>Patients prescribed a NSAID and one or more other medicines likely to cause kidney injury (DAMN medicines)</w:t>
      </w:r>
      <w:bookmarkEnd w:id="85"/>
      <w:bookmarkEnd w:id="86"/>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10"/>
        <w:gridCol w:w="7629"/>
      </w:tblGrid>
      <w:tr w:rsidR="006B2873" w:rsidRPr="005E736D" w14:paraId="7E959076" w14:textId="77777777" w:rsidTr="00742585">
        <w:tc>
          <w:tcPr>
            <w:tcW w:w="9889" w:type="dxa"/>
            <w:gridSpan w:val="3"/>
            <w:shd w:val="clear" w:color="auto" w:fill="D9D9D9"/>
          </w:tcPr>
          <w:p w14:paraId="6AA95E5A" w14:textId="77777777" w:rsidR="006B2873" w:rsidRPr="003B36E1" w:rsidRDefault="006B2873" w:rsidP="00955279">
            <w:pPr>
              <w:pStyle w:val="ComparatorSPecBoxBold"/>
              <w:rPr>
                <w:highlight w:val="yellow"/>
              </w:rPr>
            </w:pPr>
            <w:r w:rsidRPr="003B36E1">
              <w:t>Section 1: Introduction / Overview</w:t>
            </w:r>
          </w:p>
        </w:tc>
      </w:tr>
      <w:tr w:rsidR="006B2873" w:rsidRPr="005E736D" w14:paraId="2E39E1B3" w14:textId="77777777" w:rsidTr="00460B48">
        <w:tc>
          <w:tcPr>
            <w:tcW w:w="550" w:type="dxa"/>
            <w:shd w:val="clear" w:color="auto" w:fill="D9D9D9"/>
          </w:tcPr>
          <w:p w14:paraId="4AD4030A" w14:textId="77777777" w:rsidR="006B2873" w:rsidRPr="003B36E1" w:rsidRDefault="006B2873" w:rsidP="00955279">
            <w:pPr>
              <w:pStyle w:val="ComparatorSPecBoxBold"/>
            </w:pPr>
            <w:r w:rsidRPr="003B36E1">
              <w:t>1.1</w:t>
            </w:r>
          </w:p>
        </w:tc>
        <w:tc>
          <w:tcPr>
            <w:tcW w:w="1710" w:type="dxa"/>
            <w:tcBorders>
              <w:bottom w:val="single" w:sz="4" w:space="0" w:color="auto"/>
            </w:tcBorders>
            <w:shd w:val="clear" w:color="auto" w:fill="D9D9D9"/>
          </w:tcPr>
          <w:p w14:paraId="4285805B" w14:textId="77777777" w:rsidR="006B2873" w:rsidRPr="003B36E1" w:rsidRDefault="006B2873" w:rsidP="00955279">
            <w:pPr>
              <w:pStyle w:val="ComparatorSPecBoxBold"/>
            </w:pPr>
            <w:r w:rsidRPr="003B36E1">
              <w:t>Title</w:t>
            </w:r>
          </w:p>
        </w:tc>
        <w:tc>
          <w:tcPr>
            <w:tcW w:w="7629" w:type="dxa"/>
          </w:tcPr>
          <w:p w14:paraId="169A0837" w14:textId="77777777" w:rsidR="006B2873" w:rsidRPr="003B36E1" w:rsidRDefault="006B2873" w:rsidP="00955279">
            <w:pPr>
              <w:pStyle w:val="ComparatorSpecBoxSpacing"/>
              <w:rPr>
                <w:highlight w:val="yellow"/>
              </w:rPr>
            </w:pPr>
            <w:r>
              <w:t>Percentage of patients prescribed a NSAID and one or more other medicines likely to cause kidney injury (DAMN medicines).</w:t>
            </w:r>
          </w:p>
        </w:tc>
      </w:tr>
      <w:tr w:rsidR="006B2873" w:rsidRPr="005E736D" w14:paraId="5E4C54AD" w14:textId="77777777" w:rsidTr="00460B48">
        <w:tc>
          <w:tcPr>
            <w:tcW w:w="550" w:type="dxa"/>
            <w:shd w:val="clear" w:color="auto" w:fill="D9D9D9"/>
          </w:tcPr>
          <w:p w14:paraId="7D9460F2" w14:textId="77777777" w:rsidR="006B2873" w:rsidRPr="003B36E1" w:rsidRDefault="006B2873" w:rsidP="00955279">
            <w:pPr>
              <w:pStyle w:val="ComparatorSPecBoxBold"/>
            </w:pPr>
            <w:r w:rsidRPr="003B36E1">
              <w:t>1.2</w:t>
            </w:r>
          </w:p>
        </w:tc>
        <w:tc>
          <w:tcPr>
            <w:tcW w:w="1710" w:type="dxa"/>
            <w:tcBorders>
              <w:top w:val="single" w:sz="4" w:space="0" w:color="auto"/>
              <w:bottom w:val="single" w:sz="4" w:space="0" w:color="auto"/>
            </w:tcBorders>
            <w:shd w:val="clear" w:color="auto" w:fill="D9D9D9"/>
          </w:tcPr>
          <w:p w14:paraId="40582AB6" w14:textId="77777777" w:rsidR="006B2873" w:rsidRPr="003B36E1" w:rsidRDefault="006B2873" w:rsidP="00955279">
            <w:pPr>
              <w:pStyle w:val="ComparatorSPecBoxBold"/>
            </w:pPr>
            <w:r w:rsidRPr="003B36E1">
              <w:t>MO Theme</w:t>
            </w:r>
          </w:p>
        </w:tc>
        <w:tc>
          <w:tcPr>
            <w:tcW w:w="7629" w:type="dxa"/>
          </w:tcPr>
          <w:p w14:paraId="116B5945" w14:textId="5251281F" w:rsidR="006B2873" w:rsidRPr="003B36E1" w:rsidRDefault="00955279" w:rsidP="00955279">
            <w:pPr>
              <w:pStyle w:val="ComparatorSpecBoxSpacing"/>
            </w:pPr>
            <w:r>
              <w:t>Polypharmacy</w:t>
            </w:r>
          </w:p>
        </w:tc>
      </w:tr>
      <w:tr w:rsidR="006B2873" w:rsidRPr="005E736D" w14:paraId="54E53FAC" w14:textId="77777777" w:rsidTr="00460B48">
        <w:tc>
          <w:tcPr>
            <w:tcW w:w="550" w:type="dxa"/>
            <w:shd w:val="clear" w:color="auto" w:fill="D9D9D9"/>
          </w:tcPr>
          <w:p w14:paraId="31595BEC" w14:textId="77777777" w:rsidR="006B2873" w:rsidRPr="003B36E1" w:rsidRDefault="006B2873" w:rsidP="00955279">
            <w:pPr>
              <w:pStyle w:val="ComparatorSPecBoxBold"/>
            </w:pPr>
            <w:r w:rsidRPr="003B36E1">
              <w:t>1.3</w:t>
            </w:r>
          </w:p>
        </w:tc>
        <w:tc>
          <w:tcPr>
            <w:tcW w:w="1710" w:type="dxa"/>
            <w:tcBorders>
              <w:top w:val="single" w:sz="4" w:space="0" w:color="auto"/>
              <w:bottom w:val="single" w:sz="4" w:space="0" w:color="auto"/>
            </w:tcBorders>
            <w:shd w:val="clear" w:color="auto" w:fill="D9D9D9"/>
          </w:tcPr>
          <w:p w14:paraId="4C2835DD" w14:textId="77777777" w:rsidR="006B2873" w:rsidRPr="003B36E1" w:rsidRDefault="006B2873" w:rsidP="00955279">
            <w:pPr>
              <w:pStyle w:val="ComparatorSPecBoxBold"/>
            </w:pPr>
            <w:r w:rsidRPr="003B36E1">
              <w:t>Definition</w:t>
            </w:r>
          </w:p>
        </w:tc>
        <w:tc>
          <w:tcPr>
            <w:tcW w:w="7629" w:type="dxa"/>
          </w:tcPr>
          <w:p w14:paraId="3DA743EA" w14:textId="77777777" w:rsidR="006B2873" w:rsidRPr="003B36E1" w:rsidRDefault="006B2873" w:rsidP="00955279">
            <w:pPr>
              <w:pStyle w:val="ComparatorSpecBoxSpacing"/>
              <w:rPr>
                <w:i/>
              </w:rPr>
            </w:pPr>
            <w:r>
              <w:t>Percentage of patients (all patients, patients aged 0-17, 18 to 24, 10-year age bands between 25 and 84, 65 and over, 75 and over, and 85 and over) prescribed a NSAID and one or more other medicines likely to induce, exacerbate or complicate acute kidney injury (DAMN medicines).</w:t>
            </w:r>
          </w:p>
        </w:tc>
      </w:tr>
      <w:tr w:rsidR="006B2873" w:rsidRPr="005E736D" w14:paraId="6C64FA28" w14:textId="77777777" w:rsidTr="00460B48">
        <w:trPr>
          <w:trHeight w:val="109"/>
        </w:trPr>
        <w:tc>
          <w:tcPr>
            <w:tcW w:w="550" w:type="dxa"/>
            <w:shd w:val="clear" w:color="auto" w:fill="D9D9D9"/>
          </w:tcPr>
          <w:p w14:paraId="79C89740" w14:textId="77777777" w:rsidR="006B2873" w:rsidRPr="003B36E1" w:rsidRDefault="006B2873" w:rsidP="00955279">
            <w:pPr>
              <w:pStyle w:val="ComparatorSPecBoxBold"/>
            </w:pPr>
            <w:r w:rsidRPr="003B36E1">
              <w:t>1.4</w:t>
            </w:r>
          </w:p>
        </w:tc>
        <w:tc>
          <w:tcPr>
            <w:tcW w:w="1710" w:type="dxa"/>
            <w:tcBorders>
              <w:top w:val="single" w:sz="4" w:space="0" w:color="auto"/>
              <w:bottom w:val="single" w:sz="4" w:space="0" w:color="auto"/>
            </w:tcBorders>
            <w:shd w:val="clear" w:color="auto" w:fill="D9D9D9"/>
          </w:tcPr>
          <w:p w14:paraId="1F5F766D" w14:textId="77777777" w:rsidR="006B2873" w:rsidRPr="003B36E1" w:rsidRDefault="006B2873" w:rsidP="00955279">
            <w:pPr>
              <w:pStyle w:val="ComparatorSPecBoxBold"/>
            </w:pPr>
            <w:r w:rsidRPr="003B36E1">
              <w:t>Reporting Level</w:t>
            </w:r>
          </w:p>
        </w:tc>
        <w:tc>
          <w:tcPr>
            <w:tcW w:w="7629" w:type="dxa"/>
          </w:tcPr>
          <w:p w14:paraId="2C4EF6F6" w14:textId="77777777" w:rsidR="006B2873" w:rsidRPr="003B36E1" w:rsidRDefault="006B2873" w:rsidP="00955279">
            <w:pPr>
              <w:pStyle w:val="ComparatorSpecBoxSpacing"/>
              <w:rPr>
                <w:highlight w:val="yellow"/>
              </w:rPr>
            </w:pPr>
            <w:r w:rsidRPr="00251F07">
              <w:t xml:space="preserve">Practice level (aggregated to PCN, SICBL, </w:t>
            </w:r>
            <w:r w:rsidR="002C2F02">
              <w:t>HIN</w:t>
            </w:r>
            <w:r w:rsidRPr="00251F07">
              <w:t>, ICB, Regional and England level)</w:t>
            </w:r>
          </w:p>
        </w:tc>
      </w:tr>
      <w:tr w:rsidR="006B2873" w:rsidRPr="005E736D" w14:paraId="4EB2375A" w14:textId="77777777" w:rsidTr="00460B48">
        <w:trPr>
          <w:trHeight w:val="1550"/>
        </w:trPr>
        <w:tc>
          <w:tcPr>
            <w:tcW w:w="550" w:type="dxa"/>
            <w:shd w:val="clear" w:color="auto" w:fill="D9D9D9"/>
          </w:tcPr>
          <w:p w14:paraId="78DDB29C" w14:textId="77777777" w:rsidR="006B2873" w:rsidRPr="003B36E1" w:rsidRDefault="006B2873" w:rsidP="00955279">
            <w:pPr>
              <w:pStyle w:val="ComparatorSPecBoxBold"/>
            </w:pPr>
            <w:r w:rsidRPr="003B36E1">
              <w:t>1.5</w:t>
            </w:r>
          </w:p>
        </w:tc>
        <w:tc>
          <w:tcPr>
            <w:tcW w:w="1710" w:type="dxa"/>
            <w:tcBorders>
              <w:top w:val="single" w:sz="4" w:space="0" w:color="auto"/>
              <w:bottom w:val="single" w:sz="4" w:space="0" w:color="auto"/>
            </w:tcBorders>
            <w:shd w:val="clear" w:color="auto" w:fill="D9D9D9"/>
          </w:tcPr>
          <w:p w14:paraId="6C1A0208" w14:textId="77777777" w:rsidR="006B2873" w:rsidRPr="003B36E1" w:rsidRDefault="006B2873" w:rsidP="00955279">
            <w:pPr>
              <w:pStyle w:val="ComparatorSPecBoxBold"/>
            </w:pPr>
            <w:r w:rsidRPr="003B36E1">
              <w:t>Numerator</w:t>
            </w:r>
          </w:p>
        </w:tc>
        <w:tc>
          <w:tcPr>
            <w:tcW w:w="7629" w:type="dxa"/>
          </w:tcPr>
          <w:p w14:paraId="55F4A5FD" w14:textId="64B7B6EF" w:rsidR="00955279" w:rsidRDefault="00955279" w:rsidP="00955279">
            <w:pPr>
              <w:pStyle w:val="ComparatorSpecBoxSpacing"/>
            </w:pPr>
            <w:r w:rsidRPr="00955279">
              <w:t>Number of patients (all patients, patients aged 0-17, 18 to 24, 10-year age bands between 25 and 84, 65 and over, 75 and over, and 85 and over) prescribed a NSAID and one or more other medicines, during a single month that are likely to induce, exacerbate or complicate acute kidney injury (DAMN medicines).</w:t>
            </w: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3686"/>
              <w:gridCol w:w="1701"/>
            </w:tblGrid>
            <w:tr w:rsidR="006B2873" w:rsidRPr="003B36E1" w14:paraId="1D0AA02C" w14:textId="77777777" w:rsidTr="004A28A9">
              <w:trPr>
                <w:trHeight w:val="435"/>
                <w:jc w:val="center"/>
              </w:trPr>
              <w:tc>
                <w:tcPr>
                  <w:tcW w:w="1709" w:type="dxa"/>
                  <w:shd w:val="clear" w:color="auto" w:fill="D9D9D9"/>
                </w:tcPr>
                <w:p w14:paraId="2AEAC3D0" w14:textId="28492F8A" w:rsidR="006B2873" w:rsidRPr="003B36E1" w:rsidRDefault="006B2873" w:rsidP="00955279">
                  <w:pPr>
                    <w:pStyle w:val="ComparatorSPecBoxBold"/>
                  </w:pPr>
                  <w:r w:rsidRPr="003B36E1">
                    <w:t xml:space="preserve">DAMN medicines BNF </w:t>
                  </w:r>
                  <w:r w:rsidR="007F39CD">
                    <w:t>class code</w:t>
                  </w:r>
                </w:p>
              </w:tc>
              <w:tc>
                <w:tcPr>
                  <w:tcW w:w="3686" w:type="dxa"/>
                  <w:shd w:val="clear" w:color="auto" w:fill="D9D9D9"/>
                  <w:vAlign w:val="center"/>
                  <w:hideMark/>
                </w:tcPr>
                <w:p w14:paraId="0B66C421" w14:textId="77777777" w:rsidR="006B2873" w:rsidRPr="003B36E1" w:rsidRDefault="006B2873" w:rsidP="00955279">
                  <w:pPr>
                    <w:pStyle w:val="ComparatorSPecBoxBold"/>
                  </w:pPr>
                  <w:r w:rsidRPr="003B36E1">
                    <w:t xml:space="preserve">DAMN medicines (BNF Name) </w:t>
                  </w:r>
                </w:p>
              </w:tc>
              <w:tc>
                <w:tcPr>
                  <w:tcW w:w="1701" w:type="dxa"/>
                  <w:shd w:val="clear" w:color="auto" w:fill="D9D9D9"/>
                  <w:vAlign w:val="center"/>
                  <w:hideMark/>
                </w:tcPr>
                <w:p w14:paraId="007ED6FF" w14:textId="21A0E0C9" w:rsidR="006B2873" w:rsidRPr="003B36E1" w:rsidRDefault="006B2873" w:rsidP="007F39CD">
                  <w:pPr>
                    <w:pStyle w:val="ComparatorSPecBoxBold"/>
                    <w:jc w:val="center"/>
                  </w:pPr>
                  <w:r w:rsidRPr="003B36E1">
                    <w:t>DAMN medicines BNF Code</w:t>
                  </w:r>
                </w:p>
              </w:tc>
            </w:tr>
            <w:tr w:rsidR="006B2873" w:rsidRPr="003B36E1" w14:paraId="4A6BFA69" w14:textId="77777777" w:rsidTr="004A28A9">
              <w:trPr>
                <w:trHeight w:val="283"/>
                <w:jc w:val="center"/>
              </w:trPr>
              <w:tc>
                <w:tcPr>
                  <w:tcW w:w="1709" w:type="dxa"/>
                  <w:vAlign w:val="center"/>
                </w:tcPr>
                <w:p w14:paraId="3BAF7FEB" w14:textId="77777777" w:rsidR="006B2873" w:rsidRPr="003B36E1" w:rsidRDefault="006B2873" w:rsidP="007F39CD">
                  <w:pPr>
                    <w:pStyle w:val="ComparatorSpecBoxNormal"/>
                  </w:pPr>
                  <w:r w:rsidRPr="003B36E1">
                    <w:t>100101</w:t>
                  </w:r>
                </w:p>
              </w:tc>
              <w:tc>
                <w:tcPr>
                  <w:tcW w:w="3686" w:type="dxa"/>
                  <w:vAlign w:val="center"/>
                </w:tcPr>
                <w:p w14:paraId="56CB27BC" w14:textId="77777777" w:rsidR="006B2873" w:rsidRPr="003B36E1" w:rsidRDefault="006B2873" w:rsidP="007F39CD">
                  <w:pPr>
                    <w:pStyle w:val="ComparatorSpecBoxNormal"/>
                  </w:pPr>
                  <w:r w:rsidRPr="003B36E1">
                    <w:t>Non-Steroidal Anti-Inflammatory Drugs</w:t>
                  </w:r>
                </w:p>
              </w:tc>
              <w:tc>
                <w:tcPr>
                  <w:tcW w:w="1701" w:type="dxa"/>
                  <w:vAlign w:val="center"/>
                </w:tcPr>
                <w:p w14:paraId="4AC032DC" w14:textId="77777777" w:rsidR="006B2873" w:rsidRPr="003B36E1" w:rsidRDefault="006B2873" w:rsidP="007F39CD">
                  <w:pPr>
                    <w:pStyle w:val="ComparatorSpecBoxNormal"/>
                    <w:jc w:val="center"/>
                  </w:pPr>
                  <w:r w:rsidRPr="003B36E1">
                    <w:t>100101</w:t>
                  </w:r>
                </w:p>
              </w:tc>
            </w:tr>
            <w:tr w:rsidR="006B2873" w:rsidRPr="003B36E1" w14:paraId="6205BDF2" w14:textId="77777777" w:rsidTr="004A28A9">
              <w:trPr>
                <w:trHeight w:val="283"/>
                <w:jc w:val="center"/>
              </w:trPr>
              <w:tc>
                <w:tcPr>
                  <w:tcW w:w="7096" w:type="dxa"/>
                  <w:gridSpan w:val="3"/>
                  <w:vAlign w:val="center"/>
                </w:tcPr>
                <w:p w14:paraId="2B727BD7" w14:textId="48593707" w:rsidR="006B2873" w:rsidRPr="003B36E1" w:rsidRDefault="006B2873" w:rsidP="007F39CD">
                  <w:pPr>
                    <w:pStyle w:val="ComparatorSPecBoxBold"/>
                  </w:pPr>
                  <w:proofErr w:type="gramStart"/>
                  <w:r w:rsidRPr="007F39CD">
                    <w:rPr>
                      <w:u w:val="single"/>
                    </w:rPr>
                    <w:t>Plus</w:t>
                  </w:r>
                  <w:proofErr w:type="gramEnd"/>
                  <w:r>
                    <w:t xml:space="preserve"> one or more medicines (BNF </w:t>
                  </w:r>
                  <w:r w:rsidR="007F39CD">
                    <w:t>chemical substances</w:t>
                  </w:r>
                  <w:r>
                    <w:t xml:space="preserve">) from the following </w:t>
                  </w:r>
                </w:p>
              </w:tc>
            </w:tr>
            <w:tr w:rsidR="006B2873" w:rsidRPr="003B36E1" w14:paraId="35C68B82" w14:textId="77777777" w:rsidTr="004A28A9">
              <w:trPr>
                <w:trHeight w:val="283"/>
                <w:jc w:val="center"/>
              </w:trPr>
              <w:tc>
                <w:tcPr>
                  <w:tcW w:w="1709" w:type="dxa"/>
                  <w:vAlign w:val="center"/>
                </w:tcPr>
                <w:p w14:paraId="1154DAC3" w14:textId="77777777" w:rsidR="006B2873" w:rsidRPr="003B36E1" w:rsidRDefault="006B2873" w:rsidP="007F39CD">
                  <w:pPr>
                    <w:pStyle w:val="ComparatorSpecBoxNormal"/>
                  </w:pPr>
                  <w:r w:rsidRPr="003B36E1">
                    <w:t>0202</w:t>
                  </w:r>
                </w:p>
              </w:tc>
              <w:tc>
                <w:tcPr>
                  <w:tcW w:w="3686" w:type="dxa"/>
                  <w:vAlign w:val="center"/>
                  <w:hideMark/>
                </w:tcPr>
                <w:p w14:paraId="7F592940" w14:textId="77777777" w:rsidR="006B2873" w:rsidRPr="003B36E1" w:rsidRDefault="006B2873" w:rsidP="007F39CD">
                  <w:pPr>
                    <w:pStyle w:val="ComparatorSpecBoxNormal"/>
                  </w:pPr>
                  <w:r w:rsidRPr="003B36E1">
                    <w:t>Diuretics</w:t>
                  </w:r>
                </w:p>
              </w:tc>
              <w:tc>
                <w:tcPr>
                  <w:tcW w:w="1701" w:type="dxa"/>
                  <w:vAlign w:val="center"/>
                  <w:hideMark/>
                </w:tcPr>
                <w:p w14:paraId="1A908838" w14:textId="77777777" w:rsidR="006B2873" w:rsidRPr="003B36E1" w:rsidRDefault="006B2873" w:rsidP="007F39CD">
                  <w:pPr>
                    <w:pStyle w:val="ComparatorSpecBoxNormal"/>
                    <w:jc w:val="center"/>
                  </w:pPr>
                  <w:r w:rsidRPr="003B36E1">
                    <w:t>0202</w:t>
                  </w:r>
                </w:p>
              </w:tc>
            </w:tr>
            <w:tr w:rsidR="006B2873" w:rsidRPr="003B36E1" w14:paraId="021364B6" w14:textId="77777777" w:rsidTr="004A28A9">
              <w:trPr>
                <w:trHeight w:val="283"/>
                <w:jc w:val="center"/>
              </w:trPr>
              <w:tc>
                <w:tcPr>
                  <w:tcW w:w="1709" w:type="dxa"/>
                  <w:vMerge w:val="restart"/>
                  <w:vAlign w:val="center"/>
                </w:tcPr>
                <w:p w14:paraId="1CE2D8CA" w14:textId="77777777" w:rsidR="006B2873" w:rsidRPr="003B36E1" w:rsidRDefault="006B2873" w:rsidP="007F39CD">
                  <w:pPr>
                    <w:pStyle w:val="ComparatorSpecBoxNormal"/>
                  </w:pPr>
                  <w:r w:rsidRPr="003B36E1">
                    <w:t>020505</w:t>
                  </w:r>
                </w:p>
              </w:tc>
              <w:tc>
                <w:tcPr>
                  <w:tcW w:w="3686" w:type="dxa"/>
                  <w:vAlign w:val="center"/>
                  <w:hideMark/>
                </w:tcPr>
                <w:p w14:paraId="45A379B3" w14:textId="77777777" w:rsidR="006B2873" w:rsidRPr="003B36E1" w:rsidRDefault="006B2873" w:rsidP="007F39CD">
                  <w:pPr>
                    <w:pStyle w:val="ComparatorSpecBoxNormal"/>
                  </w:pPr>
                  <w:r w:rsidRPr="003B36E1">
                    <w:t>Angiotensin-Converting Enzyme Inhibitors</w:t>
                  </w:r>
                </w:p>
              </w:tc>
              <w:tc>
                <w:tcPr>
                  <w:tcW w:w="1701" w:type="dxa"/>
                  <w:vAlign w:val="center"/>
                  <w:hideMark/>
                </w:tcPr>
                <w:p w14:paraId="2B80AA56" w14:textId="77777777" w:rsidR="006B2873" w:rsidRPr="003B36E1" w:rsidRDefault="006B2873" w:rsidP="007F39CD">
                  <w:pPr>
                    <w:pStyle w:val="ComparatorSpecBoxNormal"/>
                    <w:jc w:val="center"/>
                  </w:pPr>
                  <w:r w:rsidRPr="003B36E1">
                    <w:t>0205051</w:t>
                  </w:r>
                </w:p>
              </w:tc>
            </w:tr>
            <w:tr w:rsidR="006B2873" w:rsidRPr="003B36E1" w14:paraId="75CAD853" w14:textId="77777777" w:rsidTr="004A28A9">
              <w:trPr>
                <w:trHeight w:val="283"/>
                <w:jc w:val="center"/>
              </w:trPr>
              <w:tc>
                <w:tcPr>
                  <w:tcW w:w="1709" w:type="dxa"/>
                  <w:vMerge/>
                  <w:vAlign w:val="center"/>
                </w:tcPr>
                <w:p w14:paraId="3D0B47D3" w14:textId="77777777" w:rsidR="006B2873" w:rsidRPr="003B36E1" w:rsidRDefault="006B2873" w:rsidP="007F39CD">
                  <w:pPr>
                    <w:pStyle w:val="ComparatorSpecBoxNormal"/>
                  </w:pPr>
                </w:p>
              </w:tc>
              <w:tc>
                <w:tcPr>
                  <w:tcW w:w="3686" w:type="dxa"/>
                  <w:vAlign w:val="center"/>
                  <w:hideMark/>
                </w:tcPr>
                <w:p w14:paraId="74CF3BD9" w14:textId="77777777" w:rsidR="006B2873" w:rsidRPr="003B36E1" w:rsidRDefault="006B2873" w:rsidP="007F39CD">
                  <w:pPr>
                    <w:pStyle w:val="ComparatorSpecBoxNormal"/>
                  </w:pPr>
                  <w:r w:rsidRPr="003B36E1">
                    <w:t>Angiotensin-II Receptor Antagonists</w:t>
                  </w:r>
                </w:p>
              </w:tc>
              <w:tc>
                <w:tcPr>
                  <w:tcW w:w="1701" w:type="dxa"/>
                  <w:vAlign w:val="center"/>
                  <w:hideMark/>
                </w:tcPr>
                <w:p w14:paraId="4D37EEA4" w14:textId="77777777" w:rsidR="006B2873" w:rsidRPr="003B36E1" w:rsidRDefault="006B2873" w:rsidP="007F39CD">
                  <w:pPr>
                    <w:pStyle w:val="ComparatorSpecBoxNormal"/>
                    <w:jc w:val="center"/>
                  </w:pPr>
                  <w:r w:rsidRPr="003B36E1">
                    <w:t>0205052</w:t>
                  </w:r>
                </w:p>
              </w:tc>
            </w:tr>
            <w:tr w:rsidR="006B2873" w:rsidRPr="003B36E1" w14:paraId="1EE86E3B" w14:textId="77777777" w:rsidTr="004A28A9">
              <w:trPr>
                <w:trHeight w:val="283"/>
                <w:jc w:val="center"/>
              </w:trPr>
              <w:tc>
                <w:tcPr>
                  <w:tcW w:w="1709" w:type="dxa"/>
                  <w:vMerge w:val="restart"/>
                  <w:vAlign w:val="center"/>
                </w:tcPr>
                <w:p w14:paraId="01D9E4B0" w14:textId="77777777" w:rsidR="006B2873" w:rsidRPr="003B36E1" w:rsidRDefault="006B2873" w:rsidP="007F39CD">
                  <w:pPr>
                    <w:pStyle w:val="ComparatorSpecBoxNormal"/>
                  </w:pPr>
                  <w:r w:rsidRPr="003B36E1">
                    <w:t>060102</w:t>
                  </w:r>
                </w:p>
              </w:tc>
              <w:tc>
                <w:tcPr>
                  <w:tcW w:w="3686" w:type="dxa"/>
                  <w:vAlign w:val="center"/>
                  <w:hideMark/>
                </w:tcPr>
                <w:p w14:paraId="1F26E338" w14:textId="77777777" w:rsidR="006B2873" w:rsidRPr="003B36E1" w:rsidRDefault="006B2873" w:rsidP="007F39CD">
                  <w:pPr>
                    <w:pStyle w:val="ComparatorSpecBoxNormal"/>
                  </w:pPr>
                  <w:r w:rsidRPr="003B36E1">
                    <w:t>Metformin Hydrochloride</w:t>
                  </w:r>
                </w:p>
              </w:tc>
              <w:tc>
                <w:tcPr>
                  <w:tcW w:w="1701" w:type="dxa"/>
                  <w:vAlign w:val="center"/>
                  <w:hideMark/>
                </w:tcPr>
                <w:p w14:paraId="31E7A66D" w14:textId="77777777" w:rsidR="006B2873" w:rsidRPr="003B36E1" w:rsidRDefault="006B2873" w:rsidP="007F39CD">
                  <w:pPr>
                    <w:pStyle w:val="ComparatorSpecBoxNormal"/>
                    <w:jc w:val="center"/>
                  </w:pPr>
                  <w:r w:rsidRPr="003B36E1">
                    <w:t>0601022B0</w:t>
                  </w:r>
                </w:p>
              </w:tc>
            </w:tr>
            <w:tr w:rsidR="006B2873" w:rsidRPr="003B36E1" w14:paraId="0B0FFF3C" w14:textId="77777777" w:rsidTr="004A28A9">
              <w:trPr>
                <w:trHeight w:val="283"/>
                <w:jc w:val="center"/>
              </w:trPr>
              <w:tc>
                <w:tcPr>
                  <w:tcW w:w="1709" w:type="dxa"/>
                  <w:vMerge/>
                  <w:vAlign w:val="center"/>
                </w:tcPr>
                <w:p w14:paraId="55D97D9D" w14:textId="77777777" w:rsidR="006B2873" w:rsidRPr="003B36E1" w:rsidRDefault="006B2873" w:rsidP="007F39CD">
                  <w:pPr>
                    <w:pStyle w:val="ComparatorSpecBoxNormal"/>
                  </w:pPr>
                </w:p>
              </w:tc>
              <w:tc>
                <w:tcPr>
                  <w:tcW w:w="3686" w:type="dxa"/>
                  <w:vAlign w:val="center"/>
                  <w:hideMark/>
                </w:tcPr>
                <w:p w14:paraId="13B4C202" w14:textId="77777777" w:rsidR="006B2873" w:rsidRPr="003B36E1" w:rsidRDefault="006B2873" w:rsidP="007F39CD">
                  <w:pPr>
                    <w:pStyle w:val="ComparatorSpecBoxNormal"/>
                  </w:pPr>
                  <w:r w:rsidRPr="003B36E1">
                    <w:t>Metformin Hydrochloride/Sitagliptin</w:t>
                  </w:r>
                </w:p>
              </w:tc>
              <w:tc>
                <w:tcPr>
                  <w:tcW w:w="1701" w:type="dxa"/>
                  <w:vAlign w:val="center"/>
                  <w:hideMark/>
                </w:tcPr>
                <w:p w14:paraId="188395A1" w14:textId="77777777" w:rsidR="006B2873" w:rsidRPr="003B36E1" w:rsidRDefault="006B2873" w:rsidP="007F39CD">
                  <w:pPr>
                    <w:pStyle w:val="ComparatorSpecBoxNormal"/>
                    <w:jc w:val="center"/>
                  </w:pPr>
                  <w:r w:rsidRPr="003B36E1">
                    <w:t>0601023AD</w:t>
                  </w:r>
                </w:p>
              </w:tc>
            </w:tr>
            <w:tr w:rsidR="006B2873" w:rsidRPr="003B36E1" w14:paraId="6263AEA4" w14:textId="77777777" w:rsidTr="004A28A9">
              <w:trPr>
                <w:trHeight w:val="283"/>
                <w:jc w:val="center"/>
              </w:trPr>
              <w:tc>
                <w:tcPr>
                  <w:tcW w:w="1709" w:type="dxa"/>
                  <w:vMerge/>
                  <w:vAlign w:val="center"/>
                </w:tcPr>
                <w:p w14:paraId="7FBF47AE" w14:textId="77777777" w:rsidR="006B2873" w:rsidRPr="003B36E1" w:rsidRDefault="006B2873" w:rsidP="007F39CD">
                  <w:pPr>
                    <w:pStyle w:val="ComparatorSpecBoxNormal"/>
                  </w:pPr>
                </w:p>
              </w:tc>
              <w:tc>
                <w:tcPr>
                  <w:tcW w:w="3686" w:type="dxa"/>
                  <w:vAlign w:val="center"/>
                  <w:hideMark/>
                </w:tcPr>
                <w:p w14:paraId="682DE8D3" w14:textId="77777777" w:rsidR="006B2873" w:rsidRPr="003B36E1" w:rsidRDefault="006B2873" w:rsidP="007F39CD">
                  <w:pPr>
                    <w:pStyle w:val="ComparatorSpecBoxNormal"/>
                  </w:pPr>
                  <w:r w:rsidRPr="003B36E1">
                    <w:t>Linagliptin/Metformin</w:t>
                  </w:r>
                </w:p>
              </w:tc>
              <w:tc>
                <w:tcPr>
                  <w:tcW w:w="1701" w:type="dxa"/>
                  <w:vAlign w:val="center"/>
                  <w:hideMark/>
                </w:tcPr>
                <w:p w14:paraId="4449E85A" w14:textId="77777777" w:rsidR="006B2873" w:rsidRPr="003B36E1" w:rsidRDefault="006B2873" w:rsidP="007F39CD">
                  <w:pPr>
                    <w:pStyle w:val="ComparatorSpecBoxNormal"/>
                    <w:jc w:val="center"/>
                  </w:pPr>
                  <w:r w:rsidRPr="003B36E1">
                    <w:t>0601023AF</w:t>
                  </w:r>
                </w:p>
              </w:tc>
            </w:tr>
            <w:tr w:rsidR="006B2873" w:rsidRPr="003B36E1" w14:paraId="0726BBE2" w14:textId="77777777" w:rsidTr="004A28A9">
              <w:trPr>
                <w:trHeight w:val="283"/>
                <w:jc w:val="center"/>
              </w:trPr>
              <w:tc>
                <w:tcPr>
                  <w:tcW w:w="1709" w:type="dxa"/>
                  <w:vMerge/>
                  <w:vAlign w:val="center"/>
                </w:tcPr>
                <w:p w14:paraId="252FC3A3" w14:textId="77777777" w:rsidR="006B2873" w:rsidRPr="003B36E1" w:rsidRDefault="006B2873" w:rsidP="007F39CD">
                  <w:pPr>
                    <w:pStyle w:val="ComparatorSpecBoxNormal"/>
                  </w:pPr>
                </w:p>
              </w:tc>
              <w:tc>
                <w:tcPr>
                  <w:tcW w:w="3686" w:type="dxa"/>
                  <w:vAlign w:val="center"/>
                  <w:hideMark/>
                </w:tcPr>
                <w:p w14:paraId="347119EF" w14:textId="77777777" w:rsidR="006B2873" w:rsidRPr="003B36E1" w:rsidRDefault="006B2873" w:rsidP="007F39CD">
                  <w:pPr>
                    <w:pStyle w:val="ComparatorSpecBoxNormal"/>
                  </w:pPr>
                  <w:proofErr w:type="spellStart"/>
                  <w:r w:rsidRPr="003B36E1">
                    <w:t>Saxagliptin</w:t>
                  </w:r>
                  <w:proofErr w:type="spellEnd"/>
                  <w:r w:rsidRPr="003B36E1">
                    <w:t>/Metformin</w:t>
                  </w:r>
                </w:p>
              </w:tc>
              <w:tc>
                <w:tcPr>
                  <w:tcW w:w="1701" w:type="dxa"/>
                  <w:vAlign w:val="center"/>
                  <w:hideMark/>
                </w:tcPr>
                <w:p w14:paraId="71FCB7DE" w14:textId="77777777" w:rsidR="006B2873" w:rsidRPr="003B36E1" w:rsidRDefault="006B2873" w:rsidP="007F39CD">
                  <w:pPr>
                    <w:pStyle w:val="ComparatorSpecBoxNormal"/>
                    <w:jc w:val="center"/>
                  </w:pPr>
                  <w:r w:rsidRPr="003B36E1">
                    <w:t>0601023AH</w:t>
                  </w:r>
                </w:p>
              </w:tc>
            </w:tr>
            <w:tr w:rsidR="006B2873" w:rsidRPr="003B36E1" w14:paraId="0DB96F45" w14:textId="77777777" w:rsidTr="004A28A9">
              <w:trPr>
                <w:trHeight w:val="283"/>
                <w:jc w:val="center"/>
              </w:trPr>
              <w:tc>
                <w:tcPr>
                  <w:tcW w:w="1709" w:type="dxa"/>
                  <w:vMerge/>
                  <w:vAlign w:val="center"/>
                </w:tcPr>
                <w:p w14:paraId="740286DE" w14:textId="77777777" w:rsidR="006B2873" w:rsidRPr="003B36E1" w:rsidRDefault="006B2873" w:rsidP="007F39CD">
                  <w:pPr>
                    <w:pStyle w:val="ComparatorSpecBoxNormal"/>
                  </w:pPr>
                </w:p>
              </w:tc>
              <w:tc>
                <w:tcPr>
                  <w:tcW w:w="3686" w:type="dxa"/>
                  <w:vAlign w:val="center"/>
                  <w:hideMark/>
                </w:tcPr>
                <w:p w14:paraId="1FFCF494" w14:textId="77777777" w:rsidR="006B2873" w:rsidRPr="003B36E1" w:rsidRDefault="006B2873" w:rsidP="007F39CD">
                  <w:pPr>
                    <w:pStyle w:val="ComparatorSpecBoxNormal"/>
                  </w:pPr>
                  <w:r w:rsidRPr="003B36E1">
                    <w:t>Alogliptin/Metformin</w:t>
                  </w:r>
                </w:p>
              </w:tc>
              <w:tc>
                <w:tcPr>
                  <w:tcW w:w="1701" w:type="dxa"/>
                  <w:vAlign w:val="center"/>
                  <w:hideMark/>
                </w:tcPr>
                <w:p w14:paraId="463F840B" w14:textId="77777777" w:rsidR="006B2873" w:rsidRPr="003B36E1" w:rsidRDefault="006B2873" w:rsidP="007F39CD">
                  <w:pPr>
                    <w:pStyle w:val="ComparatorSpecBoxNormal"/>
                    <w:jc w:val="center"/>
                  </w:pPr>
                  <w:r w:rsidRPr="003B36E1">
                    <w:t>0601023AJ</w:t>
                  </w:r>
                </w:p>
              </w:tc>
            </w:tr>
            <w:tr w:rsidR="006B2873" w:rsidRPr="003B36E1" w14:paraId="53C3A8E6" w14:textId="77777777" w:rsidTr="004A28A9">
              <w:trPr>
                <w:trHeight w:val="283"/>
                <w:jc w:val="center"/>
              </w:trPr>
              <w:tc>
                <w:tcPr>
                  <w:tcW w:w="1709" w:type="dxa"/>
                  <w:vMerge/>
                  <w:vAlign w:val="center"/>
                </w:tcPr>
                <w:p w14:paraId="1DEE524E" w14:textId="77777777" w:rsidR="006B2873" w:rsidRPr="003B36E1" w:rsidRDefault="006B2873" w:rsidP="007F39CD">
                  <w:pPr>
                    <w:pStyle w:val="ComparatorSpecBoxNormal"/>
                  </w:pPr>
                </w:p>
              </w:tc>
              <w:tc>
                <w:tcPr>
                  <w:tcW w:w="3686" w:type="dxa"/>
                  <w:vAlign w:val="center"/>
                  <w:hideMark/>
                </w:tcPr>
                <w:p w14:paraId="5AD84291" w14:textId="77777777" w:rsidR="006B2873" w:rsidRPr="003B36E1" w:rsidRDefault="006B2873" w:rsidP="007F39CD">
                  <w:pPr>
                    <w:pStyle w:val="ComparatorSpecBoxNormal"/>
                  </w:pPr>
                  <w:r w:rsidRPr="003B36E1">
                    <w:t>Dapagliflozin/Metformin</w:t>
                  </w:r>
                </w:p>
              </w:tc>
              <w:tc>
                <w:tcPr>
                  <w:tcW w:w="1701" w:type="dxa"/>
                  <w:vAlign w:val="center"/>
                  <w:hideMark/>
                </w:tcPr>
                <w:p w14:paraId="357E9269" w14:textId="77777777" w:rsidR="006B2873" w:rsidRPr="003B36E1" w:rsidRDefault="006B2873" w:rsidP="007F39CD">
                  <w:pPr>
                    <w:pStyle w:val="ComparatorSpecBoxNormal"/>
                    <w:jc w:val="center"/>
                  </w:pPr>
                  <w:r w:rsidRPr="003B36E1">
                    <w:t>0601023AL</w:t>
                  </w:r>
                </w:p>
              </w:tc>
            </w:tr>
            <w:tr w:rsidR="006B2873" w:rsidRPr="003B36E1" w14:paraId="6AAC6C57" w14:textId="77777777" w:rsidTr="004A28A9">
              <w:trPr>
                <w:trHeight w:val="283"/>
                <w:jc w:val="center"/>
              </w:trPr>
              <w:tc>
                <w:tcPr>
                  <w:tcW w:w="1709" w:type="dxa"/>
                  <w:vMerge/>
                  <w:vAlign w:val="center"/>
                </w:tcPr>
                <w:p w14:paraId="143368D5" w14:textId="77777777" w:rsidR="006B2873" w:rsidRPr="003B36E1" w:rsidRDefault="006B2873" w:rsidP="007F39CD">
                  <w:pPr>
                    <w:pStyle w:val="ComparatorSpecBoxNormal"/>
                  </w:pPr>
                </w:p>
              </w:tc>
              <w:tc>
                <w:tcPr>
                  <w:tcW w:w="3686" w:type="dxa"/>
                  <w:vAlign w:val="center"/>
                  <w:hideMark/>
                </w:tcPr>
                <w:p w14:paraId="13496EBA" w14:textId="77777777" w:rsidR="006B2873" w:rsidRPr="003B36E1" w:rsidRDefault="006B2873" w:rsidP="007F39CD">
                  <w:pPr>
                    <w:pStyle w:val="ComparatorSpecBoxNormal"/>
                  </w:pPr>
                  <w:r w:rsidRPr="003B36E1">
                    <w:t>Canagliflozin/Metformin</w:t>
                  </w:r>
                </w:p>
              </w:tc>
              <w:tc>
                <w:tcPr>
                  <w:tcW w:w="1701" w:type="dxa"/>
                  <w:vAlign w:val="center"/>
                  <w:hideMark/>
                </w:tcPr>
                <w:p w14:paraId="032983A8" w14:textId="77777777" w:rsidR="006B2873" w:rsidRPr="003B36E1" w:rsidRDefault="006B2873" w:rsidP="007F39CD">
                  <w:pPr>
                    <w:pStyle w:val="ComparatorSpecBoxNormal"/>
                    <w:jc w:val="center"/>
                  </w:pPr>
                  <w:r w:rsidRPr="003B36E1">
                    <w:t>0601023AP</w:t>
                  </w:r>
                </w:p>
              </w:tc>
            </w:tr>
            <w:tr w:rsidR="006B2873" w:rsidRPr="003B36E1" w14:paraId="5F4DB03A" w14:textId="77777777" w:rsidTr="004A28A9">
              <w:trPr>
                <w:trHeight w:val="283"/>
                <w:jc w:val="center"/>
              </w:trPr>
              <w:tc>
                <w:tcPr>
                  <w:tcW w:w="1709" w:type="dxa"/>
                  <w:vMerge/>
                  <w:vAlign w:val="center"/>
                </w:tcPr>
                <w:p w14:paraId="73C53B2B" w14:textId="77777777" w:rsidR="006B2873" w:rsidRPr="003B36E1" w:rsidRDefault="006B2873" w:rsidP="007F39CD">
                  <w:pPr>
                    <w:pStyle w:val="ComparatorSpecBoxNormal"/>
                  </w:pPr>
                </w:p>
              </w:tc>
              <w:tc>
                <w:tcPr>
                  <w:tcW w:w="3686" w:type="dxa"/>
                  <w:vAlign w:val="center"/>
                  <w:hideMark/>
                </w:tcPr>
                <w:p w14:paraId="707BD13C" w14:textId="77777777" w:rsidR="006B2873" w:rsidRPr="003B36E1" w:rsidRDefault="006B2873" w:rsidP="007F39CD">
                  <w:pPr>
                    <w:pStyle w:val="ComparatorSpecBoxNormal"/>
                  </w:pPr>
                  <w:r w:rsidRPr="003B36E1">
                    <w:t>Empagliflozin/Metformin</w:t>
                  </w:r>
                </w:p>
              </w:tc>
              <w:tc>
                <w:tcPr>
                  <w:tcW w:w="1701" w:type="dxa"/>
                  <w:vAlign w:val="center"/>
                  <w:hideMark/>
                </w:tcPr>
                <w:p w14:paraId="5916EB4C" w14:textId="77777777" w:rsidR="006B2873" w:rsidRPr="003B36E1" w:rsidRDefault="006B2873" w:rsidP="007F39CD">
                  <w:pPr>
                    <w:pStyle w:val="ComparatorSpecBoxNormal"/>
                    <w:jc w:val="center"/>
                  </w:pPr>
                  <w:r w:rsidRPr="003B36E1">
                    <w:t>0601023AR</w:t>
                  </w:r>
                </w:p>
              </w:tc>
            </w:tr>
            <w:tr w:rsidR="006B2873" w:rsidRPr="003B36E1" w14:paraId="0E616701" w14:textId="77777777" w:rsidTr="004A28A9">
              <w:trPr>
                <w:trHeight w:val="283"/>
                <w:jc w:val="center"/>
              </w:trPr>
              <w:tc>
                <w:tcPr>
                  <w:tcW w:w="1709" w:type="dxa"/>
                  <w:vMerge/>
                  <w:vAlign w:val="center"/>
                </w:tcPr>
                <w:p w14:paraId="426E974F" w14:textId="77777777" w:rsidR="006B2873" w:rsidRPr="003B36E1" w:rsidRDefault="006B2873" w:rsidP="007F39CD">
                  <w:pPr>
                    <w:pStyle w:val="ComparatorSpecBoxNormal"/>
                  </w:pPr>
                </w:p>
              </w:tc>
              <w:tc>
                <w:tcPr>
                  <w:tcW w:w="3686" w:type="dxa"/>
                  <w:vAlign w:val="center"/>
                  <w:hideMark/>
                </w:tcPr>
                <w:p w14:paraId="27AF7D4E" w14:textId="77777777" w:rsidR="006B2873" w:rsidRPr="003B36E1" w:rsidRDefault="006B2873" w:rsidP="007F39CD">
                  <w:pPr>
                    <w:pStyle w:val="ComparatorSpecBoxNormal"/>
                  </w:pPr>
                  <w:r w:rsidRPr="003B36E1">
                    <w:t>Metformin Hydrochloride/Rosiglitazone</w:t>
                  </w:r>
                </w:p>
              </w:tc>
              <w:tc>
                <w:tcPr>
                  <w:tcW w:w="1701" w:type="dxa"/>
                  <w:vAlign w:val="center"/>
                  <w:hideMark/>
                </w:tcPr>
                <w:p w14:paraId="1266D761" w14:textId="77777777" w:rsidR="006B2873" w:rsidRPr="003B36E1" w:rsidRDefault="006B2873" w:rsidP="007F39CD">
                  <w:pPr>
                    <w:pStyle w:val="ComparatorSpecBoxNormal"/>
                    <w:jc w:val="center"/>
                  </w:pPr>
                  <w:r w:rsidRPr="003B36E1">
                    <w:t>0601023V0</w:t>
                  </w:r>
                </w:p>
              </w:tc>
            </w:tr>
            <w:tr w:rsidR="006B2873" w:rsidRPr="003B36E1" w14:paraId="4AA32B60" w14:textId="77777777" w:rsidTr="004A28A9">
              <w:trPr>
                <w:trHeight w:val="283"/>
                <w:jc w:val="center"/>
              </w:trPr>
              <w:tc>
                <w:tcPr>
                  <w:tcW w:w="1709" w:type="dxa"/>
                  <w:vMerge/>
                  <w:vAlign w:val="center"/>
                </w:tcPr>
                <w:p w14:paraId="49B93EC5" w14:textId="77777777" w:rsidR="006B2873" w:rsidRPr="003B36E1" w:rsidRDefault="006B2873" w:rsidP="007F39CD">
                  <w:pPr>
                    <w:pStyle w:val="ComparatorSpecBoxNormal"/>
                  </w:pPr>
                </w:p>
              </w:tc>
              <w:tc>
                <w:tcPr>
                  <w:tcW w:w="3686" w:type="dxa"/>
                  <w:vAlign w:val="center"/>
                  <w:hideMark/>
                </w:tcPr>
                <w:p w14:paraId="62A9E840" w14:textId="77777777" w:rsidR="006B2873" w:rsidRPr="003B36E1" w:rsidRDefault="006B2873" w:rsidP="007F39CD">
                  <w:pPr>
                    <w:pStyle w:val="ComparatorSpecBoxNormal"/>
                  </w:pPr>
                  <w:r w:rsidRPr="003B36E1">
                    <w:t>Metformin Hydrochloride/Pioglitazone</w:t>
                  </w:r>
                </w:p>
              </w:tc>
              <w:tc>
                <w:tcPr>
                  <w:tcW w:w="1701" w:type="dxa"/>
                  <w:vAlign w:val="center"/>
                  <w:hideMark/>
                </w:tcPr>
                <w:p w14:paraId="2B3FD38A" w14:textId="77777777" w:rsidR="006B2873" w:rsidRPr="003B36E1" w:rsidRDefault="006B2873" w:rsidP="007F39CD">
                  <w:pPr>
                    <w:pStyle w:val="ComparatorSpecBoxNormal"/>
                    <w:jc w:val="center"/>
                  </w:pPr>
                  <w:r w:rsidRPr="003B36E1">
                    <w:t>0601023W0</w:t>
                  </w:r>
                </w:p>
              </w:tc>
            </w:tr>
            <w:tr w:rsidR="006B2873" w:rsidRPr="003B36E1" w14:paraId="2CEE5525" w14:textId="77777777" w:rsidTr="004A28A9">
              <w:trPr>
                <w:trHeight w:val="283"/>
                <w:jc w:val="center"/>
              </w:trPr>
              <w:tc>
                <w:tcPr>
                  <w:tcW w:w="1709" w:type="dxa"/>
                  <w:vMerge/>
                  <w:vAlign w:val="center"/>
                </w:tcPr>
                <w:p w14:paraId="70C3DE55" w14:textId="77777777" w:rsidR="006B2873" w:rsidRPr="003B36E1" w:rsidRDefault="006B2873" w:rsidP="007F39CD">
                  <w:pPr>
                    <w:pStyle w:val="ComparatorSpecBoxNormal"/>
                  </w:pPr>
                </w:p>
              </w:tc>
              <w:tc>
                <w:tcPr>
                  <w:tcW w:w="3686" w:type="dxa"/>
                  <w:vAlign w:val="center"/>
                  <w:hideMark/>
                </w:tcPr>
                <w:p w14:paraId="253568A1" w14:textId="77777777" w:rsidR="006B2873" w:rsidRPr="003B36E1" w:rsidRDefault="006B2873" w:rsidP="007F39CD">
                  <w:pPr>
                    <w:pStyle w:val="ComparatorSpecBoxNormal"/>
                  </w:pPr>
                  <w:r w:rsidRPr="003B36E1">
                    <w:t>Metformin Hydrochloride/Vildagliptin</w:t>
                  </w:r>
                </w:p>
              </w:tc>
              <w:tc>
                <w:tcPr>
                  <w:tcW w:w="1701" w:type="dxa"/>
                  <w:vAlign w:val="center"/>
                  <w:hideMark/>
                </w:tcPr>
                <w:p w14:paraId="0CFBA4CF" w14:textId="77777777" w:rsidR="006B2873" w:rsidRPr="003B36E1" w:rsidRDefault="006B2873" w:rsidP="007F39CD">
                  <w:pPr>
                    <w:pStyle w:val="ComparatorSpecBoxNormal"/>
                    <w:jc w:val="center"/>
                  </w:pPr>
                  <w:r w:rsidRPr="003B36E1">
                    <w:t>0601023Z0</w:t>
                  </w:r>
                </w:p>
              </w:tc>
            </w:tr>
          </w:tbl>
          <w:p w14:paraId="4E452BE8" w14:textId="77777777" w:rsidR="006B2873" w:rsidRPr="003B36E1" w:rsidRDefault="006B2873" w:rsidP="00955279">
            <w:pPr>
              <w:pStyle w:val="ComparatorSpecBoxSpacing"/>
            </w:pPr>
            <w:r>
              <w:t>.</w:t>
            </w:r>
          </w:p>
        </w:tc>
      </w:tr>
      <w:tr w:rsidR="006B2873" w:rsidRPr="005E736D" w14:paraId="336EE698" w14:textId="77777777" w:rsidTr="00460B48">
        <w:trPr>
          <w:trHeight w:val="699"/>
        </w:trPr>
        <w:tc>
          <w:tcPr>
            <w:tcW w:w="550" w:type="dxa"/>
            <w:shd w:val="clear" w:color="auto" w:fill="D9D9D9"/>
          </w:tcPr>
          <w:p w14:paraId="260249E5" w14:textId="77777777" w:rsidR="006B2873" w:rsidRPr="003B36E1" w:rsidRDefault="006B2873" w:rsidP="00955279">
            <w:pPr>
              <w:pStyle w:val="ComparatorSPecBoxBold"/>
            </w:pPr>
            <w:r w:rsidRPr="003B36E1">
              <w:t>1.6</w:t>
            </w:r>
          </w:p>
        </w:tc>
        <w:tc>
          <w:tcPr>
            <w:tcW w:w="1710" w:type="dxa"/>
            <w:tcBorders>
              <w:top w:val="single" w:sz="4" w:space="0" w:color="auto"/>
              <w:bottom w:val="single" w:sz="4" w:space="0" w:color="auto"/>
            </w:tcBorders>
            <w:shd w:val="clear" w:color="auto" w:fill="D9D9D9"/>
          </w:tcPr>
          <w:p w14:paraId="40D993A2" w14:textId="77777777" w:rsidR="006B2873" w:rsidRPr="003B36E1" w:rsidRDefault="006B2873" w:rsidP="00955279">
            <w:pPr>
              <w:pStyle w:val="ComparatorSPecBoxBold"/>
            </w:pPr>
            <w:r w:rsidRPr="003B36E1">
              <w:t>Denominator</w:t>
            </w:r>
          </w:p>
        </w:tc>
        <w:tc>
          <w:tcPr>
            <w:tcW w:w="7629" w:type="dxa"/>
          </w:tcPr>
          <w:p w14:paraId="76018597" w14:textId="77777777" w:rsidR="006B2873" w:rsidRPr="003B36E1" w:rsidRDefault="006B2873" w:rsidP="00955279">
            <w:pPr>
              <w:pStyle w:val="ComparatorSpecBoxSpacing"/>
            </w:pPr>
            <w:r w:rsidRPr="003B36E1">
              <w:t>Total number of patients</w:t>
            </w:r>
            <w:r>
              <w:t xml:space="preserve"> </w:t>
            </w:r>
            <w:r w:rsidRPr="00395A0B">
              <w:t>(</w:t>
            </w:r>
            <w:r>
              <w:t>all patients, patients aged 0-17, 18 to 24, 10-year age bands between 25 and 84, 65 and over, 75 and over, and 85 and over</w:t>
            </w:r>
            <w:r w:rsidRPr="00395A0B">
              <w:t xml:space="preserve">) </w:t>
            </w:r>
            <w:r w:rsidRPr="003B36E1">
              <w:t xml:space="preserve">prescribed one or more DAMN medicines during same </w:t>
            </w:r>
            <w:proofErr w:type="gramStart"/>
            <w:r w:rsidRPr="003B36E1">
              <w:t>time period</w:t>
            </w:r>
            <w:proofErr w:type="gramEnd"/>
            <w:r w:rsidRPr="003B36E1">
              <w:t xml:space="preserve"> as numerator</w:t>
            </w:r>
            <w:r>
              <w:t>.</w:t>
            </w:r>
          </w:p>
        </w:tc>
      </w:tr>
      <w:tr w:rsidR="006B2873" w:rsidRPr="005E736D" w14:paraId="122AC2F2" w14:textId="77777777" w:rsidTr="00460B48">
        <w:tc>
          <w:tcPr>
            <w:tcW w:w="550" w:type="dxa"/>
            <w:shd w:val="clear" w:color="auto" w:fill="D9D9D9"/>
          </w:tcPr>
          <w:p w14:paraId="40912F0F" w14:textId="77777777" w:rsidR="006B2873" w:rsidRPr="003B36E1" w:rsidRDefault="006B2873" w:rsidP="00955279">
            <w:pPr>
              <w:pStyle w:val="ComparatorSPecBoxBold"/>
            </w:pPr>
            <w:r w:rsidRPr="003B36E1">
              <w:t>1.7</w:t>
            </w:r>
          </w:p>
        </w:tc>
        <w:tc>
          <w:tcPr>
            <w:tcW w:w="1710" w:type="dxa"/>
            <w:tcBorders>
              <w:top w:val="single" w:sz="4" w:space="0" w:color="auto"/>
            </w:tcBorders>
            <w:shd w:val="clear" w:color="auto" w:fill="D9D9D9"/>
          </w:tcPr>
          <w:p w14:paraId="1CC72420" w14:textId="77777777" w:rsidR="006B2873" w:rsidRPr="003B36E1" w:rsidRDefault="006B2873" w:rsidP="00955279">
            <w:pPr>
              <w:pStyle w:val="ComparatorSPecBoxBold"/>
            </w:pPr>
            <w:r w:rsidRPr="003B36E1">
              <w:t>Methodology</w:t>
            </w:r>
          </w:p>
        </w:tc>
        <w:tc>
          <w:tcPr>
            <w:tcW w:w="7629" w:type="dxa"/>
          </w:tcPr>
          <w:p w14:paraId="1EC192A7" w14:textId="77777777" w:rsidR="006B2873" w:rsidRPr="003B36E1" w:rsidRDefault="006B2873" w:rsidP="00955279">
            <w:pPr>
              <w:pStyle w:val="ComparatorSpecBoxSpacing"/>
            </w:pPr>
            <w:r w:rsidRPr="003B36E1">
              <w:t>Numerator divided by denominator</w:t>
            </w:r>
          </w:p>
          <w:p w14:paraId="0323DEE6" w14:textId="77777777" w:rsidR="006B2873" w:rsidRPr="003B36E1" w:rsidRDefault="006B2873" w:rsidP="00955279">
            <w:pPr>
              <w:pStyle w:val="ComparatorSpecBoxSpacing"/>
            </w:pPr>
            <w:r w:rsidRPr="003B36E1">
              <w:t>Presented as a percentage</w:t>
            </w:r>
          </w:p>
        </w:tc>
      </w:tr>
      <w:tr w:rsidR="006B2873" w:rsidRPr="005E736D" w14:paraId="5707E7B6" w14:textId="77777777" w:rsidTr="00460B48">
        <w:tc>
          <w:tcPr>
            <w:tcW w:w="9889" w:type="dxa"/>
            <w:gridSpan w:val="3"/>
            <w:shd w:val="clear" w:color="auto" w:fill="D9D9D9"/>
          </w:tcPr>
          <w:p w14:paraId="0D8589E6" w14:textId="77777777" w:rsidR="006B2873" w:rsidRPr="003B36E1" w:rsidRDefault="006B2873" w:rsidP="00955279">
            <w:pPr>
              <w:pStyle w:val="ComparatorSPecBoxBold"/>
              <w:rPr>
                <w:highlight w:val="yellow"/>
              </w:rPr>
            </w:pPr>
            <w:r w:rsidRPr="003B36E1">
              <w:t>Section 2: Rationale</w:t>
            </w:r>
          </w:p>
        </w:tc>
      </w:tr>
      <w:tr w:rsidR="006B2873" w:rsidRPr="005E736D" w14:paraId="47FE4737" w14:textId="77777777" w:rsidTr="00460B48">
        <w:trPr>
          <w:trHeight w:val="1237"/>
        </w:trPr>
        <w:tc>
          <w:tcPr>
            <w:tcW w:w="550" w:type="dxa"/>
            <w:shd w:val="clear" w:color="auto" w:fill="D9D9D9"/>
          </w:tcPr>
          <w:p w14:paraId="655122EE" w14:textId="77777777" w:rsidR="006B2873" w:rsidRPr="003B36E1" w:rsidRDefault="006B2873" w:rsidP="00955279">
            <w:pPr>
              <w:pStyle w:val="ComparatorSPecBoxBold"/>
            </w:pPr>
            <w:r w:rsidRPr="003B36E1">
              <w:t>2.1</w:t>
            </w:r>
          </w:p>
        </w:tc>
        <w:tc>
          <w:tcPr>
            <w:tcW w:w="1710" w:type="dxa"/>
            <w:tcBorders>
              <w:bottom w:val="single" w:sz="4" w:space="0" w:color="auto"/>
            </w:tcBorders>
            <w:shd w:val="clear" w:color="auto" w:fill="D9D9D9"/>
          </w:tcPr>
          <w:p w14:paraId="74B6014A" w14:textId="77777777" w:rsidR="006B2873" w:rsidRPr="003B36E1" w:rsidRDefault="006B2873" w:rsidP="00955279">
            <w:pPr>
              <w:pStyle w:val="ComparatorSPecBoxBold"/>
            </w:pPr>
            <w:r w:rsidRPr="003B36E1">
              <w:t>Purpose</w:t>
            </w:r>
          </w:p>
        </w:tc>
        <w:tc>
          <w:tcPr>
            <w:tcW w:w="7629" w:type="dxa"/>
          </w:tcPr>
          <w:p w14:paraId="055C6541" w14:textId="77777777" w:rsidR="006B2873" w:rsidRDefault="006B2873" w:rsidP="00955279">
            <w:pPr>
              <w:pStyle w:val="ComparatorSpecBoxSpacing"/>
              <w:rPr>
                <w:color w:val="000000"/>
              </w:rPr>
            </w:pPr>
            <w:r w:rsidRPr="003B36E1">
              <w:t xml:space="preserve">To identify the number of patients prescribed medicines that may </w:t>
            </w:r>
            <w:r>
              <w:t>put them</w:t>
            </w:r>
            <w:r w:rsidRPr="003B36E1">
              <w:t xml:space="preserve"> at a higher risk of community acquired acute kidney injury if they develop an illness associated with hypovolaemia or </w:t>
            </w:r>
            <w:r w:rsidRPr="00742585">
              <w:rPr>
                <w:color w:val="000000"/>
              </w:rPr>
              <w:t xml:space="preserve">hypotension. </w:t>
            </w:r>
          </w:p>
          <w:p w14:paraId="20B4F583" w14:textId="77777777" w:rsidR="007F39CD" w:rsidRPr="003B36E1" w:rsidRDefault="007F39CD" w:rsidP="007F39CD">
            <w:pPr>
              <w:pStyle w:val="ComparatorSpecBoxNormal"/>
            </w:pPr>
            <w:r w:rsidRPr="003B36E1">
              <w:t xml:space="preserve">This allows practices and </w:t>
            </w:r>
            <w:r>
              <w:t>ICB</w:t>
            </w:r>
            <w:r w:rsidRPr="003B36E1">
              <w:t>s to</w:t>
            </w:r>
            <w:r>
              <w:t>:</w:t>
            </w:r>
            <w:r w:rsidRPr="003B36E1">
              <w:t xml:space="preserve"> </w:t>
            </w:r>
          </w:p>
          <w:p w14:paraId="593B728A" w14:textId="77777777" w:rsidR="007F39CD" w:rsidRPr="003B36E1" w:rsidRDefault="007F39CD" w:rsidP="007F39CD">
            <w:pPr>
              <w:pStyle w:val="ComparatorSpecBoxList"/>
            </w:pPr>
            <w:r w:rsidRPr="003B36E1">
              <w:t>see the variation across practices within a</w:t>
            </w:r>
            <w:r>
              <w:t>n</w:t>
            </w:r>
            <w:r w:rsidRPr="003B36E1">
              <w:t xml:space="preserve"> </w:t>
            </w:r>
            <w:r>
              <w:t>ICB</w:t>
            </w:r>
            <w:r w:rsidRPr="003B36E1">
              <w:t xml:space="preserve"> </w:t>
            </w:r>
            <w:r w:rsidRPr="00601590">
              <w:t>and</w:t>
            </w:r>
            <w:r w:rsidRPr="003B36E1">
              <w:t xml:space="preserve"> across </w:t>
            </w:r>
            <w:r>
              <w:t>ICB</w:t>
            </w:r>
            <w:r w:rsidRPr="003B36E1">
              <w:t>s</w:t>
            </w:r>
          </w:p>
          <w:p w14:paraId="58A5EAB4" w14:textId="77777777" w:rsidR="007F39CD" w:rsidRDefault="007F39CD" w:rsidP="007F39CD">
            <w:pPr>
              <w:pStyle w:val="ComparatorSpecBoxList"/>
            </w:pPr>
            <w:r w:rsidRPr="003B36E1">
              <w:t xml:space="preserve">identify if polypharmacy is an area to be investigated </w:t>
            </w:r>
          </w:p>
          <w:p w14:paraId="7029DBAC" w14:textId="77777777" w:rsidR="007F39CD" w:rsidRDefault="007F39CD" w:rsidP="007F39CD">
            <w:pPr>
              <w:pStyle w:val="ComparatorSpecBoxList"/>
            </w:pPr>
            <w:r>
              <w:t>to help prioritise potential areas of activity</w:t>
            </w:r>
          </w:p>
          <w:p w14:paraId="2695710D" w14:textId="77777777" w:rsidR="007F39CD" w:rsidRDefault="007F39CD" w:rsidP="00955279">
            <w:pPr>
              <w:pStyle w:val="ComparatorSpecBoxList"/>
            </w:pPr>
            <w:r w:rsidRPr="003B36E1">
              <w:lastRenderedPageBreak/>
              <w:t>demonstrate the impact of initiatives to address polypharmacy</w:t>
            </w:r>
          </w:p>
          <w:p w14:paraId="3DB0AD44" w14:textId="519A46A8" w:rsidR="006B2873" w:rsidRDefault="006B2873" w:rsidP="00955279">
            <w:pPr>
              <w:pStyle w:val="ComparatorSpecBoxList"/>
            </w:pPr>
            <w:r>
              <w:t>raise awareness amongst prescribers of the problems associated with certain medicines that increase risk of AKI</w:t>
            </w:r>
          </w:p>
          <w:p w14:paraId="0DCFDA8B" w14:textId="77777777" w:rsidR="007F39CD" w:rsidRDefault="007F39CD" w:rsidP="007F39CD">
            <w:pPr>
              <w:pStyle w:val="ComparatorSpecBoxList"/>
              <w:numPr>
                <w:ilvl w:val="0"/>
                <w:numId w:val="0"/>
              </w:numPr>
              <w:ind w:left="714"/>
            </w:pPr>
          </w:p>
          <w:p w14:paraId="504D7E97" w14:textId="77777777" w:rsidR="006B2873" w:rsidRPr="003B36E1" w:rsidRDefault="006B2873" w:rsidP="00955279">
            <w:pPr>
              <w:pStyle w:val="ComparatorSpecBoxSpacing"/>
            </w:pPr>
            <w:r w:rsidRPr="00803EFD">
              <w:t>Prescribers are reminded that whil</w:t>
            </w:r>
            <w:r>
              <w:t>st</w:t>
            </w:r>
            <w:r w:rsidRPr="00803EFD">
              <w:t xml:space="preserve"> this comparator focuses on two or more DAMN medicines it is important to emphasise that a single DAMN drug may be a problem in some </w:t>
            </w:r>
            <w:r w:rsidRPr="00817ADB">
              <w:t>patients.</w:t>
            </w:r>
          </w:p>
        </w:tc>
      </w:tr>
      <w:tr w:rsidR="006B2873" w:rsidRPr="005E736D" w14:paraId="5E4551CB" w14:textId="77777777" w:rsidTr="00460B48">
        <w:tc>
          <w:tcPr>
            <w:tcW w:w="550" w:type="dxa"/>
            <w:shd w:val="clear" w:color="auto" w:fill="D9D9D9"/>
          </w:tcPr>
          <w:p w14:paraId="00FED317" w14:textId="77777777" w:rsidR="006B2873" w:rsidRPr="003B36E1" w:rsidRDefault="006B2873" w:rsidP="00955279">
            <w:pPr>
              <w:pStyle w:val="ComparatorSPecBoxBold"/>
            </w:pPr>
            <w:r w:rsidRPr="003B36E1">
              <w:lastRenderedPageBreak/>
              <w:t>2.2</w:t>
            </w:r>
          </w:p>
        </w:tc>
        <w:tc>
          <w:tcPr>
            <w:tcW w:w="1710" w:type="dxa"/>
            <w:tcBorders>
              <w:bottom w:val="single" w:sz="4" w:space="0" w:color="auto"/>
            </w:tcBorders>
            <w:shd w:val="clear" w:color="auto" w:fill="D9D9D9"/>
          </w:tcPr>
          <w:p w14:paraId="4AF4BF1E" w14:textId="77777777" w:rsidR="006B2873" w:rsidRPr="003B36E1" w:rsidRDefault="006B2873" w:rsidP="00955279">
            <w:pPr>
              <w:pStyle w:val="ComparatorSpecBoxSpacing"/>
              <w:rPr>
                <w:b/>
              </w:rPr>
            </w:pPr>
            <w:r w:rsidRPr="003B36E1">
              <w:rPr>
                <w:b/>
              </w:rPr>
              <w:t>Evidence and Policy Base</w:t>
            </w:r>
          </w:p>
        </w:tc>
        <w:tc>
          <w:tcPr>
            <w:tcW w:w="7629" w:type="dxa"/>
          </w:tcPr>
          <w:p w14:paraId="2A54D0B8" w14:textId="77777777" w:rsidR="006B2873" w:rsidRDefault="006B2873" w:rsidP="00955279">
            <w:pPr>
              <w:pStyle w:val="ComparatorSpecBoxSpacing"/>
              <w:rPr>
                <w:lang w:val="en-US"/>
              </w:rPr>
            </w:pPr>
            <w:r w:rsidRPr="003B36E1">
              <w:rPr>
                <w:lang w:val="en-US"/>
              </w:rPr>
              <w:t xml:space="preserve">Patients in the community with </w:t>
            </w:r>
            <w:proofErr w:type="gramStart"/>
            <w:r w:rsidRPr="003B36E1">
              <w:rPr>
                <w:lang w:val="en-US"/>
              </w:rPr>
              <w:t>Chronic Kidney Disease</w:t>
            </w:r>
            <w:proofErr w:type="gramEnd"/>
            <w:r w:rsidRPr="003B36E1">
              <w:rPr>
                <w:lang w:val="en-US"/>
              </w:rPr>
              <w:t xml:space="preserve"> and patients with normal renal function who are treated with an ACE inhibitor (</w:t>
            </w:r>
            <w:proofErr w:type="spellStart"/>
            <w:r w:rsidRPr="003B36E1">
              <w:rPr>
                <w:lang w:val="en-US"/>
              </w:rPr>
              <w:t>ACEi</w:t>
            </w:r>
            <w:proofErr w:type="spellEnd"/>
            <w:r w:rsidRPr="003B36E1">
              <w:rPr>
                <w:lang w:val="en-US"/>
              </w:rPr>
              <w:t xml:space="preserve">) or angiotensin receptor blocker (ARB) are at increased risk of AKI if they develop an illness associated with </w:t>
            </w:r>
            <w:proofErr w:type="spellStart"/>
            <w:r w:rsidRPr="003B36E1">
              <w:rPr>
                <w:lang w:val="en-US"/>
              </w:rPr>
              <w:t>hypovolaemia</w:t>
            </w:r>
            <w:proofErr w:type="spellEnd"/>
            <w:r w:rsidRPr="003B36E1">
              <w:rPr>
                <w:lang w:val="en-US"/>
              </w:rPr>
              <w:t xml:space="preserve"> and hyp</w:t>
            </w:r>
            <w:r>
              <w:rPr>
                <w:lang w:val="en-US"/>
              </w:rPr>
              <w:t>o</w:t>
            </w:r>
            <w:r w:rsidRPr="003B36E1">
              <w:rPr>
                <w:lang w:val="en-US"/>
              </w:rPr>
              <w:t>tension. Such patients can be identified, educated and issued with a Kidney Care Card</w:t>
            </w:r>
            <w:r>
              <w:rPr>
                <w:lang w:val="en-US"/>
              </w:rPr>
              <w:t xml:space="preserve"> or equivalent</w:t>
            </w:r>
            <w:r w:rsidRPr="003B36E1">
              <w:rPr>
                <w:lang w:val="en-US"/>
              </w:rPr>
              <w:t xml:space="preserve">. This provides instructions for temporary cessation of certain medications, which may in this setting, induce, exacerbate and complicate AKI. These drugs can be remembered by the mnemonic DAMN (diuretics, </w:t>
            </w:r>
            <w:proofErr w:type="spellStart"/>
            <w:r w:rsidRPr="003B36E1">
              <w:rPr>
                <w:lang w:val="en-US"/>
              </w:rPr>
              <w:t>ACEi</w:t>
            </w:r>
            <w:proofErr w:type="spellEnd"/>
            <w:r w:rsidRPr="003B36E1">
              <w:rPr>
                <w:lang w:val="en-US"/>
              </w:rPr>
              <w:t>/ ARBs, metformin, NSAIDs).</w:t>
            </w:r>
          </w:p>
          <w:p w14:paraId="02B51ADF" w14:textId="77777777" w:rsidR="006B2873" w:rsidRDefault="006B2873" w:rsidP="00955279">
            <w:pPr>
              <w:pStyle w:val="ComparatorSpecBoxSpacing"/>
            </w:pPr>
            <w:r>
              <w:t>Patients should be advised about how to minimise their risk of AKI in accordance with the Guidance for Medicines Optimisation for patients with AKI</w:t>
            </w:r>
            <w:r w:rsidRPr="003B36E1">
              <w:t xml:space="preserve"> </w:t>
            </w:r>
          </w:p>
          <w:p w14:paraId="78D49056" w14:textId="35AE9324" w:rsidR="006B2873" w:rsidRPr="00F9716D" w:rsidRDefault="006B2873" w:rsidP="00955279">
            <w:pPr>
              <w:pStyle w:val="ComparatorSpecBoxSpacing"/>
            </w:pPr>
            <w:hyperlink r:id="rId17" w:history="1">
              <w:r w:rsidRPr="00F9716D">
                <w:rPr>
                  <w:rStyle w:val="Hyperlink"/>
                </w:rPr>
                <w:t>https://www.thinkkidneys.nhs.uk/aki/wp-content/uploads/sites/2/2016/03/Guidelines-for-Medicines-optimisation-in-patients-with-AKI-final.pdf</w:t>
              </w:r>
            </w:hyperlink>
          </w:p>
          <w:p w14:paraId="051C8B52" w14:textId="77777777" w:rsidR="006B2873" w:rsidRPr="00172BA1" w:rsidRDefault="006B2873" w:rsidP="00955279">
            <w:pPr>
              <w:pStyle w:val="ComparatorSPecBoxBold"/>
            </w:pPr>
            <w:r w:rsidRPr="00172BA1">
              <w:t>Supporting Evidence</w:t>
            </w:r>
          </w:p>
          <w:p w14:paraId="33196DCE" w14:textId="054FAB04" w:rsidR="006B2873" w:rsidRDefault="006B2873" w:rsidP="00955279">
            <w:pPr>
              <w:pStyle w:val="ComparatorSpecBoxSpacing"/>
              <w:rPr>
                <w:color w:val="0000FF"/>
                <w:u w:val="single"/>
              </w:rPr>
            </w:pPr>
            <w:hyperlink r:id="rId18" w:history="1">
              <w:r w:rsidRPr="003B36E1">
                <w:rPr>
                  <w:color w:val="0000FF"/>
                  <w:u w:val="single"/>
                </w:rPr>
                <w:t>http://www.ncbi.nlm.nih.gov/pmc/articles/PMC4255835/</w:t>
              </w:r>
            </w:hyperlink>
          </w:p>
          <w:p w14:paraId="71964755" w14:textId="58BA533C" w:rsidR="006B2873" w:rsidRPr="003B36E1" w:rsidRDefault="009803C4" w:rsidP="00955279">
            <w:pPr>
              <w:pStyle w:val="ComparatorSpecBoxSpacing"/>
            </w:pPr>
            <w:hyperlink r:id="rId19" w:history="1">
              <w:r w:rsidRPr="00814CC4">
                <w:rPr>
                  <w:rStyle w:val="Hyperlink"/>
                </w:rPr>
                <w:t>https://www.thinkkidneys.nhs.uk/aki/wp-content/uploads/sites/2/2016/03/Guidelines-for-Medicines-optimisation-in-patients-with-AKI-final.pdf</w:t>
              </w:r>
            </w:hyperlink>
            <w:r>
              <w:t xml:space="preserve"> </w:t>
            </w:r>
          </w:p>
          <w:p w14:paraId="2D3B7D5E" w14:textId="035E6057" w:rsidR="006B2873" w:rsidRPr="003B36E1" w:rsidRDefault="009803C4" w:rsidP="00955279">
            <w:pPr>
              <w:pStyle w:val="ComparatorSpecBoxSpacing"/>
              <w:rPr>
                <w:u w:val="single"/>
              </w:rPr>
            </w:pPr>
            <w:hyperlink r:id="rId20" w:history="1">
              <w:r w:rsidRPr="00814CC4">
                <w:rPr>
                  <w:rStyle w:val="Hyperlink"/>
                </w:rPr>
                <w:t>https://web.archive.org/web/20170903133827/http://www.scottishpatientsafetyprogramme.scot.nhs.uk/programmes/primary-care/medicine-sick-day-rules-card</w:t>
              </w:r>
            </w:hyperlink>
            <w:r>
              <w:rPr>
                <w:u w:val="single"/>
              </w:rPr>
              <w:t xml:space="preserve"> </w:t>
            </w:r>
          </w:p>
        </w:tc>
      </w:tr>
    </w:tbl>
    <w:p w14:paraId="245FC000" w14:textId="77777777" w:rsidR="006B2873" w:rsidRDefault="006B2873" w:rsidP="001D3131">
      <w:pPr>
        <w:pStyle w:val="Heading2"/>
      </w:pPr>
      <w:r>
        <w:br w:type="page"/>
      </w:r>
      <w:bookmarkStart w:id="87" w:name="_Toc234231963"/>
      <w:r w:rsidRPr="008A139B">
        <w:lastRenderedPageBreak/>
        <w:t xml:space="preserve">Patients prescribed two or more </w:t>
      </w:r>
      <w:r w:rsidR="00D7681A">
        <w:t xml:space="preserve">unique </w:t>
      </w:r>
      <w:r w:rsidRPr="008A139B">
        <w:t xml:space="preserve">medicines likely to cause </w:t>
      </w:r>
      <w:r>
        <w:t>k</w:t>
      </w:r>
      <w:r w:rsidRPr="008A139B">
        <w:t>idney injury</w:t>
      </w:r>
      <w:bookmarkStart w:id="88" w:name="_Toc473636492"/>
      <w:bookmarkStart w:id="89" w:name="_Toc473636923"/>
      <w:r w:rsidRPr="008A139B">
        <w:t xml:space="preserve"> (DAMN </w:t>
      </w:r>
      <w:r>
        <w:t>medicines</w:t>
      </w:r>
      <w:r w:rsidRPr="008A139B">
        <w:t>)</w:t>
      </w:r>
      <w:bookmarkEnd w:id="87"/>
      <w:bookmarkEnd w:id="88"/>
      <w:bookmarkEnd w:id="89"/>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685"/>
        <w:gridCol w:w="25"/>
        <w:gridCol w:w="7629"/>
      </w:tblGrid>
      <w:tr w:rsidR="006B2873" w:rsidRPr="005E736D" w14:paraId="578EFCD3" w14:textId="77777777" w:rsidTr="00742585">
        <w:tc>
          <w:tcPr>
            <w:tcW w:w="9889" w:type="dxa"/>
            <w:gridSpan w:val="4"/>
            <w:shd w:val="clear" w:color="auto" w:fill="D9D9D9"/>
          </w:tcPr>
          <w:p w14:paraId="52F68D13" w14:textId="77777777" w:rsidR="006B2873" w:rsidRPr="003B36E1" w:rsidRDefault="006B2873" w:rsidP="009D44F4">
            <w:pPr>
              <w:pStyle w:val="ComparatorSPecBoxBold"/>
              <w:rPr>
                <w:highlight w:val="yellow"/>
              </w:rPr>
            </w:pPr>
            <w:r w:rsidRPr="003B36E1">
              <w:t>Section 1: Introduction / Overview</w:t>
            </w:r>
          </w:p>
        </w:tc>
      </w:tr>
      <w:tr w:rsidR="006B2873" w:rsidRPr="005E736D" w14:paraId="2ADC06F3" w14:textId="77777777" w:rsidTr="00460B48">
        <w:tc>
          <w:tcPr>
            <w:tcW w:w="550" w:type="dxa"/>
            <w:shd w:val="clear" w:color="auto" w:fill="D9D9D9"/>
          </w:tcPr>
          <w:p w14:paraId="23860C36" w14:textId="77777777" w:rsidR="006B2873" w:rsidRPr="003B36E1" w:rsidRDefault="006B2873" w:rsidP="009D44F4">
            <w:pPr>
              <w:pStyle w:val="ComparatorSPecBoxBold"/>
            </w:pPr>
            <w:r w:rsidRPr="003B36E1">
              <w:t>1.1</w:t>
            </w:r>
          </w:p>
        </w:tc>
        <w:tc>
          <w:tcPr>
            <w:tcW w:w="1685" w:type="dxa"/>
            <w:tcBorders>
              <w:bottom w:val="single" w:sz="4" w:space="0" w:color="auto"/>
            </w:tcBorders>
            <w:shd w:val="clear" w:color="auto" w:fill="D9D9D9"/>
          </w:tcPr>
          <w:p w14:paraId="688F3A1F" w14:textId="77777777" w:rsidR="006B2873" w:rsidRPr="003B36E1" w:rsidRDefault="006B2873" w:rsidP="009D44F4">
            <w:pPr>
              <w:pStyle w:val="ComparatorSPecBoxBold"/>
            </w:pPr>
            <w:r w:rsidRPr="003B36E1">
              <w:t>Title</w:t>
            </w:r>
          </w:p>
        </w:tc>
        <w:tc>
          <w:tcPr>
            <w:tcW w:w="7654" w:type="dxa"/>
            <w:gridSpan w:val="2"/>
          </w:tcPr>
          <w:p w14:paraId="59B5B48A" w14:textId="77777777" w:rsidR="006B2873" w:rsidRPr="003B36E1" w:rsidRDefault="006B2873" w:rsidP="009D44F4">
            <w:pPr>
              <w:pStyle w:val="ComparatorSpecBoxSpacing"/>
              <w:rPr>
                <w:highlight w:val="yellow"/>
              </w:rPr>
            </w:pPr>
            <w:r w:rsidRPr="003B36E1">
              <w:t>Percentage of patients prescribed two or more unique medicines likely to cause kidney injury (DAMN medicines)</w:t>
            </w:r>
          </w:p>
        </w:tc>
      </w:tr>
      <w:tr w:rsidR="006B2873" w:rsidRPr="005E736D" w14:paraId="3FA000D2" w14:textId="77777777" w:rsidTr="00460B48">
        <w:tc>
          <w:tcPr>
            <w:tcW w:w="550" w:type="dxa"/>
            <w:shd w:val="clear" w:color="auto" w:fill="D9D9D9"/>
          </w:tcPr>
          <w:p w14:paraId="56035292" w14:textId="77777777" w:rsidR="006B2873" w:rsidRPr="003B36E1" w:rsidRDefault="006B2873" w:rsidP="009D44F4">
            <w:pPr>
              <w:pStyle w:val="ComparatorSPecBoxBold"/>
            </w:pPr>
            <w:r w:rsidRPr="003B36E1">
              <w:t>1.2</w:t>
            </w:r>
          </w:p>
        </w:tc>
        <w:tc>
          <w:tcPr>
            <w:tcW w:w="1685" w:type="dxa"/>
            <w:tcBorders>
              <w:top w:val="single" w:sz="4" w:space="0" w:color="auto"/>
              <w:bottom w:val="single" w:sz="4" w:space="0" w:color="auto"/>
            </w:tcBorders>
            <w:shd w:val="clear" w:color="auto" w:fill="D9D9D9"/>
          </w:tcPr>
          <w:p w14:paraId="58839104" w14:textId="77777777" w:rsidR="006B2873" w:rsidRPr="003B36E1" w:rsidRDefault="006B2873" w:rsidP="009D44F4">
            <w:pPr>
              <w:pStyle w:val="ComparatorSPecBoxBold"/>
            </w:pPr>
            <w:r w:rsidRPr="003B36E1">
              <w:t>MO Theme</w:t>
            </w:r>
          </w:p>
        </w:tc>
        <w:tc>
          <w:tcPr>
            <w:tcW w:w="7654" w:type="dxa"/>
            <w:gridSpan w:val="2"/>
          </w:tcPr>
          <w:p w14:paraId="4A5F2876" w14:textId="2E9053DD" w:rsidR="006B2873" w:rsidRPr="003B36E1" w:rsidRDefault="00955279" w:rsidP="009D44F4">
            <w:pPr>
              <w:pStyle w:val="ComparatorSpecBoxSpacing"/>
            </w:pPr>
            <w:r>
              <w:t>Polypharmacy</w:t>
            </w:r>
          </w:p>
        </w:tc>
      </w:tr>
      <w:tr w:rsidR="006B2873" w:rsidRPr="005E736D" w14:paraId="2C5F0AED" w14:textId="77777777" w:rsidTr="00460B48">
        <w:tc>
          <w:tcPr>
            <w:tcW w:w="550" w:type="dxa"/>
            <w:shd w:val="clear" w:color="auto" w:fill="D9D9D9"/>
          </w:tcPr>
          <w:p w14:paraId="784C5CD7" w14:textId="77777777" w:rsidR="006B2873" w:rsidRPr="003B36E1" w:rsidRDefault="006B2873" w:rsidP="009D44F4">
            <w:pPr>
              <w:pStyle w:val="ComparatorSPecBoxBold"/>
            </w:pPr>
            <w:r w:rsidRPr="003B36E1">
              <w:t>1.3</w:t>
            </w:r>
          </w:p>
        </w:tc>
        <w:tc>
          <w:tcPr>
            <w:tcW w:w="1685" w:type="dxa"/>
            <w:tcBorders>
              <w:top w:val="single" w:sz="4" w:space="0" w:color="auto"/>
              <w:bottom w:val="single" w:sz="4" w:space="0" w:color="auto"/>
            </w:tcBorders>
            <w:shd w:val="clear" w:color="auto" w:fill="D9D9D9"/>
          </w:tcPr>
          <w:p w14:paraId="24929B2B" w14:textId="77777777" w:rsidR="006B2873" w:rsidRPr="003B36E1" w:rsidRDefault="006B2873" w:rsidP="009D44F4">
            <w:pPr>
              <w:pStyle w:val="ComparatorSPecBoxBold"/>
            </w:pPr>
            <w:r w:rsidRPr="003B36E1">
              <w:t>Definition</w:t>
            </w:r>
          </w:p>
        </w:tc>
        <w:tc>
          <w:tcPr>
            <w:tcW w:w="7654" w:type="dxa"/>
            <w:gridSpan w:val="2"/>
          </w:tcPr>
          <w:p w14:paraId="27578C3A" w14:textId="77777777" w:rsidR="006B2873" w:rsidRDefault="006B2873" w:rsidP="009D44F4">
            <w:pPr>
              <w:pStyle w:val="ComparatorSpecBoxSpacing"/>
            </w:pPr>
            <w:r w:rsidRPr="003B36E1">
              <w:t xml:space="preserve">Percentage of patients </w:t>
            </w:r>
            <w:r>
              <w:t xml:space="preserve">(all patients, patients aged 0-17, 18 to 24, 10-year age bands between 25 and 84, 65 and over, 75 and over, and 85 and over) </w:t>
            </w:r>
            <w:r w:rsidRPr="003B36E1">
              <w:t xml:space="preserve">prescribed two or more unique medicines likely to </w:t>
            </w:r>
            <w:r>
              <w:t>induce, exacerbate or complicate acute</w:t>
            </w:r>
            <w:r w:rsidRPr="003B36E1">
              <w:t xml:space="preserve"> kidney injury (DAMN medicines) </w:t>
            </w:r>
          </w:p>
          <w:p w14:paraId="702DE960" w14:textId="5BCE44C6" w:rsidR="006B2873" w:rsidRPr="003B36E1" w:rsidRDefault="006B2873" w:rsidP="009D44F4">
            <w:pPr>
              <w:pStyle w:val="ComparatorSpecBoxSpacing"/>
            </w:pPr>
            <w:r>
              <w:t>This comparator may identify patients on two or more unique medicines from the same DAMN medicines BNF class (</w:t>
            </w:r>
            <w:r w:rsidR="009D44F4">
              <w:t>for example</w:t>
            </w:r>
            <w:r>
              <w:t xml:space="preserve"> two diuretics) however these patients are within the minority but may still be at increased risk.</w:t>
            </w:r>
          </w:p>
        </w:tc>
      </w:tr>
      <w:tr w:rsidR="006B2873" w:rsidRPr="005E736D" w14:paraId="01D63B41" w14:textId="77777777" w:rsidTr="00460B48">
        <w:trPr>
          <w:trHeight w:val="192"/>
        </w:trPr>
        <w:tc>
          <w:tcPr>
            <w:tcW w:w="550" w:type="dxa"/>
            <w:shd w:val="clear" w:color="auto" w:fill="D9D9D9"/>
          </w:tcPr>
          <w:p w14:paraId="5532F419" w14:textId="77777777" w:rsidR="006B2873" w:rsidRPr="003B36E1" w:rsidRDefault="006B2873" w:rsidP="009D44F4">
            <w:pPr>
              <w:pStyle w:val="ComparatorSPecBoxBold"/>
            </w:pPr>
            <w:r w:rsidRPr="003B36E1">
              <w:t>1.4</w:t>
            </w:r>
          </w:p>
        </w:tc>
        <w:tc>
          <w:tcPr>
            <w:tcW w:w="1685" w:type="dxa"/>
            <w:tcBorders>
              <w:top w:val="single" w:sz="4" w:space="0" w:color="auto"/>
              <w:bottom w:val="single" w:sz="4" w:space="0" w:color="auto"/>
            </w:tcBorders>
            <w:shd w:val="clear" w:color="auto" w:fill="D9D9D9"/>
          </w:tcPr>
          <w:p w14:paraId="1ECB404C" w14:textId="77777777" w:rsidR="006B2873" w:rsidRPr="003B36E1" w:rsidRDefault="006B2873" w:rsidP="009D44F4">
            <w:pPr>
              <w:pStyle w:val="ComparatorSPecBoxBold"/>
            </w:pPr>
            <w:r w:rsidRPr="003B36E1">
              <w:t>Reporting Level</w:t>
            </w:r>
          </w:p>
        </w:tc>
        <w:tc>
          <w:tcPr>
            <w:tcW w:w="7654" w:type="dxa"/>
            <w:gridSpan w:val="2"/>
          </w:tcPr>
          <w:p w14:paraId="766E5595" w14:textId="77777777" w:rsidR="006B2873" w:rsidRPr="00251F07" w:rsidRDefault="006B2873" w:rsidP="009D44F4">
            <w:pPr>
              <w:pStyle w:val="ComparatorSpecBoxSpacing"/>
              <w:rPr>
                <w:highlight w:val="yellow"/>
              </w:rPr>
            </w:pPr>
            <w:r w:rsidRPr="00251F07">
              <w:t xml:space="preserve">Practice level (aggregated to PCN, SICBL, </w:t>
            </w:r>
            <w:r w:rsidR="002C2F02">
              <w:t>HIN</w:t>
            </w:r>
            <w:r w:rsidRPr="00251F07">
              <w:t>, ICB, Regional and England level)</w:t>
            </w:r>
          </w:p>
        </w:tc>
      </w:tr>
      <w:tr w:rsidR="006B2873" w:rsidRPr="005E736D" w14:paraId="4E3C07D0" w14:textId="77777777" w:rsidTr="00460B48">
        <w:trPr>
          <w:trHeight w:val="841"/>
        </w:trPr>
        <w:tc>
          <w:tcPr>
            <w:tcW w:w="550" w:type="dxa"/>
            <w:shd w:val="clear" w:color="auto" w:fill="D9D9D9"/>
          </w:tcPr>
          <w:p w14:paraId="12ABE57D" w14:textId="77777777" w:rsidR="006B2873" w:rsidRPr="003B36E1" w:rsidRDefault="006B2873" w:rsidP="009D44F4">
            <w:pPr>
              <w:pStyle w:val="ComparatorSPecBoxBold"/>
            </w:pPr>
            <w:r w:rsidRPr="003B36E1">
              <w:t>1.5</w:t>
            </w:r>
          </w:p>
        </w:tc>
        <w:tc>
          <w:tcPr>
            <w:tcW w:w="1685" w:type="dxa"/>
            <w:tcBorders>
              <w:top w:val="single" w:sz="4" w:space="0" w:color="auto"/>
              <w:bottom w:val="single" w:sz="4" w:space="0" w:color="auto"/>
            </w:tcBorders>
            <w:shd w:val="clear" w:color="auto" w:fill="D9D9D9"/>
          </w:tcPr>
          <w:p w14:paraId="678F9AB7" w14:textId="77777777" w:rsidR="006B2873" w:rsidRPr="003B36E1" w:rsidRDefault="006B2873" w:rsidP="009D44F4">
            <w:pPr>
              <w:pStyle w:val="ComparatorSPecBoxBold"/>
            </w:pPr>
            <w:r w:rsidRPr="003B36E1">
              <w:t>Numerator</w:t>
            </w:r>
          </w:p>
        </w:tc>
        <w:tc>
          <w:tcPr>
            <w:tcW w:w="7654" w:type="dxa"/>
            <w:gridSpan w:val="2"/>
          </w:tcPr>
          <w:p w14:paraId="0B2F5911" w14:textId="77777777" w:rsidR="006B2873" w:rsidRDefault="006B2873" w:rsidP="009D44F4">
            <w:pPr>
              <w:pStyle w:val="ComparatorSpecBoxSpacing"/>
            </w:pPr>
            <w:r w:rsidRPr="003B36E1">
              <w:t xml:space="preserve">Number of patients </w:t>
            </w:r>
            <w:r>
              <w:t xml:space="preserve">(all patients, patients aged 0-17, 18 to 24, 10-year age bands between 25 and 84, 65 and over, 75 and over, and 85 and over) </w:t>
            </w:r>
            <w:r w:rsidRPr="003B36E1">
              <w:t>prescribed two or more unique medicines during a single month that are likely to induce, exacerbate or complicate acute kidney injury (DAMN medicines)</w:t>
            </w:r>
            <w:r>
              <w:t>.</w:t>
            </w:r>
            <w:r w:rsidRPr="003B36E1">
              <w:t xml:space="preserve"> </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3969"/>
              <w:gridCol w:w="1417"/>
            </w:tblGrid>
            <w:tr w:rsidR="006B2873" w:rsidRPr="003B36E1" w14:paraId="15BB8709" w14:textId="77777777" w:rsidTr="004A28A9">
              <w:trPr>
                <w:trHeight w:val="283"/>
              </w:trPr>
              <w:tc>
                <w:tcPr>
                  <w:tcW w:w="1588" w:type="dxa"/>
                  <w:shd w:val="clear" w:color="auto" w:fill="D9D9D9"/>
                </w:tcPr>
                <w:p w14:paraId="57DD117A" w14:textId="03DE7470" w:rsidR="006B2873" w:rsidRPr="003B36E1" w:rsidRDefault="006B2873" w:rsidP="009D44F4">
                  <w:pPr>
                    <w:pStyle w:val="ComparatorSPecBoxBold"/>
                  </w:pPr>
                  <w:r w:rsidRPr="003B36E1">
                    <w:t>DAMN medicines BNF class code</w:t>
                  </w:r>
                </w:p>
              </w:tc>
              <w:tc>
                <w:tcPr>
                  <w:tcW w:w="3969" w:type="dxa"/>
                  <w:shd w:val="clear" w:color="auto" w:fill="D9D9D9"/>
                  <w:vAlign w:val="center"/>
                  <w:hideMark/>
                </w:tcPr>
                <w:p w14:paraId="56F44DCF" w14:textId="77777777" w:rsidR="006B2873" w:rsidRPr="003B36E1" w:rsidRDefault="006B2873" w:rsidP="009D44F4">
                  <w:pPr>
                    <w:pStyle w:val="ComparatorSPecBoxBold"/>
                  </w:pPr>
                  <w:r w:rsidRPr="003B36E1">
                    <w:t xml:space="preserve">DAMN medicines (BNF Name) </w:t>
                  </w:r>
                </w:p>
              </w:tc>
              <w:tc>
                <w:tcPr>
                  <w:tcW w:w="1417" w:type="dxa"/>
                  <w:shd w:val="clear" w:color="auto" w:fill="D9D9D9"/>
                  <w:vAlign w:val="center"/>
                  <w:hideMark/>
                </w:tcPr>
                <w:p w14:paraId="7559EBE4" w14:textId="77777777" w:rsidR="006B2873" w:rsidRPr="003B36E1" w:rsidRDefault="006B2873" w:rsidP="009D44F4">
                  <w:pPr>
                    <w:pStyle w:val="ComparatorSPecBoxBold"/>
                  </w:pPr>
                  <w:r w:rsidRPr="003B36E1">
                    <w:t xml:space="preserve">DAMN medicines (BNF Code) </w:t>
                  </w:r>
                </w:p>
              </w:tc>
            </w:tr>
            <w:tr w:rsidR="006B2873" w:rsidRPr="003B36E1" w14:paraId="5223E0AC" w14:textId="77777777" w:rsidTr="004A28A9">
              <w:trPr>
                <w:trHeight w:val="283"/>
              </w:trPr>
              <w:tc>
                <w:tcPr>
                  <w:tcW w:w="1588" w:type="dxa"/>
                  <w:vAlign w:val="center"/>
                </w:tcPr>
                <w:p w14:paraId="56382BD3" w14:textId="77777777" w:rsidR="006B2873" w:rsidRPr="003B36E1" w:rsidRDefault="006B2873" w:rsidP="009D44F4">
                  <w:pPr>
                    <w:pStyle w:val="ComparatorSpecBoxNormal"/>
                  </w:pPr>
                  <w:r w:rsidRPr="003B36E1">
                    <w:t>0202</w:t>
                  </w:r>
                </w:p>
              </w:tc>
              <w:tc>
                <w:tcPr>
                  <w:tcW w:w="3969" w:type="dxa"/>
                  <w:vAlign w:val="center"/>
                  <w:hideMark/>
                </w:tcPr>
                <w:p w14:paraId="43F62966" w14:textId="77777777" w:rsidR="006B2873" w:rsidRPr="003B36E1" w:rsidRDefault="006B2873" w:rsidP="009D44F4">
                  <w:pPr>
                    <w:pStyle w:val="ComparatorSpecBoxNormal"/>
                  </w:pPr>
                  <w:r w:rsidRPr="003B36E1">
                    <w:t>Diuretics</w:t>
                  </w:r>
                </w:p>
              </w:tc>
              <w:tc>
                <w:tcPr>
                  <w:tcW w:w="1417" w:type="dxa"/>
                  <w:vAlign w:val="center"/>
                  <w:hideMark/>
                </w:tcPr>
                <w:p w14:paraId="559F0F89" w14:textId="77777777" w:rsidR="006B2873" w:rsidRPr="003B36E1" w:rsidRDefault="006B2873" w:rsidP="009D44F4">
                  <w:pPr>
                    <w:pStyle w:val="ComparatorSpecBoxNormal"/>
                  </w:pPr>
                  <w:r w:rsidRPr="003B36E1">
                    <w:t>0202</w:t>
                  </w:r>
                </w:p>
              </w:tc>
            </w:tr>
            <w:tr w:rsidR="006B2873" w:rsidRPr="003B36E1" w14:paraId="46C71877" w14:textId="77777777" w:rsidTr="004A28A9">
              <w:trPr>
                <w:trHeight w:val="283"/>
              </w:trPr>
              <w:tc>
                <w:tcPr>
                  <w:tcW w:w="1588" w:type="dxa"/>
                  <w:vMerge w:val="restart"/>
                  <w:vAlign w:val="center"/>
                </w:tcPr>
                <w:p w14:paraId="456F0186" w14:textId="77777777" w:rsidR="006B2873" w:rsidRPr="003B36E1" w:rsidRDefault="006B2873" w:rsidP="009D44F4">
                  <w:pPr>
                    <w:pStyle w:val="ComparatorSpecBoxNormal"/>
                  </w:pPr>
                  <w:r w:rsidRPr="003B36E1">
                    <w:t>020505</w:t>
                  </w:r>
                </w:p>
              </w:tc>
              <w:tc>
                <w:tcPr>
                  <w:tcW w:w="3969" w:type="dxa"/>
                  <w:vAlign w:val="center"/>
                  <w:hideMark/>
                </w:tcPr>
                <w:p w14:paraId="4E9A3FC1" w14:textId="77777777" w:rsidR="006B2873" w:rsidRPr="003B36E1" w:rsidRDefault="006B2873" w:rsidP="009D44F4">
                  <w:pPr>
                    <w:pStyle w:val="ComparatorSpecBoxNormal"/>
                  </w:pPr>
                  <w:r w:rsidRPr="003B36E1">
                    <w:t>Angiotensin-Converting Enzyme Inhibitors</w:t>
                  </w:r>
                </w:p>
              </w:tc>
              <w:tc>
                <w:tcPr>
                  <w:tcW w:w="1417" w:type="dxa"/>
                  <w:vAlign w:val="center"/>
                  <w:hideMark/>
                </w:tcPr>
                <w:p w14:paraId="0E8CB34C" w14:textId="77777777" w:rsidR="006B2873" w:rsidRPr="003B36E1" w:rsidRDefault="006B2873" w:rsidP="009D44F4">
                  <w:pPr>
                    <w:pStyle w:val="ComparatorSpecBoxNormal"/>
                  </w:pPr>
                  <w:r w:rsidRPr="003B36E1">
                    <w:t>0205051</w:t>
                  </w:r>
                </w:p>
              </w:tc>
            </w:tr>
            <w:tr w:rsidR="006B2873" w:rsidRPr="003B36E1" w14:paraId="729FA00E" w14:textId="77777777" w:rsidTr="004A28A9">
              <w:trPr>
                <w:trHeight w:val="283"/>
              </w:trPr>
              <w:tc>
                <w:tcPr>
                  <w:tcW w:w="1588" w:type="dxa"/>
                  <w:vMerge/>
                  <w:vAlign w:val="center"/>
                </w:tcPr>
                <w:p w14:paraId="5F026D5D" w14:textId="77777777" w:rsidR="006B2873" w:rsidRPr="003B36E1" w:rsidRDefault="006B2873" w:rsidP="009D44F4">
                  <w:pPr>
                    <w:pStyle w:val="ComparatorSpecBoxNormal"/>
                  </w:pPr>
                </w:p>
              </w:tc>
              <w:tc>
                <w:tcPr>
                  <w:tcW w:w="3969" w:type="dxa"/>
                  <w:vAlign w:val="center"/>
                  <w:hideMark/>
                </w:tcPr>
                <w:p w14:paraId="7B2A6458" w14:textId="77777777" w:rsidR="006B2873" w:rsidRPr="003B36E1" w:rsidRDefault="006B2873" w:rsidP="009D44F4">
                  <w:pPr>
                    <w:pStyle w:val="ComparatorSpecBoxNormal"/>
                  </w:pPr>
                  <w:r w:rsidRPr="003B36E1">
                    <w:t>Angiotensin-II Receptor Antagonists</w:t>
                  </w:r>
                </w:p>
              </w:tc>
              <w:tc>
                <w:tcPr>
                  <w:tcW w:w="1417" w:type="dxa"/>
                  <w:vAlign w:val="center"/>
                  <w:hideMark/>
                </w:tcPr>
                <w:p w14:paraId="245882D3" w14:textId="77777777" w:rsidR="006B2873" w:rsidRPr="003B36E1" w:rsidRDefault="006B2873" w:rsidP="009D44F4">
                  <w:pPr>
                    <w:pStyle w:val="ComparatorSpecBoxNormal"/>
                  </w:pPr>
                  <w:r w:rsidRPr="003B36E1">
                    <w:t>0205052</w:t>
                  </w:r>
                </w:p>
              </w:tc>
            </w:tr>
            <w:tr w:rsidR="006B2873" w:rsidRPr="003B36E1" w14:paraId="75B9A4A9" w14:textId="77777777" w:rsidTr="004A28A9">
              <w:trPr>
                <w:trHeight w:val="283"/>
              </w:trPr>
              <w:tc>
                <w:tcPr>
                  <w:tcW w:w="1588" w:type="dxa"/>
                  <w:vMerge w:val="restart"/>
                  <w:vAlign w:val="center"/>
                </w:tcPr>
                <w:p w14:paraId="70CC3D42" w14:textId="77777777" w:rsidR="006B2873" w:rsidRPr="003B36E1" w:rsidRDefault="006B2873" w:rsidP="009D44F4">
                  <w:pPr>
                    <w:pStyle w:val="ComparatorSpecBoxNormal"/>
                  </w:pPr>
                  <w:r w:rsidRPr="003B36E1">
                    <w:t>060102</w:t>
                  </w:r>
                </w:p>
              </w:tc>
              <w:tc>
                <w:tcPr>
                  <w:tcW w:w="3969" w:type="dxa"/>
                  <w:vAlign w:val="center"/>
                  <w:hideMark/>
                </w:tcPr>
                <w:p w14:paraId="6656F6B3" w14:textId="77777777" w:rsidR="006B2873" w:rsidRPr="003B36E1" w:rsidRDefault="006B2873" w:rsidP="009D44F4">
                  <w:pPr>
                    <w:pStyle w:val="ComparatorSpecBoxNormal"/>
                  </w:pPr>
                  <w:r w:rsidRPr="003B36E1">
                    <w:t>Metformin Hydrochloride</w:t>
                  </w:r>
                </w:p>
              </w:tc>
              <w:tc>
                <w:tcPr>
                  <w:tcW w:w="1417" w:type="dxa"/>
                  <w:vAlign w:val="center"/>
                  <w:hideMark/>
                </w:tcPr>
                <w:p w14:paraId="31431642" w14:textId="77777777" w:rsidR="006B2873" w:rsidRPr="003B36E1" w:rsidRDefault="006B2873" w:rsidP="009D44F4">
                  <w:pPr>
                    <w:pStyle w:val="ComparatorSpecBoxNormal"/>
                  </w:pPr>
                  <w:r w:rsidRPr="003B36E1">
                    <w:t>0601022B0</w:t>
                  </w:r>
                </w:p>
              </w:tc>
            </w:tr>
            <w:tr w:rsidR="006B2873" w:rsidRPr="003B36E1" w14:paraId="604D1024" w14:textId="77777777" w:rsidTr="004A28A9">
              <w:trPr>
                <w:trHeight w:val="283"/>
              </w:trPr>
              <w:tc>
                <w:tcPr>
                  <w:tcW w:w="1588" w:type="dxa"/>
                  <w:vMerge/>
                  <w:vAlign w:val="center"/>
                </w:tcPr>
                <w:p w14:paraId="6DEEDA8F" w14:textId="77777777" w:rsidR="006B2873" w:rsidRPr="003B36E1" w:rsidRDefault="006B2873" w:rsidP="009D44F4">
                  <w:pPr>
                    <w:pStyle w:val="ComparatorSpecBoxNormal"/>
                  </w:pPr>
                </w:p>
              </w:tc>
              <w:tc>
                <w:tcPr>
                  <w:tcW w:w="3969" w:type="dxa"/>
                  <w:vAlign w:val="center"/>
                  <w:hideMark/>
                </w:tcPr>
                <w:p w14:paraId="7F4380D4" w14:textId="77777777" w:rsidR="006B2873" w:rsidRPr="003B36E1" w:rsidRDefault="006B2873" w:rsidP="009D44F4">
                  <w:pPr>
                    <w:pStyle w:val="ComparatorSpecBoxNormal"/>
                  </w:pPr>
                  <w:r w:rsidRPr="003B36E1">
                    <w:t>Metformin Hydrochloride/Sitagliptin</w:t>
                  </w:r>
                </w:p>
              </w:tc>
              <w:tc>
                <w:tcPr>
                  <w:tcW w:w="1417" w:type="dxa"/>
                  <w:vAlign w:val="center"/>
                  <w:hideMark/>
                </w:tcPr>
                <w:p w14:paraId="5BB23FF9" w14:textId="77777777" w:rsidR="006B2873" w:rsidRPr="003B36E1" w:rsidRDefault="006B2873" w:rsidP="009D44F4">
                  <w:pPr>
                    <w:pStyle w:val="ComparatorSpecBoxNormal"/>
                  </w:pPr>
                  <w:r w:rsidRPr="003B36E1">
                    <w:t>0601023AD</w:t>
                  </w:r>
                </w:p>
              </w:tc>
            </w:tr>
            <w:tr w:rsidR="006B2873" w:rsidRPr="003B36E1" w14:paraId="2AF5B5C5" w14:textId="77777777" w:rsidTr="004A28A9">
              <w:trPr>
                <w:trHeight w:val="283"/>
              </w:trPr>
              <w:tc>
                <w:tcPr>
                  <w:tcW w:w="1588" w:type="dxa"/>
                  <w:vMerge/>
                  <w:vAlign w:val="center"/>
                </w:tcPr>
                <w:p w14:paraId="0771295F" w14:textId="77777777" w:rsidR="006B2873" w:rsidRPr="003B36E1" w:rsidRDefault="006B2873" w:rsidP="009D44F4">
                  <w:pPr>
                    <w:pStyle w:val="ComparatorSpecBoxNormal"/>
                  </w:pPr>
                </w:p>
              </w:tc>
              <w:tc>
                <w:tcPr>
                  <w:tcW w:w="3969" w:type="dxa"/>
                  <w:vAlign w:val="center"/>
                  <w:hideMark/>
                </w:tcPr>
                <w:p w14:paraId="1B4CD165" w14:textId="77777777" w:rsidR="006B2873" w:rsidRPr="003B36E1" w:rsidRDefault="006B2873" w:rsidP="009D44F4">
                  <w:pPr>
                    <w:pStyle w:val="ComparatorSpecBoxNormal"/>
                  </w:pPr>
                  <w:r w:rsidRPr="003B36E1">
                    <w:t>Linagliptin/Metformin</w:t>
                  </w:r>
                </w:p>
              </w:tc>
              <w:tc>
                <w:tcPr>
                  <w:tcW w:w="1417" w:type="dxa"/>
                  <w:vAlign w:val="center"/>
                  <w:hideMark/>
                </w:tcPr>
                <w:p w14:paraId="6D09C5CA" w14:textId="77777777" w:rsidR="006B2873" w:rsidRPr="003B36E1" w:rsidRDefault="006B2873" w:rsidP="009D44F4">
                  <w:pPr>
                    <w:pStyle w:val="ComparatorSpecBoxNormal"/>
                  </w:pPr>
                  <w:r w:rsidRPr="003B36E1">
                    <w:t>0601023AF</w:t>
                  </w:r>
                </w:p>
              </w:tc>
            </w:tr>
            <w:tr w:rsidR="006B2873" w:rsidRPr="003B36E1" w14:paraId="763AADD0" w14:textId="77777777" w:rsidTr="004A28A9">
              <w:trPr>
                <w:trHeight w:val="283"/>
              </w:trPr>
              <w:tc>
                <w:tcPr>
                  <w:tcW w:w="1588" w:type="dxa"/>
                  <w:vMerge/>
                  <w:vAlign w:val="center"/>
                </w:tcPr>
                <w:p w14:paraId="2F4B02E3" w14:textId="77777777" w:rsidR="006B2873" w:rsidRPr="003B36E1" w:rsidRDefault="006B2873" w:rsidP="009D44F4">
                  <w:pPr>
                    <w:pStyle w:val="ComparatorSpecBoxNormal"/>
                  </w:pPr>
                </w:p>
              </w:tc>
              <w:tc>
                <w:tcPr>
                  <w:tcW w:w="3969" w:type="dxa"/>
                  <w:vAlign w:val="center"/>
                  <w:hideMark/>
                </w:tcPr>
                <w:p w14:paraId="6BBA7A68" w14:textId="77777777" w:rsidR="006B2873" w:rsidRPr="003B36E1" w:rsidRDefault="006B2873" w:rsidP="009D44F4">
                  <w:pPr>
                    <w:pStyle w:val="ComparatorSpecBoxNormal"/>
                  </w:pPr>
                  <w:proofErr w:type="spellStart"/>
                  <w:r w:rsidRPr="003B36E1">
                    <w:t>Saxagliptin</w:t>
                  </w:r>
                  <w:proofErr w:type="spellEnd"/>
                  <w:r w:rsidRPr="003B36E1">
                    <w:t>/Metformin</w:t>
                  </w:r>
                </w:p>
              </w:tc>
              <w:tc>
                <w:tcPr>
                  <w:tcW w:w="1417" w:type="dxa"/>
                  <w:vAlign w:val="center"/>
                  <w:hideMark/>
                </w:tcPr>
                <w:p w14:paraId="6BF6CD9B" w14:textId="77777777" w:rsidR="006B2873" w:rsidRPr="003B36E1" w:rsidRDefault="006B2873" w:rsidP="009D44F4">
                  <w:pPr>
                    <w:pStyle w:val="ComparatorSpecBoxNormal"/>
                  </w:pPr>
                  <w:r w:rsidRPr="003B36E1">
                    <w:t>0601023AH</w:t>
                  </w:r>
                </w:p>
              </w:tc>
            </w:tr>
            <w:tr w:rsidR="006B2873" w:rsidRPr="003B36E1" w14:paraId="382D5BB3" w14:textId="77777777" w:rsidTr="004A28A9">
              <w:trPr>
                <w:trHeight w:val="283"/>
              </w:trPr>
              <w:tc>
                <w:tcPr>
                  <w:tcW w:w="1588" w:type="dxa"/>
                  <w:vMerge/>
                  <w:vAlign w:val="center"/>
                </w:tcPr>
                <w:p w14:paraId="442B042A" w14:textId="77777777" w:rsidR="006B2873" w:rsidRPr="003B36E1" w:rsidRDefault="006B2873" w:rsidP="009D44F4">
                  <w:pPr>
                    <w:pStyle w:val="ComparatorSpecBoxNormal"/>
                  </w:pPr>
                </w:p>
              </w:tc>
              <w:tc>
                <w:tcPr>
                  <w:tcW w:w="3969" w:type="dxa"/>
                  <w:vAlign w:val="center"/>
                  <w:hideMark/>
                </w:tcPr>
                <w:p w14:paraId="414BA5FC" w14:textId="77777777" w:rsidR="006B2873" w:rsidRPr="003B36E1" w:rsidRDefault="006B2873" w:rsidP="009D44F4">
                  <w:pPr>
                    <w:pStyle w:val="ComparatorSpecBoxNormal"/>
                  </w:pPr>
                  <w:r w:rsidRPr="003B36E1">
                    <w:t>Alogliptin/Metformin</w:t>
                  </w:r>
                </w:p>
              </w:tc>
              <w:tc>
                <w:tcPr>
                  <w:tcW w:w="1417" w:type="dxa"/>
                  <w:vAlign w:val="center"/>
                  <w:hideMark/>
                </w:tcPr>
                <w:p w14:paraId="0E2B8F83" w14:textId="77777777" w:rsidR="006B2873" w:rsidRPr="003B36E1" w:rsidRDefault="006B2873" w:rsidP="009D44F4">
                  <w:pPr>
                    <w:pStyle w:val="ComparatorSpecBoxNormal"/>
                  </w:pPr>
                  <w:r w:rsidRPr="003B36E1">
                    <w:t>0601023AJ</w:t>
                  </w:r>
                </w:p>
              </w:tc>
            </w:tr>
            <w:tr w:rsidR="006B2873" w:rsidRPr="003B36E1" w14:paraId="20876641" w14:textId="77777777" w:rsidTr="004A28A9">
              <w:trPr>
                <w:trHeight w:val="283"/>
              </w:trPr>
              <w:tc>
                <w:tcPr>
                  <w:tcW w:w="1588" w:type="dxa"/>
                  <w:vMerge/>
                  <w:vAlign w:val="center"/>
                </w:tcPr>
                <w:p w14:paraId="3F23A3F7" w14:textId="77777777" w:rsidR="006B2873" w:rsidRPr="003B36E1" w:rsidRDefault="006B2873" w:rsidP="009D44F4">
                  <w:pPr>
                    <w:pStyle w:val="ComparatorSpecBoxNormal"/>
                  </w:pPr>
                </w:p>
              </w:tc>
              <w:tc>
                <w:tcPr>
                  <w:tcW w:w="3969" w:type="dxa"/>
                  <w:vAlign w:val="center"/>
                  <w:hideMark/>
                </w:tcPr>
                <w:p w14:paraId="55560E93" w14:textId="77777777" w:rsidR="006B2873" w:rsidRPr="003B36E1" w:rsidRDefault="006B2873" w:rsidP="009D44F4">
                  <w:pPr>
                    <w:pStyle w:val="ComparatorSpecBoxNormal"/>
                  </w:pPr>
                  <w:r w:rsidRPr="003B36E1">
                    <w:t>Dapagliflozin/Metformin</w:t>
                  </w:r>
                </w:p>
              </w:tc>
              <w:tc>
                <w:tcPr>
                  <w:tcW w:w="1417" w:type="dxa"/>
                  <w:vAlign w:val="center"/>
                  <w:hideMark/>
                </w:tcPr>
                <w:p w14:paraId="617A010E" w14:textId="77777777" w:rsidR="006B2873" w:rsidRPr="003B36E1" w:rsidRDefault="006B2873" w:rsidP="009D44F4">
                  <w:pPr>
                    <w:pStyle w:val="ComparatorSpecBoxNormal"/>
                  </w:pPr>
                  <w:r w:rsidRPr="003B36E1">
                    <w:t>0601023AL</w:t>
                  </w:r>
                </w:p>
              </w:tc>
            </w:tr>
            <w:tr w:rsidR="006B2873" w:rsidRPr="003B36E1" w14:paraId="034F9E27" w14:textId="77777777" w:rsidTr="004A28A9">
              <w:trPr>
                <w:trHeight w:val="283"/>
              </w:trPr>
              <w:tc>
                <w:tcPr>
                  <w:tcW w:w="1588" w:type="dxa"/>
                  <w:vMerge/>
                  <w:vAlign w:val="center"/>
                </w:tcPr>
                <w:p w14:paraId="056AA23C" w14:textId="77777777" w:rsidR="006B2873" w:rsidRPr="003B36E1" w:rsidRDefault="006B2873" w:rsidP="009D44F4">
                  <w:pPr>
                    <w:pStyle w:val="ComparatorSpecBoxNormal"/>
                  </w:pPr>
                </w:p>
              </w:tc>
              <w:tc>
                <w:tcPr>
                  <w:tcW w:w="3969" w:type="dxa"/>
                  <w:vAlign w:val="center"/>
                  <w:hideMark/>
                </w:tcPr>
                <w:p w14:paraId="66DE8A5F" w14:textId="77777777" w:rsidR="006B2873" w:rsidRPr="003B36E1" w:rsidRDefault="006B2873" w:rsidP="009D44F4">
                  <w:pPr>
                    <w:pStyle w:val="ComparatorSpecBoxNormal"/>
                  </w:pPr>
                  <w:r w:rsidRPr="003B36E1">
                    <w:t>Canagliflozin/Metformin</w:t>
                  </w:r>
                </w:p>
              </w:tc>
              <w:tc>
                <w:tcPr>
                  <w:tcW w:w="1417" w:type="dxa"/>
                  <w:vAlign w:val="center"/>
                  <w:hideMark/>
                </w:tcPr>
                <w:p w14:paraId="026F4FA8" w14:textId="77777777" w:rsidR="006B2873" w:rsidRPr="003B36E1" w:rsidRDefault="006B2873" w:rsidP="009D44F4">
                  <w:pPr>
                    <w:pStyle w:val="ComparatorSpecBoxNormal"/>
                  </w:pPr>
                  <w:r w:rsidRPr="003B36E1">
                    <w:t>0601023AP</w:t>
                  </w:r>
                </w:p>
              </w:tc>
            </w:tr>
            <w:tr w:rsidR="006B2873" w:rsidRPr="003B36E1" w14:paraId="1EA88C25" w14:textId="77777777" w:rsidTr="004A28A9">
              <w:trPr>
                <w:trHeight w:val="283"/>
              </w:trPr>
              <w:tc>
                <w:tcPr>
                  <w:tcW w:w="1588" w:type="dxa"/>
                  <w:vMerge/>
                  <w:vAlign w:val="center"/>
                </w:tcPr>
                <w:p w14:paraId="2072E18A" w14:textId="77777777" w:rsidR="006B2873" w:rsidRPr="003B36E1" w:rsidRDefault="006B2873" w:rsidP="009D44F4">
                  <w:pPr>
                    <w:pStyle w:val="ComparatorSpecBoxNormal"/>
                  </w:pPr>
                </w:p>
              </w:tc>
              <w:tc>
                <w:tcPr>
                  <w:tcW w:w="3969" w:type="dxa"/>
                  <w:vAlign w:val="center"/>
                  <w:hideMark/>
                </w:tcPr>
                <w:p w14:paraId="72432B6A" w14:textId="77777777" w:rsidR="006B2873" w:rsidRPr="003B36E1" w:rsidRDefault="006B2873" w:rsidP="009D44F4">
                  <w:pPr>
                    <w:pStyle w:val="ComparatorSpecBoxNormal"/>
                  </w:pPr>
                  <w:r w:rsidRPr="003B36E1">
                    <w:t>Empagliflozin/Metformin</w:t>
                  </w:r>
                </w:p>
              </w:tc>
              <w:tc>
                <w:tcPr>
                  <w:tcW w:w="1417" w:type="dxa"/>
                  <w:vAlign w:val="center"/>
                  <w:hideMark/>
                </w:tcPr>
                <w:p w14:paraId="15E5743A" w14:textId="77777777" w:rsidR="006B2873" w:rsidRPr="003B36E1" w:rsidRDefault="006B2873" w:rsidP="009D44F4">
                  <w:pPr>
                    <w:pStyle w:val="ComparatorSpecBoxNormal"/>
                  </w:pPr>
                  <w:r w:rsidRPr="003B36E1">
                    <w:t>0601023AR</w:t>
                  </w:r>
                </w:p>
              </w:tc>
            </w:tr>
            <w:tr w:rsidR="006B2873" w:rsidRPr="003B36E1" w14:paraId="2C847EB5" w14:textId="77777777" w:rsidTr="004A28A9">
              <w:trPr>
                <w:trHeight w:val="283"/>
              </w:trPr>
              <w:tc>
                <w:tcPr>
                  <w:tcW w:w="1588" w:type="dxa"/>
                  <w:vMerge/>
                  <w:vAlign w:val="center"/>
                </w:tcPr>
                <w:p w14:paraId="43152E53" w14:textId="77777777" w:rsidR="006B2873" w:rsidRPr="003B36E1" w:rsidRDefault="006B2873" w:rsidP="009D44F4">
                  <w:pPr>
                    <w:pStyle w:val="ComparatorSpecBoxNormal"/>
                  </w:pPr>
                </w:p>
              </w:tc>
              <w:tc>
                <w:tcPr>
                  <w:tcW w:w="3969" w:type="dxa"/>
                  <w:vAlign w:val="center"/>
                  <w:hideMark/>
                </w:tcPr>
                <w:p w14:paraId="1E9EF98D" w14:textId="77777777" w:rsidR="006B2873" w:rsidRPr="003B36E1" w:rsidRDefault="006B2873" w:rsidP="009D44F4">
                  <w:pPr>
                    <w:pStyle w:val="ComparatorSpecBoxNormal"/>
                  </w:pPr>
                  <w:r w:rsidRPr="003B36E1">
                    <w:t>Metformin Hydrochloride/Rosiglitazone</w:t>
                  </w:r>
                </w:p>
              </w:tc>
              <w:tc>
                <w:tcPr>
                  <w:tcW w:w="1417" w:type="dxa"/>
                  <w:vAlign w:val="center"/>
                  <w:hideMark/>
                </w:tcPr>
                <w:p w14:paraId="53D85011" w14:textId="77777777" w:rsidR="006B2873" w:rsidRPr="003B36E1" w:rsidRDefault="006B2873" w:rsidP="009D44F4">
                  <w:pPr>
                    <w:pStyle w:val="ComparatorSpecBoxNormal"/>
                  </w:pPr>
                  <w:r w:rsidRPr="003B36E1">
                    <w:t>0601023V0</w:t>
                  </w:r>
                </w:p>
              </w:tc>
            </w:tr>
            <w:tr w:rsidR="006B2873" w:rsidRPr="003B36E1" w14:paraId="6758BAA3" w14:textId="77777777" w:rsidTr="004A28A9">
              <w:trPr>
                <w:trHeight w:val="283"/>
              </w:trPr>
              <w:tc>
                <w:tcPr>
                  <w:tcW w:w="1588" w:type="dxa"/>
                  <w:vMerge/>
                  <w:vAlign w:val="center"/>
                </w:tcPr>
                <w:p w14:paraId="71FDBA1F" w14:textId="77777777" w:rsidR="006B2873" w:rsidRPr="003B36E1" w:rsidRDefault="006B2873" w:rsidP="009D44F4">
                  <w:pPr>
                    <w:pStyle w:val="ComparatorSpecBoxNormal"/>
                  </w:pPr>
                </w:p>
              </w:tc>
              <w:tc>
                <w:tcPr>
                  <w:tcW w:w="3969" w:type="dxa"/>
                  <w:vAlign w:val="center"/>
                  <w:hideMark/>
                </w:tcPr>
                <w:p w14:paraId="2DDA2555" w14:textId="77777777" w:rsidR="006B2873" w:rsidRPr="003B36E1" w:rsidRDefault="006B2873" w:rsidP="009D44F4">
                  <w:pPr>
                    <w:pStyle w:val="ComparatorSpecBoxNormal"/>
                  </w:pPr>
                  <w:r w:rsidRPr="003B36E1">
                    <w:t>Metformin Hydrochloride/Pioglitazone</w:t>
                  </w:r>
                </w:p>
              </w:tc>
              <w:tc>
                <w:tcPr>
                  <w:tcW w:w="1417" w:type="dxa"/>
                  <w:vAlign w:val="center"/>
                  <w:hideMark/>
                </w:tcPr>
                <w:p w14:paraId="24D70147" w14:textId="77777777" w:rsidR="006B2873" w:rsidRPr="003B36E1" w:rsidRDefault="006B2873" w:rsidP="009D44F4">
                  <w:pPr>
                    <w:pStyle w:val="ComparatorSpecBoxNormal"/>
                  </w:pPr>
                  <w:r w:rsidRPr="003B36E1">
                    <w:t>0601023W0</w:t>
                  </w:r>
                </w:p>
              </w:tc>
            </w:tr>
            <w:tr w:rsidR="006B2873" w:rsidRPr="003B36E1" w14:paraId="06CEC079" w14:textId="77777777" w:rsidTr="004A28A9">
              <w:trPr>
                <w:trHeight w:val="283"/>
              </w:trPr>
              <w:tc>
                <w:tcPr>
                  <w:tcW w:w="1588" w:type="dxa"/>
                  <w:vMerge/>
                  <w:vAlign w:val="center"/>
                </w:tcPr>
                <w:p w14:paraId="51FCE1BF" w14:textId="77777777" w:rsidR="006B2873" w:rsidRPr="003B36E1" w:rsidRDefault="006B2873" w:rsidP="009D44F4">
                  <w:pPr>
                    <w:pStyle w:val="ComparatorSpecBoxNormal"/>
                  </w:pPr>
                </w:p>
              </w:tc>
              <w:tc>
                <w:tcPr>
                  <w:tcW w:w="3969" w:type="dxa"/>
                  <w:vAlign w:val="center"/>
                  <w:hideMark/>
                </w:tcPr>
                <w:p w14:paraId="6D6D30C1" w14:textId="77777777" w:rsidR="006B2873" w:rsidRPr="003B36E1" w:rsidRDefault="006B2873" w:rsidP="009D44F4">
                  <w:pPr>
                    <w:pStyle w:val="ComparatorSpecBoxNormal"/>
                  </w:pPr>
                  <w:r w:rsidRPr="003B36E1">
                    <w:t>Metformin Hydrochloride/Vildagliptin</w:t>
                  </w:r>
                </w:p>
              </w:tc>
              <w:tc>
                <w:tcPr>
                  <w:tcW w:w="1417" w:type="dxa"/>
                  <w:vAlign w:val="center"/>
                  <w:hideMark/>
                </w:tcPr>
                <w:p w14:paraId="10F44A30" w14:textId="77777777" w:rsidR="006B2873" w:rsidRPr="003B36E1" w:rsidRDefault="006B2873" w:rsidP="009D44F4">
                  <w:pPr>
                    <w:pStyle w:val="ComparatorSpecBoxNormal"/>
                  </w:pPr>
                  <w:r w:rsidRPr="003B36E1">
                    <w:t>0601023Z0</w:t>
                  </w:r>
                </w:p>
              </w:tc>
            </w:tr>
            <w:tr w:rsidR="006B2873" w:rsidRPr="003B36E1" w14:paraId="69648000" w14:textId="77777777" w:rsidTr="004A28A9">
              <w:trPr>
                <w:trHeight w:val="283"/>
              </w:trPr>
              <w:tc>
                <w:tcPr>
                  <w:tcW w:w="1588" w:type="dxa"/>
                  <w:vAlign w:val="center"/>
                </w:tcPr>
                <w:p w14:paraId="44BA9BCD" w14:textId="77777777" w:rsidR="006B2873" w:rsidRPr="003B36E1" w:rsidRDefault="006B2873" w:rsidP="009D44F4">
                  <w:pPr>
                    <w:pStyle w:val="ComparatorSpecBoxNormal"/>
                  </w:pPr>
                  <w:r w:rsidRPr="003B36E1">
                    <w:t>100101</w:t>
                  </w:r>
                </w:p>
              </w:tc>
              <w:tc>
                <w:tcPr>
                  <w:tcW w:w="3969" w:type="dxa"/>
                  <w:vAlign w:val="center"/>
                  <w:hideMark/>
                </w:tcPr>
                <w:p w14:paraId="45F7EA01" w14:textId="77777777" w:rsidR="006B2873" w:rsidRPr="003B36E1" w:rsidRDefault="006B2873" w:rsidP="009D44F4">
                  <w:pPr>
                    <w:pStyle w:val="ComparatorSpecBoxNormal"/>
                  </w:pPr>
                  <w:r w:rsidRPr="003B36E1">
                    <w:t>Non-Steroidal Anti-Inflammatory Drugs</w:t>
                  </w:r>
                </w:p>
              </w:tc>
              <w:tc>
                <w:tcPr>
                  <w:tcW w:w="1417" w:type="dxa"/>
                  <w:vAlign w:val="center"/>
                  <w:hideMark/>
                </w:tcPr>
                <w:p w14:paraId="52D8FCBB" w14:textId="77777777" w:rsidR="006B2873" w:rsidRPr="003B36E1" w:rsidRDefault="006B2873" w:rsidP="009D44F4">
                  <w:pPr>
                    <w:pStyle w:val="ComparatorSpecBoxNormal"/>
                  </w:pPr>
                  <w:r w:rsidRPr="003B36E1">
                    <w:t>100101</w:t>
                  </w:r>
                </w:p>
              </w:tc>
            </w:tr>
          </w:tbl>
          <w:p w14:paraId="4F8F79AF" w14:textId="77777777" w:rsidR="006B2873" w:rsidRPr="003B36E1" w:rsidRDefault="006B2873" w:rsidP="009D44F4">
            <w:pPr>
              <w:pStyle w:val="ComparatorSpecBoxSpacing"/>
            </w:pPr>
            <w:r>
              <w:t xml:space="preserve"> </w:t>
            </w:r>
          </w:p>
        </w:tc>
      </w:tr>
      <w:tr w:rsidR="006B2873" w:rsidRPr="005E736D" w14:paraId="23F5F83C" w14:textId="77777777" w:rsidTr="00460B48">
        <w:trPr>
          <w:trHeight w:val="466"/>
        </w:trPr>
        <w:tc>
          <w:tcPr>
            <w:tcW w:w="550" w:type="dxa"/>
            <w:shd w:val="clear" w:color="auto" w:fill="D9D9D9"/>
          </w:tcPr>
          <w:p w14:paraId="70049D36" w14:textId="77777777" w:rsidR="006B2873" w:rsidRPr="003B36E1" w:rsidRDefault="006B2873" w:rsidP="009D44F4">
            <w:pPr>
              <w:pStyle w:val="ComparatorSPecBoxBold"/>
            </w:pPr>
            <w:r w:rsidRPr="003B36E1">
              <w:t>1.6</w:t>
            </w:r>
          </w:p>
        </w:tc>
        <w:tc>
          <w:tcPr>
            <w:tcW w:w="1685" w:type="dxa"/>
            <w:tcBorders>
              <w:top w:val="single" w:sz="4" w:space="0" w:color="auto"/>
              <w:bottom w:val="single" w:sz="4" w:space="0" w:color="auto"/>
            </w:tcBorders>
            <w:shd w:val="clear" w:color="auto" w:fill="D9D9D9"/>
          </w:tcPr>
          <w:p w14:paraId="7C101AF9" w14:textId="77777777" w:rsidR="006B2873" w:rsidRPr="003B36E1" w:rsidRDefault="006B2873" w:rsidP="009D44F4">
            <w:pPr>
              <w:pStyle w:val="ComparatorSPecBoxBold"/>
            </w:pPr>
            <w:r w:rsidRPr="003B36E1">
              <w:t>Denominator</w:t>
            </w:r>
          </w:p>
        </w:tc>
        <w:tc>
          <w:tcPr>
            <w:tcW w:w="7654" w:type="dxa"/>
            <w:gridSpan w:val="2"/>
          </w:tcPr>
          <w:p w14:paraId="10E7B420" w14:textId="77777777" w:rsidR="006B2873" w:rsidRPr="003B36E1" w:rsidRDefault="006B2873" w:rsidP="009D44F4">
            <w:pPr>
              <w:pStyle w:val="ComparatorSpecBoxSpacing"/>
            </w:pPr>
            <w:r w:rsidRPr="003B36E1">
              <w:t>Total number of patients (</w:t>
            </w:r>
            <w:r>
              <w:t>all patients, patients aged 0-17, 18 to 24, 10-year age bands between 25 and 84, 65 and over, 75 and over, and 85 and over</w:t>
            </w:r>
            <w:r w:rsidRPr="003B36E1">
              <w:t>)</w:t>
            </w:r>
            <w:r>
              <w:t xml:space="preserve"> </w:t>
            </w:r>
            <w:r w:rsidRPr="003B36E1">
              <w:t xml:space="preserve">prescribed one or more DAMN medicines during same </w:t>
            </w:r>
            <w:proofErr w:type="gramStart"/>
            <w:r w:rsidRPr="003B36E1">
              <w:t>time period</w:t>
            </w:r>
            <w:proofErr w:type="gramEnd"/>
            <w:r w:rsidRPr="003B36E1">
              <w:t xml:space="preserve"> as numerator</w:t>
            </w:r>
            <w:r>
              <w:t>.</w:t>
            </w:r>
          </w:p>
        </w:tc>
      </w:tr>
      <w:tr w:rsidR="006B2873" w:rsidRPr="005E736D" w14:paraId="7117FFB0" w14:textId="77777777" w:rsidTr="00460B48">
        <w:tc>
          <w:tcPr>
            <w:tcW w:w="550" w:type="dxa"/>
            <w:shd w:val="clear" w:color="auto" w:fill="D9D9D9"/>
          </w:tcPr>
          <w:p w14:paraId="2E40C9A6" w14:textId="77777777" w:rsidR="006B2873" w:rsidRPr="003B36E1" w:rsidRDefault="006B2873" w:rsidP="009D44F4">
            <w:pPr>
              <w:pStyle w:val="ComparatorSPecBoxBold"/>
            </w:pPr>
            <w:r w:rsidRPr="003B36E1">
              <w:t>1.7</w:t>
            </w:r>
          </w:p>
        </w:tc>
        <w:tc>
          <w:tcPr>
            <w:tcW w:w="1685" w:type="dxa"/>
            <w:tcBorders>
              <w:top w:val="single" w:sz="4" w:space="0" w:color="auto"/>
            </w:tcBorders>
            <w:shd w:val="clear" w:color="auto" w:fill="D9D9D9"/>
          </w:tcPr>
          <w:p w14:paraId="0684B375" w14:textId="77777777" w:rsidR="006B2873" w:rsidRPr="003B36E1" w:rsidRDefault="006B2873" w:rsidP="009D44F4">
            <w:pPr>
              <w:pStyle w:val="ComparatorSPecBoxBold"/>
            </w:pPr>
            <w:r w:rsidRPr="003B36E1">
              <w:t>Methodology</w:t>
            </w:r>
          </w:p>
        </w:tc>
        <w:tc>
          <w:tcPr>
            <w:tcW w:w="7654" w:type="dxa"/>
            <w:gridSpan w:val="2"/>
          </w:tcPr>
          <w:p w14:paraId="2BE5544A" w14:textId="77777777" w:rsidR="006B2873" w:rsidRPr="003B36E1" w:rsidRDefault="006B2873" w:rsidP="009D44F4">
            <w:pPr>
              <w:pStyle w:val="ComparatorSpecBoxSpacing"/>
            </w:pPr>
            <w:r w:rsidRPr="003B36E1">
              <w:t>Numerator divided by denominator</w:t>
            </w:r>
          </w:p>
          <w:p w14:paraId="17DF6AFC" w14:textId="77777777" w:rsidR="006B2873" w:rsidRPr="003B36E1" w:rsidRDefault="006B2873" w:rsidP="009D44F4">
            <w:pPr>
              <w:pStyle w:val="ComparatorSpecBoxSpacing"/>
            </w:pPr>
            <w:r w:rsidRPr="003B36E1">
              <w:t>Presented as a percentage</w:t>
            </w:r>
          </w:p>
        </w:tc>
      </w:tr>
      <w:tr w:rsidR="006B2873" w:rsidRPr="005E736D" w14:paraId="147550EF" w14:textId="77777777" w:rsidTr="00460B48">
        <w:tc>
          <w:tcPr>
            <w:tcW w:w="9889" w:type="dxa"/>
            <w:gridSpan w:val="4"/>
            <w:shd w:val="clear" w:color="auto" w:fill="D9D9D9"/>
          </w:tcPr>
          <w:p w14:paraId="40B90158" w14:textId="77777777" w:rsidR="006B2873" w:rsidRPr="003B36E1" w:rsidRDefault="006B2873" w:rsidP="009D44F4">
            <w:pPr>
              <w:pStyle w:val="ComparatorSPecBoxBold"/>
              <w:rPr>
                <w:highlight w:val="yellow"/>
              </w:rPr>
            </w:pPr>
            <w:r w:rsidRPr="003B36E1">
              <w:t>Section 2: Rationale</w:t>
            </w:r>
          </w:p>
        </w:tc>
      </w:tr>
      <w:tr w:rsidR="006B2873" w:rsidRPr="005E736D" w14:paraId="7638416C" w14:textId="77777777" w:rsidTr="00460B48">
        <w:trPr>
          <w:trHeight w:val="1237"/>
        </w:trPr>
        <w:tc>
          <w:tcPr>
            <w:tcW w:w="550" w:type="dxa"/>
            <w:shd w:val="clear" w:color="auto" w:fill="D9D9D9"/>
          </w:tcPr>
          <w:p w14:paraId="73AE8AA2" w14:textId="77777777" w:rsidR="006B2873" w:rsidRPr="009D44F4" w:rsidRDefault="006B2873" w:rsidP="009D44F4">
            <w:pPr>
              <w:pStyle w:val="ComparatorSPecBoxBold"/>
            </w:pPr>
            <w:r w:rsidRPr="009D44F4">
              <w:lastRenderedPageBreak/>
              <w:t>2.1</w:t>
            </w:r>
          </w:p>
        </w:tc>
        <w:tc>
          <w:tcPr>
            <w:tcW w:w="1710" w:type="dxa"/>
            <w:gridSpan w:val="2"/>
            <w:tcBorders>
              <w:bottom w:val="single" w:sz="4" w:space="0" w:color="auto"/>
            </w:tcBorders>
            <w:shd w:val="clear" w:color="auto" w:fill="D9D9D9"/>
          </w:tcPr>
          <w:p w14:paraId="0A095055" w14:textId="77777777" w:rsidR="006B2873" w:rsidRPr="009D44F4" w:rsidRDefault="006B2873" w:rsidP="009D44F4">
            <w:pPr>
              <w:pStyle w:val="ComparatorSPecBoxBold"/>
            </w:pPr>
            <w:r w:rsidRPr="009D44F4">
              <w:t>Purpose</w:t>
            </w:r>
          </w:p>
        </w:tc>
        <w:tc>
          <w:tcPr>
            <w:tcW w:w="7629" w:type="dxa"/>
          </w:tcPr>
          <w:p w14:paraId="225B7A83" w14:textId="77777777" w:rsidR="006B2873" w:rsidRPr="003F7FEF" w:rsidRDefault="006B2873" w:rsidP="009D44F4">
            <w:pPr>
              <w:pStyle w:val="ComparatorSpecBoxSpacing"/>
              <w:rPr>
                <w:color w:val="000000"/>
              </w:rPr>
            </w:pPr>
            <w:r w:rsidRPr="003B36E1">
              <w:t xml:space="preserve">To identify the number of patients prescribed medicines that may </w:t>
            </w:r>
            <w:r>
              <w:t>put them</w:t>
            </w:r>
            <w:r w:rsidRPr="003B36E1">
              <w:t xml:space="preserve"> at a higher risk of community </w:t>
            </w:r>
            <w:r w:rsidRPr="003F7FEF">
              <w:rPr>
                <w:color w:val="000000"/>
              </w:rPr>
              <w:t xml:space="preserve">acquired acute kidney injury if they develop an illness associated with hypovolaemia or hypotension. </w:t>
            </w:r>
          </w:p>
          <w:p w14:paraId="6C870BDC" w14:textId="77777777" w:rsidR="009D44F4" w:rsidRPr="003B36E1" w:rsidRDefault="009D44F4" w:rsidP="009D44F4">
            <w:pPr>
              <w:pStyle w:val="ComparatorSpecBoxNormal"/>
            </w:pPr>
            <w:r w:rsidRPr="003B36E1">
              <w:t xml:space="preserve">This allows practices and </w:t>
            </w:r>
            <w:r>
              <w:t>ICB</w:t>
            </w:r>
            <w:r w:rsidRPr="003B36E1">
              <w:t>s to</w:t>
            </w:r>
            <w:r>
              <w:t>:</w:t>
            </w:r>
            <w:r w:rsidRPr="003B36E1">
              <w:t xml:space="preserve"> </w:t>
            </w:r>
          </w:p>
          <w:p w14:paraId="13DEE4B2" w14:textId="77777777" w:rsidR="009D44F4" w:rsidRPr="003B36E1" w:rsidRDefault="009D44F4" w:rsidP="009D44F4">
            <w:pPr>
              <w:pStyle w:val="ComparatorSpecBoxList"/>
            </w:pPr>
            <w:r w:rsidRPr="003B36E1">
              <w:t>see the variation across practices within a</w:t>
            </w:r>
            <w:r>
              <w:t>n</w:t>
            </w:r>
            <w:r w:rsidRPr="003B36E1">
              <w:t xml:space="preserve"> </w:t>
            </w:r>
            <w:r>
              <w:t>ICB</w:t>
            </w:r>
            <w:r w:rsidRPr="003B36E1">
              <w:t xml:space="preserve"> </w:t>
            </w:r>
            <w:r w:rsidRPr="00601590">
              <w:t>and</w:t>
            </w:r>
            <w:r w:rsidRPr="003B36E1">
              <w:t xml:space="preserve"> across </w:t>
            </w:r>
            <w:r>
              <w:t>ICB</w:t>
            </w:r>
            <w:r w:rsidRPr="003B36E1">
              <w:t>s</w:t>
            </w:r>
          </w:p>
          <w:p w14:paraId="68F8382F" w14:textId="77777777" w:rsidR="009D44F4" w:rsidRDefault="009D44F4" w:rsidP="009D44F4">
            <w:pPr>
              <w:pStyle w:val="ComparatorSpecBoxList"/>
            </w:pPr>
            <w:r w:rsidRPr="003B36E1">
              <w:t xml:space="preserve">identify if polypharmacy is an area to be investigated </w:t>
            </w:r>
          </w:p>
          <w:p w14:paraId="159053C5" w14:textId="77777777" w:rsidR="009D44F4" w:rsidRDefault="009D44F4" w:rsidP="009D44F4">
            <w:pPr>
              <w:pStyle w:val="ComparatorSpecBoxList"/>
            </w:pPr>
            <w:r>
              <w:t>to help prioritise potential areas of activity</w:t>
            </w:r>
          </w:p>
          <w:p w14:paraId="0126F39F" w14:textId="77777777" w:rsidR="009D44F4" w:rsidRDefault="009D44F4" w:rsidP="009D44F4">
            <w:pPr>
              <w:pStyle w:val="ComparatorSpecBoxList"/>
            </w:pPr>
            <w:r w:rsidRPr="003B36E1">
              <w:t>demonstrate the impact of initiatives to address polypharmacy</w:t>
            </w:r>
          </w:p>
          <w:p w14:paraId="28063A8D" w14:textId="11D3B081" w:rsidR="006B2873" w:rsidRDefault="006B2873" w:rsidP="009D44F4">
            <w:pPr>
              <w:pStyle w:val="ComparatorSpecBoxList"/>
            </w:pPr>
            <w:r>
              <w:t>raise awareness amongst prescribers of the problems associated with certain medicines that increase risk of AKI</w:t>
            </w:r>
          </w:p>
          <w:p w14:paraId="49C719DE" w14:textId="77777777" w:rsidR="006B2873" w:rsidRPr="003B36E1" w:rsidRDefault="006B2873" w:rsidP="009D44F4">
            <w:pPr>
              <w:pStyle w:val="ComparatorSpecBoxSpacing"/>
            </w:pPr>
            <w:r w:rsidRPr="00803EFD">
              <w:t>Prescribers are reminded that whil</w:t>
            </w:r>
            <w:r>
              <w:t>st</w:t>
            </w:r>
            <w:r w:rsidRPr="00803EFD">
              <w:t xml:space="preserve"> this comparator focuses on two or more DAMN medicines it is important to emphasise that a single DAMN drug may be a problem in some </w:t>
            </w:r>
            <w:r w:rsidRPr="00817ADB">
              <w:t>patients.</w:t>
            </w:r>
          </w:p>
        </w:tc>
      </w:tr>
      <w:tr w:rsidR="006B2873" w:rsidRPr="005E736D" w14:paraId="76676E2A" w14:textId="77777777" w:rsidTr="00460B48">
        <w:tc>
          <w:tcPr>
            <w:tcW w:w="550" w:type="dxa"/>
            <w:shd w:val="clear" w:color="auto" w:fill="D9D9D9"/>
          </w:tcPr>
          <w:p w14:paraId="6732BC06" w14:textId="77777777" w:rsidR="006B2873" w:rsidRPr="009D44F4" w:rsidRDefault="006B2873" w:rsidP="009D44F4">
            <w:pPr>
              <w:pStyle w:val="ComparatorSPecBoxBold"/>
            </w:pPr>
            <w:r w:rsidRPr="009D44F4">
              <w:t>2.2</w:t>
            </w:r>
          </w:p>
        </w:tc>
        <w:tc>
          <w:tcPr>
            <w:tcW w:w="1710" w:type="dxa"/>
            <w:gridSpan w:val="2"/>
            <w:tcBorders>
              <w:bottom w:val="single" w:sz="4" w:space="0" w:color="auto"/>
            </w:tcBorders>
            <w:shd w:val="clear" w:color="auto" w:fill="D9D9D9"/>
          </w:tcPr>
          <w:p w14:paraId="206432AF" w14:textId="77777777" w:rsidR="006B2873" w:rsidRPr="009D44F4" w:rsidRDefault="006B2873" w:rsidP="009D44F4">
            <w:pPr>
              <w:pStyle w:val="ComparatorSPecBoxBold"/>
            </w:pPr>
            <w:r w:rsidRPr="009D44F4">
              <w:t>Evidence and Policy Base</w:t>
            </w:r>
          </w:p>
        </w:tc>
        <w:tc>
          <w:tcPr>
            <w:tcW w:w="7629" w:type="dxa"/>
          </w:tcPr>
          <w:p w14:paraId="3EF92AC2" w14:textId="77777777" w:rsidR="006B2873" w:rsidRDefault="006B2873" w:rsidP="009D44F4">
            <w:pPr>
              <w:pStyle w:val="ComparatorSpecBoxSpacing"/>
              <w:rPr>
                <w:lang w:val="en-US"/>
              </w:rPr>
            </w:pPr>
            <w:r w:rsidRPr="003B36E1">
              <w:rPr>
                <w:lang w:val="en-US"/>
              </w:rPr>
              <w:t xml:space="preserve">Patients in the community with </w:t>
            </w:r>
            <w:proofErr w:type="gramStart"/>
            <w:r w:rsidRPr="003B36E1">
              <w:rPr>
                <w:lang w:val="en-US"/>
              </w:rPr>
              <w:t>Chronic Kidney Disease</w:t>
            </w:r>
            <w:proofErr w:type="gramEnd"/>
            <w:r w:rsidRPr="003B36E1">
              <w:rPr>
                <w:lang w:val="en-US"/>
              </w:rPr>
              <w:t xml:space="preserve"> and patients with normal renal function who are treated with an ACE inhibitor (</w:t>
            </w:r>
            <w:proofErr w:type="spellStart"/>
            <w:r w:rsidRPr="003B36E1">
              <w:rPr>
                <w:lang w:val="en-US"/>
              </w:rPr>
              <w:t>ACEi</w:t>
            </w:r>
            <w:proofErr w:type="spellEnd"/>
            <w:r w:rsidRPr="003B36E1">
              <w:rPr>
                <w:lang w:val="en-US"/>
              </w:rPr>
              <w:t xml:space="preserve">) or angiotensin receptor blocker (ARB) are at increased risk of AKI if they develop an illness associated with </w:t>
            </w:r>
            <w:proofErr w:type="spellStart"/>
            <w:r w:rsidRPr="003B36E1">
              <w:rPr>
                <w:lang w:val="en-US"/>
              </w:rPr>
              <w:t>hypovolaemia</w:t>
            </w:r>
            <w:proofErr w:type="spellEnd"/>
            <w:r w:rsidRPr="003B36E1">
              <w:rPr>
                <w:lang w:val="en-US"/>
              </w:rPr>
              <w:t xml:space="preserve"> and hyp</w:t>
            </w:r>
            <w:r>
              <w:rPr>
                <w:lang w:val="en-US"/>
              </w:rPr>
              <w:t>o</w:t>
            </w:r>
            <w:r w:rsidRPr="003B36E1">
              <w:rPr>
                <w:lang w:val="en-US"/>
              </w:rPr>
              <w:t>tension. Such patients can be identified, educated and issued with a Kidney Care Card</w:t>
            </w:r>
            <w:r>
              <w:rPr>
                <w:lang w:val="en-US"/>
              </w:rPr>
              <w:t xml:space="preserve"> or equivalent</w:t>
            </w:r>
            <w:r w:rsidRPr="003B36E1">
              <w:rPr>
                <w:lang w:val="en-US"/>
              </w:rPr>
              <w:t xml:space="preserve">. This provides instructions for temporary cessation of certain medications, which may in this setting, induce, exacerbate and complicate AKI. These drugs can be remembered by the mnemonic DAMN (diuretics, </w:t>
            </w:r>
            <w:proofErr w:type="spellStart"/>
            <w:r w:rsidRPr="003B36E1">
              <w:rPr>
                <w:lang w:val="en-US"/>
              </w:rPr>
              <w:t>ACEi</w:t>
            </w:r>
            <w:proofErr w:type="spellEnd"/>
            <w:r w:rsidRPr="003B36E1">
              <w:rPr>
                <w:lang w:val="en-US"/>
              </w:rPr>
              <w:t>/ ARBs, metformin, NSAIDs).</w:t>
            </w:r>
          </w:p>
          <w:p w14:paraId="6B760853" w14:textId="77777777" w:rsidR="006B2873" w:rsidRDefault="006B2873" w:rsidP="009D44F4">
            <w:pPr>
              <w:pStyle w:val="ComparatorSpecBoxSpacing"/>
            </w:pPr>
            <w:r>
              <w:t>Patients should be advised about how to minimise their risk of AKI in accordance with the Guidance for Medicines Optimisation for patients with AKI</w:t>
            </w:r>
            <w:r w:rsidRPr="003B36E1">
              <w:t xml:space="preserve"> </w:t>
            </w:r>
          </w:p>
          <w:p w14:paraId="2A2A3C2F" w14:textId="7AE571F3" w:rsidR="006B2873" w:rsidRPr="00F9716D" w:rsidRDefault="006B2873" w:rsidP="009D44F4">
            <w:pPr>
              <w:pStyle w:val="ComparatorSpecBoxSpacing"/>
            </w:pPr>
            <w:hyperlink r:id="rId21" w:history="1">
              <w:r w:rsidRPr="00F9716D">
                <w:rPr>
                  <w:rStyle w:val="Hyperlink"/>
                </w:rPr>
                <w:t>https://www.thinkkidneys.nhs.uk/aki/wp-content/uploads/sites/2/2016/03/Guidelines-for-Medicines-optimisation-in-patients-with-AKI-final.pdf</w:t>
              </w:r>
            </w:hyperlink>
          </w:p>
          <w:p w14:paraId="6FCB744D" w14:textId="77777777" w:rsidR="006B2873" w:rsidRPr="00172BA1" w:rsidRDefault="006B2873" w:rsidP="009D44F4">
            <w:pPr>
              <w:pStyle w:val="ComparatorSPecBoxBold"/>
            </w:pPr>
            <w:r w:rsidRPr="00172BA1">
              <w:t>Supporting Evidence</w:t>
            </w:r>
          </w:p>
          <w:p w14:paraId="6B39AB07" w14:textId="4F515EFA" w:rsidR="006B2873" w:rsidRDefault="006B2873" w:rsidP="009D44F4">
            <w:pPr>
              <w:pStyle w:val="ComparatorSpecBoxSpacing"/>
              <w:rPr>
                <w:color w:val="0000FF"/>
                <w:u w:val="single"/>
              </w:rPr>
            </w:pPr>
            <w:hyperlink r:id="rId22" w:history="1">
              <w:r w:rsidRPr="003B36E1">
                <w:rPr>
                  <w:color w:val="0000FF"/>
                  <w:u w:val="single"/>
                </w:rPr>
                <w:t>http://www.ncbi.nlm.nih.gov/pmc/articles/PMC4255835/</w:t>
              </w:r>
            </w:hyperlink>
          </w:p>
          <w:p w14:paraId="58BE07BE" w14:textId="7FB585A4" w:rsidR="006B2873" w:rsidRDefault="006B2873" w:rsidP="009D44F4">
            <w:pPr>
              <w:pStyle w:val="ComparatorSpecBoxSpacing"/>
            </w:pPr>
            <w:hyperlink r:id="rId23" w:history="1">
              <w:r w:rsidRPr="00E81290">
                <w:rPr>
                  <w:rStyle w:val="Hyperlink"/>
                </w:rPr>
                <w:t>https://www.thinkkidneys.nhs.uk/aki/wp-content/uploads/sites/2/2016/03/Guidelines-for-Medicines-optimisation-in-patients-with-AKI-final.pdf</w:t>
              </w:r>
            </w:hyperlink>
          </w:p>
          <w:p w14:paraId="4ECF0108" w14:textId="12E98FA5" w:rsidR="006B2873" w:rsidRPr="003B36E1" w:rsidRDefault="009803C4" w:rsidP="009D44F4">
            <w:pPr>
              <w:pStyle w:val="ComparatorSpecBoxSpacing"/>
              <w:rPr>
                <w:u w:val="single"/>
              </w:rPr>
            </w:pPr>
            <w:hyperlink r:id="rId24" w:history="1">
              <w:r w:rsidRPr="00814CC4">
                <w:rPr>
                  <w:rStyle w:val="Hyperlink"/>
                </w:rPr>
                <w:t>https://web.archive.org/web/20170903133827/http://www.scottishpatientsafetyprogramme.scot.nhs.uk/programmes/primary-care/medicine-sick-day-rules-card</w:t>
              </w:r>
            </w:hyperlink>
            <w:r>
              <w:rPr>
                <w:u w:val="single"/>
              </w:rPr>
              <w:t xml:space="preserve"> </w:t>
            </w:r>
          </w:p>
        </w:tc>
      </w:tr>
    </w:tbl>
    <w:p w14:paraId="7E9D63F9" w14:textId="3F8405FD" w:rsidR="00162CD3" w:rsidRDefault="006B2873" w:rsidP="001D3131">
      <w:pPr>
        <w:pStyle w:val="Heading2"/>
      </w:pPr>
      <w:r>
        <w:br w:type="page"/>
      </w:r>
      <w:bookmarkStart w:id="90" w:name="_Toc234231964"/>
      <w:bookmarkEnd w:id="82"/>
      <w:bookmarkEnd w:id="83"/>
      <w:bookmarkEnd w:id="84"/>
      <w:r w:rsidR="00BF1A26" w:rsidRPr="001F52F3">
        <w:lastRenderedPageBreak/>
        <w:t>Patients prescribed 2, 3 or 4 (or more) medicines with moderate to high anticholinergic burden</w:t>
      </w:r>
      <w:bookmarkEnd w:id="90"/>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801"/>
        <w:gridCol w:w="7087"/>
      </w:tblGrid>
      <w:tr w:rsidR="00143A50" w:rsidRPr="00227156" w14:paraId="6D3BED09" w14:textId="77777777" w:rsidTr="003C2F80">
        <w:tc>
          <w:tcPr>
            <w:tcW w:w="9781" w:type="dxa"/>
            <w:gridSpan w:val="3"/>
            <w:shd w:val="clear" w:color="auto" w:fill="D9D9D9"/>
          </w:tcPr>
          <w:p w14:paraId="77114974" w14:textId="77777777" w:rsidR="00143A50" w:rsidRPr="001F52F3" w:rsidRDefault="00143A50" w:rsidP="003C2F80">
            <w:pPr>
              <w:pStyle w:val="ComparatorSPecBoxBold"/>
            </w:pPr>
            <w:r w:rsidRPr="001F52F3">
              <w:t xml:space="preserve">Section 1: </w:t>
            </w:r>
            <w:r w:rsidRPr="003C2F80">
              <w:t>Introduction</w:t>
            </w:r>
            <w:r w:rsidRPr="001F52F3">
              <w:t xml:space="preserve"> / Overview</w:t>
            </w:r>
          </w:p>
        </w:tc>
      </w:tr>
      <w:tr w:rsidR="00143A50" w:rsidRPr="00227156" w14:paraId="28A33FAE" w14:textId="77777777" w:rsidTr="00460B48">
        <w:tc>
          <w:tcPr>
            <w:tcW w:w="893" w:type="dxa"/>
            <w:shd w:val="clear" w:color="auto" w:fill="D9D9D9"/>
          </w:tcPr>
          <w:p w14:paraId="2F0162E3" w14:textId="77777777" w:rsidR="00162CD3" w:rsidRPr="00143A50" w:rsidRDefault="00162CD3" w:rsidP="00D55E06">
            <w:pPr>
              <w:pStyle w:val="ComparatorSPecBoxBold"/>
            </w:pPr>
            <w:r w:rsidRPr="00143A50">
              <w:t>1.1</w:t>
            </w:r>
          </w:p>
        </w:tc>
        <w:tc>
          <w:tcPr>
            <w:tcW w:w="1801" w:type="dxa"/>
            <w:shd w:val="clear" w:color="auto" w:fill="D9D9D9"/>
          </w:tcPr>
          <w:p w14:paraId="633B789A" w14:textId="77777777" w:rsidR="00162CD3" w:rsidRPr="001F52F3" w:rsidRDefault="00162CD3" w:rsidP="00D55E06">
            <w:pPr>
              <w:pStyle w:val="ComparatorSPecBoxBold"/>
            </w:pPr>
            <w:r w:rsidRPr="001F52F3">
              <w:t>Title</w:t>
            </w:r>
          </w:p>
        </w:tc>
        <w:tc>
          <w:tcPr>
            <w:tcW w:w="7087" w:type="dxa"/>
          </w:tcPr>
          <w:p w14:paraId="7B8E997D" w14:textId="77777777" w:rsidR="00162CD3" w:rsidRPr="001F52F3" w:rsidRDefault="00162CD3" w:rsidP="00D55E06">
            <w:pPr>
              <w:pStyle w:val="ComparatorSpecBoxSpacing"/>
            </w:pPr>
            <w:r w:rsidRPr="001F52F3">
              <w:t xml:space="preserve">Patients prescribed 2, 3 or 4 (or more) medicines with moderate to high anticholinergic burden </w:t>
            </w:r>
          </w:p>
        </w:tc>
      </w:tr>
      <w:tr w:rsidR="00143A50" w:rsidRPr="00227156" w14:paraId="468678AF" w14:textId="77777777" w:rsidTr="00460B48">
        <w:tc>
          <w:tcPr>
            <w:tcW w:w="893" w:type="dxa"/>
            <w:shd w:val="clear" w:color="auto" w:fill="D9D9D9"/>
          </w:tcPr>
          <w:p w14:paraId="19CEC603" w14:textId="77777777" w:rsidR="00162CD3" w:rsidRPr="00143A50" w:rsidRDefault="00162CD3" w:rsidP="00D55E06">
            <w:pPr>
              <w:pStyle w:val="ComparatorSPecBoxBold"/>
            </w:pPr>
            <w:r w:rsidRPr="00143A50">
              <w:t>1.2</w:t>
            </w:r>
          </w:p>
        </w:tc>
        <w:tc>
          <w:tcPr>
            <w:tcW w:w="1801" w:type="dxa"/>
            <w:shd w:val="clear" w:color="auto" w:fill="D9D9D9"/>
          </w:tcPr>
          <w:p w14:paraId="2C8F25BA" w14:textId="77777777" w:rsidR="00162CD3" w:rsidRPr="001F52F3" w:rsidRDefault="00162CD3" w:rsidP="00D55E06">
            <w:pPr>
              <w:pStyle w:val="ComparatorSPecBoxBold"/>
            </w:pPr>
            <w:r w:rsidRPr="001F52F3">
              <w:t>MO Theme</w:t>
            </w:r>
          </w:p>
        </w:tc>
        <w:tc>
          <w:tcPr>
            <w:tcW w:w="7087" w:type="dxa"/>
          </w:tcPr>
          <w:p w14:paraId="0AA712BC" w14:textId="77777777" w:rsidR="00162CD3" w:rsidRPr="00227156" w:rsidRDefault="00162CD3" w:rsidP="00D55E06">
            <w:pPr>
              <w:pStyle w:val="ComparatorSpecBoxSpacing"/>
              <w:rPr>
                <w:rFonts w:eastAsia="Calibri"/>
              </w:rPr>
            </w:pPr>
            <w:r w:rsidRPr="00227156">
              <w:rPr>
                <w:rFonts w:eastAsia="Calibri"/>
              </w:rPr>
              <w:t>Polypharmacy</w:t>
            </w:r>
          </w:p>
        </w:tc>
      </w:tr>
      <w:tr w:rsidR="00143A50" w:rsidRPr="00227156" w14:paraId="1B66BDDB" w14:textId="77777777" w:rsidTr="00460B48">
        <w:tc>
          <w:tcPr>
            <w:tcW w:w="893" w:type="dxa"/>
            <w:shd w:val="clear" w:color="auto" w:fill="D9D9D9"/>
          </w:tcPr>
          <w:p w14:paraId="2FD0A8DE" w14:textId="77777777" w:rsidR="00162CD3" w:rsidRPr="00143A50" w:rsidRDefault="00162CD3" w:rsidP="00D55E06">
            <w:pPr>
              <w:pStyle w:val="ComparatorSPecBoxBold"/>
            </w:pPr>
            <w:r w:rsidRPr="00143A50">
              <w:t>1.3</w:t>
            </w:r>
          </w:p>
        </w:tc>
        <w:tc>
          <w:tcPr>
            <w:tcW w:w="1801" w:type="dxa"/>
            <w:shd w:val="clear" w:color="auto" w:fill="D9D9D9"/>
          </w:tcPr>
          <w:p w14:paraId="72EB1793" w14:textId="77777777" w:rsidR="00162CD3" w:rsidRPr="001F52F3" w:rsidRDefault="00162CD3" w:rsidP="00D55E06">
            <w:pPr>
              <w:pStyle w:val="ComparatorSPecBoxBold"/>
            </w:pPr>
            <w:r w:rsidRPr="001F52F3">
              <w:t>Definition</w:t>
            </w:r>
          </w:p>
        </w:tc>
        <w:tc>
          <w:tcPr>
            <w:tcW w:w="7087" w:type="dxa"/>
          </w:tcPr>
          <w:p w14:paraId="3FF454D1" w14:textId="77777777" w:rsidR="00162CD3" w:rsidRPr="001F52F3" w:rsidRDefault="00162CD3" w:rsidP="00D55E06">
            <w:pPr>
              <w:pStyle w:val="ComparatorSpecBoxSpacing"/>
            </w:pPr>
            <w:r w:rsidRPr="00227156">
              <w:rPr>
                <w:rFonts w:eastAsia="Calibri"/>
              </w:rPr>
              <w:t xml:space="preserve">Number of patients (all ages, aged 17 or under, 18 to 24, 25 to 34, 35 to 44, 45 to 54, 55 to 64, 65 to 74, 75 to 84 and 85 or over) </w:t>
            </w:r>
            <w:r w:rsidRPr="001F52F3">
              <w:t xml:space="preserve">prescribed 2, 3 or 4 (or more) unique medicines with moderate to high anticholinergic burden </w:t>
            </w:r>
            <w:r w:rsidRPr="00227156">
              <w:rPr>
                <w:rFonts w:eastAsia="Calibri"/>
              </w:rPr>
              <w:t xml:space="preserve">as a percentage of patients (all ages, aged 17 or under, 18 to 24, 25 to 34, 35 to 44, 45 to 54, 55 to 64, 65 to 74, 75 to 84 and 85 or over) prescribed one or more medicines </w:t>
            </w:r>
            <w:r w:rsidRPr="001F52F3">
              <w:t xml:space="preserve">with moderate to high anticholinergic burden </w:t>
            </w:r>
            <w:r w:rsidRPr="00227156">
              <w:rPr>
                <w:rFonts w:eastAsia="Calibri"/>
              </w:rPr>
              <w:t>in the same reporting period.</w:t>
            </w:r>
          </w:p>
        </w:tc>
      </w:tr>
      <w:tr w:rsidR="00143A50" w:rsidRPr="00227156" w14:paraId="687FD315" w14:textId="77777777" w:rsidTr="00460B48">
        <w:tc>
          <w:tcPr>
            <w:tcW w:w="893" w:type="dxa"/>
            <w:shd w:val="clear" w:color="auto" w:fill="D9D9D9"/>
          </w:tcPr>
          <w:p w14:paraId="4F8E2B90" w14:textId="77777777" w:rsidR="00162CD3" w:rsidRPr="00143A50" w:rsidRDefault="00162CD3" w:rsidP="00D55E06">
            <w:pPr>
              <w:pStyle w:val="ComparatorSPecBoxBold"/>
            </w:pPr>
            <w:r w:rsidRPr="00143A50">
              <w:t>1.4</w:t>
            </w:r>
          </w:p>
        </w:tc>
        <w:tc>
          <w:tcPr>
            <w:tcW w:w="1801" w:type="dxa"/>
            <w:shd w:val="clear" w:color="auto" w:fill="D9D9D9"/>
          </w:tcPr>
          <w:p w14:paraId="1C2A0536" w14:textId="77777777" w:rsidR="00162CD3" w:rsidRPr="001F52F3" w:rsidRDefault="00162CD3" w:rsidP="00D55E06">
            <w:pPr>
              <w:pStyle w:val="ComparatorSPecBoxBold"/>
            </w:pPr>
            <w:r w:rsidRPr="001F52F3">
              <w:t>Reporting Level</w:t>
            </w:r>
          </w:p>
        </w:tc>
        <w:tc>
          <w:tcPr>
            <w:tcW w:w="7087" w:type="dxa"/>
          </w:tcPr>
          <w:p w14:paraId="1316B08D" w14:textId="77777777" w:rsidR="00162CD3" w:rsidRPr="00227156" w:rsidRDefault="00162CD3" w:rsidP="00D55E06">
            <w:pPr>
              <w:pStyle w:val="ComparatorSpecBoxSpacing"/>
              <w:rPr>
                <w:rFonts w:eastAsia="Calibri"/>
              </w:rPr>
            </w:pPr>
            <w:r w:rsidRPr="001F52F3">
              <w:t xml:space="preserve">Practice level (aggregated to PCN, SICBL, </w:t>
            </w:r>
            <w:r w:rsidR="002C2F02">
              <w:t>HIN</w:t>
            </w:r>
            <w:r w:rsidRPr="001F52F3">
              <w:t>, ICB, Regional and England level)</w:t>
            </w:r>
          </w:p>
        </w:tc>
      </w:tr>
      <w:tr w:rsidR="00143A50" w:rsidRPr="00227156" w14:paraId="094970AF" w14:textId="77777777" w:rsidTr="00460B48">
        <w:tc>
          <w:tcPr>
            <w:tcW w:w="893" w:type="dxa"/>
            <w:shd w:val="clear" w:color="auto" w:fill="D9D9D9"/>
          </w:tcPr>
          <w:p w14:paraId="0AD1BFDF" w14:textId="77777777" w:rsidR="00162CD3" w:rsidRPr="00143A50" w:rsidRDefault="00162CD3" w:rsidP="00D55E06">
            <w:pPr>
              <w:pStyle w:val="ComparatorSPecBoxBold"/>
            </w:pPr>
            <w:r w:rsidRPr="00143A50">
              <w:t>1.5</w:t>
            </w:r>
          </w:p>
        </w:tc>
        <w:tc>
          <w:tcPr>
            <w:tcW w:w="1801" w:type="dxa"/>
            <w:shd w:val="clear" w:color="auto" w:fill="D9D9D9"/>
          </w:tcPr>
          <w:p w14:paraId="2BBA8F6D" w14:textId="77777777" w:rsidR="00162CD3" w:rsidRPr="001F52F3" w:rsidRDefault="00162CD3" w:rsidP="00D55E06">
            <w:pPr>
              <w:pStyle w:val="ComparatorSPecBoxBold"/>
            </w:pPr>
            <w:r w:rsidRPr="001F52F3">
              <w:t>Numerator</w:t>
            </w:r>
          </w:p>
        </w:tc>
        <w:tc>
          <w:tcPr>
            <w:tcW w:w="7087" w:type="dxa"/>
          </w:tcPr>
          <w:p w14:paraId="2F1D1207" w14:textId="4B5153B3" w:rsidR="00162CD3" w:rsidRPr="001F52F3" w:rsidRDefault="00162CD3" w:rsidP="00D55E06">
            <w:pPr>
              <w:pStyle w:val="ComparatorSpecBoxSpacing"/>
            </w:pPr>
            <w:r w:rsidRPr="00227156">
              <w:rPr>
                <w:rFonts w:eastAsia="Calibri"/>
              </w:rPr>
              <w:t xml:space="preserve">Number of patients (all ages, aged 17 or under, 18 to 24, 25 to 34, 35 to 44, 45 to 54, 55 to 64, 65 to 74, 75 to 84 and 85 or over) </w:t>
            </w:r>
            <w:r w:rsidRPr="001F52F3">
              <w:t>prescribed 2, 3 or 4 (or more) unique medicines (chemical substances) with moderate to high anticholinergic burden in the same reporting period.</w:t>
            </w:r>
            <w:r w:rsidR="00460B48">
              <w:t xml:space="preserve"> See </w:t>
            </w:r>
            <w:r w:rsidR="00460B48">
              <w:fldChar w:fldCharType="begin"/>
            </w:r>
            <w:r w:rsidR="00460B48">
              <w:instrText xml:space="preserve"> REF _Ref208830593 \r \h </w:instrText>
            </w:r>
            <w:r w:rsidR="00460B48">
              <w:fldChar w:fldCharType="separate"/>
            </w:r>
            <w:r w:rsidR="00460B48">
              <w:t>Appendix 3</w:t>
            </w:r>
            <w:r w:rsidR="00460B48">
              <w:fldChar w:fldCharType="end"/>
            </w:r>
            <w:r w:rsidR="00460B48">
              <w:t xml:space="preserve"> for the list of medicines.</w:t>
            </w:r>
          </w:p>
        </w:tc>
      </w:tr>
      <w:tr w:rsidR="00143A50" w:rsidRPr="00227156" w14:paraId="4943DA2E" w14:textId="77777777" w:rsidTr="00460B48">
        <w:tc>
          <w:tcPr>
            <w:tcW w:w="893" w:type="dxa"/>
            <w:shd w:val="clear" w:color="auto" w:fill="D9D9D9"/>
          </w:tcPr>
          <w:p w14:paraId="6174B0C1" w14:textId="77777777" w:rsidR="00162CD3" w:rsidRPr="00143A50" w:rsidRDefault="00162CD3" w:rsidP="00D55E06">
            <w:pPr>
              <w:pStyle w:val="ComparatorSPecBoxBold"/>
            </w:pPr>
            <w:r w:rsidRPr="00143A50">
              <w:t>1.6</w:t>
            </w:r>
          </w:p>
        </w:tc>
        <w:tc>
          <w:tcPr>
            <w:tcW w:w="1801" w:type="dxa"/>
            <w:shd w:val="clear" w:color="auto" w:fill="D9D9D9"/>
          </w:tcPr>
          <w:p w14:paraId="54ADCB61" w14:textId="77777777" w:rsidR="00162CD3" w:rsidRPr="001F52F3" w:rsidRDefault="00162CD3" w:rsidP="00D55E06">
            <w:pPr>
              <w:pStyle w:val="ComparatorSPecBoxBold"/>
            </w:pPr>
            <w:r w:rsidRPr="001F52F3">
              <w:t xml:space="preserve">Denominator </w:t>
            </w:r>
          </w:p>
        </w:tc>
        <w:tc>
          <w:tcPr>
            <w:tcW w:w="7087" w:type="dxa"/>
          </w:tcPr>
          <w:p w14:paraId="2A603E54" w14:textId="77777777" w:rsidR="00162CD3" w:rsidRPr="001F52F3" w:rsidRDefault="00162CD3" w:rsidP="00D55E06">
            <w:pPr>
              <w:pStyle w:val="ComparatorSpecBoxSpacing"/>
            </w:pPr>
            <w:r w:rsidRPr="001F52F3">
              <w:t xml:space="preserve">Number of patients </w:t>
            </w:r>
            <w:r w:rsidRPr="00227156">
              <w:rPr>
                <w:rFonts w:eastAsia="Calibri"/>
              </w:rPr>
              <w:t xml:space="preserve">(all ages, aged 17 or under, 18 to 24, 25 to 34, 35 to 44, 45 to 54, 55 to 64, 65 to 74, 75 to 84 and 85 or over) </w:t>
            </w:r>
            <w:r w:rsidRPr="001F52F3">
              <w:t>prescribed one or more medicines (chemical substances) with moderate to high anticholinergic burden (see numerator list).</w:t>
            </w:r>
          </w:p>
        </w:tc>
      </w:tr>
      <w:tr w:rsidR="00162CD3" w:rsidRPr="00227156" w14:paraId="268BA270" w14:textId="77777777" w:rsidTr="00460B48">
        <w:trPr>
          <w:trHeight w:val="259"/>
        </w:trPr>
        <w:tc>
          <w:tcPr>
            <w:tcW w:w="9781" w:type="dxa"/>
            <w:gridSpan w:val="3"/>
            <w:shd w:val="clear" w:color="auto" w:fill="D9D9D9"/>
          </w:tcPr>
          <w:p w14:paraId="4B16035B" w14:textId="77777777" w:rsidR="00162CD3" w:rsidRPr="001F52F3" w:rsidRDefault="00162CD3" w:rsidP="00D55E06">
            <w:pPr>
              <w:pStyle w:val="ComparatorSPecBoxBold"/>
            </w:pPr>
            <w:r w:rsidRPr="001F52F3">
              <w:t>Section 2: Rationale</w:t>
            </w:r>
          </w:p>
        </w:tc>
      </w:tr>
      <w:tr w:rsidR="00143A50" w:rsidRPr="00227156" w14:paraId="58D35DCB" w14:textId="77777777" w:rsidTr="00460B48">
        <w:trPr>
          <w:trHeight w:val="1266"/>
        </w:trPr>
        <w:tc>
          <w:tcPr>
            <w:tcW w:w="893" w:type="dxa"/>
            <w:shd w:val="clear" w:color="auto" w:fill="D9D9D9"/>
          </w:tcPr>
          <w:p w14:paraId="55E35723" w14:textId="77777777" w:rsidR="00162CD3" w:rsidRPr="00143A50" w:rsidRDefault="00162CD3" w:rsidP="00D55E06">
            <w:pPr>
              <w:pStyle w:val="ComparatorSPecBoxBold"/>
            </w:pPr>
            <w:r w:rsidRPr="00143A50">
              <w:t>2.1</w:t>
            </w:r>
          </w:p>
        </w:tc>
        <w:tc>
          <w:tcPr>
            <w:tcW w:w="1801" w:type="dxa"/>
            <w:shd w:val="clear" w:color="auto" w:fill="D9D9D9"/>
          </w:tcPr>
          <w:p w14:paraId="0D92B940" w14:textId="77777777" w:rsidR="00162CD3" w:rsidRPr="001F52F3" w:rsidRDefault="00162CD3" w:rsidP="00D55E06">
            <w:pPr>
              <w:pStyle w:val="ComparatorSPecBoxBold"/>
            </w:pPr>
            <w:r w:rsidRPr="001F52F3">
              <w:t>Rationale /Comments</w:t>
            </w:r>
          </w:p>
        </w:tc>
        <w:tc>
          <w:tcPr>
            <w:tcW w:w="7087" w:type="dxa"/>
          </w:tcPr>
          <w:p w14:paraId="50D9966E" w14:textId="77777777" w:rsidR="007B4825" w:rsidRPr="00CC0BC6" w:rsidRDefault="007B4825" w:rsidP="00D55E06">
            <w:pPr>
              <w:pStyle w:val="ComparatorSpecBoxSpacing"/>
            </w:pPr>
            <w:r w:rsidRPr="00CC0BC6">
              <w:t xml:space="preserve">Anticholinergic burden refers to the cumulative effect of taking multiple medicines with anti-cholinergic activity. Frequently prescribed anticholinergic medicines include antidepressants, antiemetics, antipsychotics and some medicines for urinary urgency and incontinence. </w:t>
            </w:r>
          </w:p>
          <w:p w14:paraId="57037CC8" w14:textId="28F08858" w:rsidR="007B4825" w:rsidRPr="00CC0BC6" w:rsidRDefault="007B4825" w:rsidP="00D55E06">
            <w:pPr>
              <w:pStyle w:val="ComparatorSpecBoxSpacing"/>
            </w:pPr>
            <w:r w:rsidRPr="00CC0BC6">
              <w:t>Anticholinergic adverse effects are generally dose dependant and may include drowsiness, restlessness, impaired concentration and even severe agitation and delirium. Peripheral effects include dry mouth, constipation, tachycardia, blurr</w:t>
            </w:r>
            <w:r w:rsidR="00D55E06">
              <w:t>e</w:t>
            </w:r>
            <w:r w:rsidRPr="00CC0BC6">
              <w:t xml:space="preserve">d vision, dilated pupils and urinary retention. </w:t>
            </w:r>
          </w:p>
          <w:p w14:paraId="3BD6F7AC" w14:textId="77777777" w:rsidR="007B4825" w:rsidRPr="00CC0BC6" w:rsidRDefault="007B4825" w:rsidP="00D55E06">
            <w:pPr>
              <w:pStyle w:val="ComparatorSpecBoxSpacing"/>
            </w:pPr>
            <w:r w:rsidRPr="00CC0BC6">
              <w:t xml:space="preserve">Long term use of anticholinergic medicines is associated with reduced mobility, cognitive impairment and event dementia. Older people are at higher risk of anticholinergic burden due to age related changes in physiology and increased likelihood of multiple morbidities requiring management with anticholinergic medicines. </w:t>
            </w:r>
          </w:p>
          <w:p w14:paraId="40E8545B" w14:textId="6418E3FC" w:rsidR="007B4825" w:rsidRPr="009804A5" w:rsidRDefault="007B4825" w:rsidP="00460B48">
            <w:pPr>
              <w:pStyle w:val="ComparatorSPecBoxBold"/>
            </w:pPr>
            <w:r w:rsidRPr="009804A5">
              <w:t>Rational</w:t>
            </w:r>
            <w:r w:rsidR="009804A5" w:rsidRPr="009804A5">
              <w:t>e</w:t>
            </w:r>
            <w:r w:rsidRPr="009804A5">
              <w:t xml:space="preserve"> for inclusion</w:t>
            </w:r>
          </w:p>
          <w:p w14:paraId="2BF8FCDA" w14:textId="77777777" w:rsidR="007B4825" w:rsidRPr="00CC0BC6" w:rsidRDefault="007B4825" w:rsidP="00D55E06">
            <w:pPr>
              <w:pStyle w:val="ComparatorSpecBoxSpacing"/>
            </w:pPr>
            <w:r w:rsidRPr="00CC0BC6">
              <w:t xml:space="preserve">Anticholinergic burden rates were </w:t>
            </w:r>
            <w:r w:rsidRPr="007B4825">
              <w:t>included</w:t>
            </w:r>
            <w:r w:rsidRPr="00CC0BC6">
              <w:t xml:space="preserve"> to enable prescribers and their organisations to look at rates of anticholinergic burden especially in their older patients and address this common cause of adverse drug reactions. </w:t>
            </w:r>
          </w:p>
          <w:p w14:paraId="0A091037" w14:textId="26854266" w:rsidR="00162CD3" w:rsidRPr="001F52F3" w:rsidRDefault="00162CD3" w:rsidP="00D55E06">
            <w:pPr>
              <w:pStyle w:val="ComparatorSpecBoxSpacing"/>
            </w:pPr>
            <w:r w:rsidRPr="001F52F3">
              <w:t>Users should be aware that there is no one definitive, evidence-based way to calculate a</w:t>
            </w:r>
            <w:r w:rsidR="00D55E06">
              <w:t>n</w:t>
            </w:r>
            <w:r w:rsidRPr="001F52F3">
              <w:t xml:space="preserve"> ACB score. This method has been developed by the working group with the best of intentions. It is experimental and we are open to suggestions for improvement. The comparator is intended to firstly alert health care professionals to the issues of the impact of prescribing multiple medicines with anticholinergic side effects and then help practices to identify how their prescribing compares to the rest of the country, identify patients deemed to be at greatest risk from harm and to call them in for a medication review with the aim of reducing anticholinergic burden where appropriate. </w:t>
            </w:r>
          </w:p>
          <w:p w14:paraId="0E370525" w14:textId="77777777" w:rsidR="00162CD3" w:rsidRPr="001F52F3" w:rsidRDefault="00162CD3" w:rsidP="00D55E06">
            <w:pPr>
              <w:pStyle w:val="ComparatorSpecBoxSpacing"/>
            </w:pPr>
            <w:r w:rsidRPr="001F52F3">
              <w:t xml:space="preserve">The </w:t>
            </w:r>
            <w:r w:rsidR="007B4825">
              <w:t xml:space="preserve">first iteration of the </w:t>
            </w:r>
            <w:r w:rsidRPr="001F52F3">
              <w:t xml:space="preserve">comparator measures </w:t>
            </w:r>
            <w:r w:rsidR="007B4825">
              <w:t xml:space="preserve">identified </w:t>
            </w:r>
            <w:r w:rsidRPr="001F52F3">
              <w:t>number</w:t>
            </w:r>
            <w:r w:rsidR="007B4825">
              <w:t>s</w:t>
            </w:r>
            <w:r w:rsidRPr="001F52F3">
              <w:t xml:space="preserve"> of patients with ACB score 6/9/12 using the following </w:t>
            </w:r>
            <w:proofErr w:type="spellStart"/>
            <w:r w:rsidRPr="001F52F3">
              <w:t>AgingBrainCare</w:t>
            </w:r>
            <w:proofErr w:type="spellEnd"/>
            <w:r w:rsidRPr="001F52F3">
              <w:t xml:space="preserve"> scoring system of anticholinergic </w:t>
            </w:r>
            <w:r w:rsidRPr="001F52F3">
              <w:lastRenderedPageBreak/>
              <w:t>burden.</w:t>
            </w:r>
          </w:p>
          <w:p w14:paraId="6FCD268B" w14:textId="77777777" w:rsidR="00162CD3" w:rsidRPr="001F52F3" w:rsidRDefault="00162CD3" w:rsidP="001D3131">
            <w:pPr>
              <w:pStyle w:val="NHSFormatting"/>
            </w:pPr>
            <w:r w:rsidRPr="001F52F3">
              <w:t xml:space="preserve">1 = low </w:t>
            </w:r>
          </w:p>
          <w:p w14:paraId="2C4C94FD" w14:textId="77777777" w:rsidR="00162CD3" w:rsidRPr="001F52F3" w:rsidRDefault="00162CD3" w:rsidP="001D3131">
            <w:pPr>
              <w:pStyle w:val="NHSFormatting"/>
            </w:pPr>
            <w:r w:rsidRPr="001F52F3">
              <w:t>2 = moderate</w:t>
            </w:r>
          </w:p>
          <w:p w14:paraId="10FC765E" w14:textId="77777777" w:rsidR="00162CD3" w:rsidRPr="001F52F3" w:rsidRDefault="00162CD3" w:rsidP="001D3131">
            <w:pPr>
              <w:pStyle w:val="NHSFormatting"/>
            </w:pPr>
            <w:r w:rsidRPr="001F52F3">
              <w:t>3 = high</w:t>
            </w:r>
          </w:p>
          <w:p w14:paraId="4055C06D" w14:textId="77777777" w:rsidR="00162CD3" w:rsidRPr="00227156" w:rsidRDefault="00162CD3" w:rsidP="00D55E06">
            <w:pPr>
              <w:pStyle w:val="ComparatorSpecBoxSpacing"/>
              <w:rPr>
                <w:rStyle w:val="normaltextrun1"/>
                <w:bCs/>
                <w:color w:val="0F0F0F"/>
              </w:rPr>
            </w:pPr>
            <w:r w:rsidRPr="001F52F3">
              <w:t>T</w:t>
            </w:r>
            <w:r w:rsidR="007B4825">
              <w:t>his</w:t>
            </w:r>
            <w:r w:rsidRPr="001F52F3">
              <w:t xml:space="preserve"> previous scoring system can no longer be used as the original source of this work has been removed. To review the evidence base for assessing a drug’s anticholinergic burden, UKMI conducted a </w:t>
            </w:r>
            <w:r w:rsidRPr="00227156">
              <w:rPr>
                <w:rStyle w:val="normaltextrun1"/>
                <w:bCs/>
                <w:color w:val="0F0F0F"/>
              </w:rPr>
              <w:t xml:space="preserve">literature review. This formed the basis of the scoring system used here. </w:t>
            </w:r>
          </w:p>
          <w:p w14:paraId="5B41334F" w14:textId="77777777" w:rsidR="00162CD3" w:rsidRPr="00227156" w:rsidRDefault="00162CD3" w:rsidP="00D55E06">
            <w:pPr>
              <w:pStyle w:val="ComparatorSpecBoxSpacing"/>
              <w:rPr>
                <w:rStyle w:val="normaltextrun1"/>
                <w:bCs/>
                <w:color w:val="0F0F0F"/>
              </w:rPr>
            </w:pPr>
            <w:r w:rsidRPr="00227156">
              <w:rPr>
                <w:rStyle w:val="normaltextrun1"/>
                <w:bCs/>
                <w:color w:val="0F0F0F"/>
              </w:rPr>
              <w:t>Over time, and working with NHS Digital, we aim to be able to work backward from unplanned admissions and link to real world data to understand which drugs cause the most harm. For now, this is a consensus scoring system agreed by the polypharmacy working group.</w:t>
            </w:r>
          </w:p>
          <w:p w14:paraId="72A9FF75" w14:textId="77777777" w:rsidR="00162CD3" w:rsidRPr="00227156" w:rsidRDefault="00162CD3" w:rsidP="00D55E06">
            <w:pPr>
              <w:pStyle w:val="ComparatorSpecBoxSpacing"/>
              <w:rPr>
                <w:rStyle w:val="normaltextrun1"/>
                <w:bCs/>
                <w:color w:val="0F0F0F"/>
              </w:rPr>
            </w:pPr>
            <w:r w:rsidRPr="00227156">
              <w:rPr>
                <w:rStyle w:val="advancedproofingissue"/>
                <w:bCs/>
                <w:color w:val="0F0F0F"/>
              </w:rPr>
              <w:t>Several</w:t>
            </w:r>
            <w:r w:rsidRPr="00227156">
              <w:rPr>
                <w:rStyle w:val="normaltextrun1"/>
                <w:bCs/>
                <w:color w:val="0F0F0F"/>
              </w:rPr>
              <w:t xml:space="preserve"> differing scales were identified, including some that are validated tools for assessing anticholinergic burden. There are significant differences between the scales but there is insufficient evidence to recommend one over the others. </w:t>
            </w:r>
          </w:p>
          <w:p w14:paraId="465C99D0" w14:textId="77777777" w:rsidR="00162CD3" w:rsidRPr="00227156" w:rsidRDefault="00162CD3" w:rsidP="00D55E06">
            <w:pPr>
              <w:pStyle w:val="ComparatorSpecBoxSpacing"/>
              <w:rPr>
                <w:rStyle w:val="normaltextrun1"/>
                <w:bCs/>
                <w:color w:val="0F0F0F"/>
              </w:rPr>
            </w:pPr>
            <w:r w:rsidRPr="00227156">
              <w:rPr>
                <w:rStyle w:val="normaltextrun1"/>
                <w:bCs/>
                <w:color w:val="0F0F0F"/>
              </w:rPr>
              <w:t>Medicines with varying degree anticholinergic burden (activity, risk) have been identified through a literature review undertaken NHS England Specialised Pharmacy Services (SPS) on the topic of anticholinergic burden. 12 primary references were identified in the literature search detailing s</w:t>
            </w:r>
            <w:r w:rsidRPr="00227156">
              <w:rPr>
                <w:rStyle w:val="advancedproofingissue"/>
                <w:bCs/>
                <w:color w:val="0F0F0F"/>
              </w:rPr>
              <w:t>everal</w:t>
            </w:r>
            <w:r w:rsidRPr="00227156">
              <w:rPr>
                <w:rStyle w:val="normaltextrun1"/>
                <w:bCs/>
                <w:color w:val="0F0F0F"/>
              </w:rPr>
              <w:t xml:space="preserve"> differing scales, including some that are validated tools for assessing anticholinergic burden. There are significant differences between the scales but there is insufficient evidence to recommend one over the others. </w:t>
            </w:r>
          </w:p>
          <w:p w14:paraId="44F7394C" w14:textId="4C04888C" w:rsidR="00162CD3" w:rsidRPr="00227156" w:rsidRDefault="00162CD3" w:rsidP="00D55E06">
            <w:pPr>
              <w:pStyle w:val="ComparatorSpecBoxSpacing"/>
              <w:rPr>
                <w:rFonts w:eastAsia="Calibri"/>
              </w:rPr>
            </w:pPr>
            <w:r w:rsidRPr="001F52F3">
              <w:t xml:space="preserve">The numerator list contains medicines that are considered by as having moderate to high anticholinergic burden. </w:t>
            </w:r>
            <w:r w:rsidRPr="00227156">
              <w:rPr>
                <w:rStyle w:val="normaltextrun1"/>
                <w:bCs/>
                <w:color w:val="0F0F0F"/>
              </w:rPr>
              <w:t>The list was created using the following criteria:</w:t>
            </w:r>
            <w:r w:rsidR="009F0D7B">
              <w:rPr>
                <w:rStyle w:val="normaltextrun1"/>
                <w:bCs/>
                <w:color w:val="0F0F0F"/>
              </w:rPr>
              <w:t xml:space="preserve"> </w:t>
            </w:r>
          </w:p>
          <w:p w14:paraId="3EFFADE1" w14:textId="77777777" w:rsidR="00162CD3" w:rsidRPr="001F52F3" w:rsidRDefault="00162CD3" w:rsidP="00D55E06">
            <w:pPr>
              <w:pStyle w:val="ComparatorSpecBoxSpacing"/>
            </w:pPr>
            <w:r w:rsidRPr="001F52F3">
              <w:t xml:space="preserve">For each medicine, the number of references (papers) for each of the following categories is calculated as a percentage of the total number of references for zero, low (L), medium (M), or high (H) anticholinergic burden (activity, risk) for that medicine. </w:t>
            </w:r>
          </w:p>
          <w:p w14:paraId="3144FEDA" w14:textId="77777777" w:rsidR="00162CD3" w:rsidRPr="001F52F3" w:rsidRDefault="00162CD3" w:rsidP="00460B48">
            <w:pPr>
              <w:pStyle w:val="ComparatorSPecBoxBold"/>
            </w:pPr>
            <w:r w:rsidRPr="001F52F3">
              <w:t xml:space="preserve">Moderate to high ACB </w:t>
            </w:r>
          </w:p>
          <w:p w14:paraId="3EF1C50A" w14:textId="77777777" w:rsidR="00162CD3" w:rsidRPr="00227156" w:rsidRDefault="00162CD3" w:rsidP="00D55E06">
            <w:pPr>
              <w:pStyle w:val="ComparatorSpecBoxSpacing"/>
              <w:rPr>
                <w:rFonts w:eastAsia="Calibri"/>
              </w:rPr>
            </w:pPr>
            <w:r w:rsidRPr="00227156">
              <w:rPr>
                <w:rFonts w:eastAsia="Calibri"/>
              </w:rPr>
              <w:t xml:space="preserve">Number of references that state a medicine as having moderate (M) or high (H) ACB as a percentage of the total number of references for that medicine (zero, L, M or </w:t>
            </w:r>
            <w:proofErr w:type="gramStart"/>
            <w:r w:rsidRPr="00227156">
              <w:rPr>
                <w:rFonts w:eastAsia="Calibri"/>
              </w:rPr>
              <w:t>H )</w:t>
            </w:r>
            <w:proofErr w:type="gramEnd"/>
          </w:p>
          <w:p w14:paraId="774884AF" w14:textId="77777777" w:rsidR="00162CD3" w:rsidRPr="001F52F3" w:rsidRDefault="00162CD3" w:rsidP="00460B48">
            <w:pPr>
              <w:pStyle w:val="ComparatorSPecBoxBold"/>
            </w:pPr>
            <w:r w:rsidRPr="001F52F3">
              <w:t xml:space="preserve">Low to Moderate ACB </w:t>
            </w:r>
          </w:p>
          <w:p w14:paraId="34172A8E" w14:textId="77777777" w:rsidR="00162CD3" w:rsidRPr="00227156" w:rsidRDefault="00162CD3" w:rsidP="00D55E06">
            <w:pPr>
              <w:pStyle w:val="ComparatorSpecBoxSpacing"/>
              <w:rPr>
                <w:rFonts w:eastAsia="Calibri"/>
              </w:rPr>
            </w:pPr>
            <w:r w:rsidRPr="00227156">
              <w:rPr>
                <w:rFonts w:eastAsia="Calibri"/>
              </w:rPr>
              <w:t xml:space="preserve">Number of references that state a medicine as having low (L) or moderate (M) ACB as a percentage of the total number of references for that medicine (zero, L, M or </w:t>
            </w:r>
            <w:proofErr w:type="gramStart"/>
            <w:r w:rsidRPr="00227156">
              <w:rPr>
                <w:rFonts w:eastAsia="Calibri"/>
              </w:rPr>
              <w:t>H )</w:t>
            </w:r>
            <w:proofErr w:type="gramEnd"/>
          </w:p>
          <w:p w14:paraId="5D789FD2" w14:textId="77777777" w:rsidR="00162CD3" w:rsidRPr="001F52F3" w:rsidRDefault="00162CD3" w:rsidP="00460B48">
            <w:pPr>
              <w:pStyle w:val="ComparatorSPecBoxBold"/>
            </w:pPr>
            <w:r w:rsidRPr="001F52F3">
              <w:t xml:space="preserve">Zero ACB </w:t>
            </w:r>
          </w:p>
          <w:p w14:paraId="77981FEA" w14:textId="77777777" w:rsidR="00162CD3" w:rsidRPr="00227156" w:rsidRDefault="00162CD3" w:rsidP="00D55E06">
            <w:pPr>
              <w:pStyle w:val="ComparatorSpecBoxSpacing"/>
              <w:rPr>
                <w:rFonts w:eastAsia="Calibri"/>
              </w:rPr>
            </w:pPr>
            <w:r w:rsidRPr="00227156">
              <w:rPr>
                <w:rFonts w:eastAsia="Calibri"/>
              </w:rPr>
              <w:t xml:space="preserve">Number of references that state a medicine as having zero ACB as a percentage of the total number of references for that medicine (zero, L, M or </w:t>
            </w:r>
            <w:proofErr w:type="gramStart"/>
            <w:r w:rsidRPr="00227156">
              <w:rPr>
                <w:rFonts w:eastAsia="Calibri"/>
              </w:rPr>
              <w:t>H )</w:t>
            </w:r>
            <w:proofErr w:type="gramEnd"/>
          </w:p>
          <w:p w14:paraId="74111130" w14:textId="77777777" w:rsidR="00162CD3" w:rsidRPr="00227156" w:rsidRDefault="00162CD3" w:rsidP="00D55E06">
            <w:pPr>
              <w:pStyle w:val="ComparatorSpecBoxSpacing"/>
              <w:rPr>
                <w:rFonts w:eastAsia="Calibri"/>
              </w:rPr>
            </w:pPr>
            <w:r w:rsidRPr="00227156">
              <w:rPr>
                <w:rFonts w:eastAsia="Calibri"/>
              </w:rPr>
              <w:t xml:space="preserve">Based on the highest percentage figure for the above groupings, each medicine is then allocated to the appropriate comparator </w:t>
            </w:r>
          </w:p>
          <w:p w14:paraId="4DCD4A2F" w14:textId="77777777" w:rsidR="00162CD3" w:rsidRPr="00227156" w:rsidRDefault="00162CD3" w:rsidP="00D55E06">
            <w:pPr>
              <w:pStyle w:val="ComparatorSpecBoxSpacing"/>
              <w:rPr>
                <w:rFonts w:eastAsia="Calibri"/>
              </w:rPr>
            </w:pPr>
            <w:r w:rsidRPr="00227156">
              <w:rPr>
                <w:rFonts w:eastAsia="Calibri"/>
              </w:rPr>
              <w:t xml:space="preserve">a) Moderate to high anticholinergic burden (this comparator) </w:t>
            </w:r>
          </w:p>
          <w:p w14:paraId="57A3CEB4" w14:textId="77777777" w:rsidR="00162CD3" w:rsidRPr="00227156" w:rsidRDefault="00162CD3" w:rsidP="00D55E06">
            <w:pPr>
              <w:pStyle w:val="ComparatorSpecBoxSpacing"/>
              <w:rPr>
                <w:rFonts w:eastAsia="Calibri"/>
              </w:rPr>
            </w:pPr>
            <w:r w:rsidRPr="00227156">
              <w:rPr>
                <w:rFonts w:eastAsia="Calibri"/>
              </w:rPr>
              <w:t xml:space="preserve">or </w:t>
            </w:r>
          </w:p>
          <w:p w14:paraId="423DC33B" w14:textId="77777777" w:rsidR="00162CD3" w:rsidRPr="00227156" w:rsidRDefault="00162CD3" w:rsidP="00D55E06">
            <w:pPr>
              <w:pStyle w:val="ComparatorSpecBoxSpacing"/>
              <w:rPr>
                <w:rFonts w:eastAsia="Calibri"/>
              </w:rPr>
            </w:pPr>
            <w:r w:rsidRPr="00227156">
              <w:rPr>
                <w:rFonts w:eastAsia="Calibri"/>
              </w:rPr>
              <w:t xml:space="preserve">b) Low to moderate anticholinergic burden (see comparator ACB2) </w:t>
            </w:r>
          </w:p>
          <w:p w14:paraId="41A58342" w14:textId="0A505619" w:rsidR="00162CD3" w:rsidRPr="00227156" w:rsidRDefault="00162CD3" w:rsidP="00D55E06">
            <w:pPr>
              <w:pStyle w:val="ComparatorSpecBoxSpacing"/>
              <w:rPr>
                <w:rFonts w:eastAsia="Calibri"/>
              </w:rPr>
            </w:pPr>
            <w:r w:rsidRPr="00227156">
              <w:rPr>
                <w:rFonts w:eastAsia="Calibri"/>
              </w:rPr>
              <w:t xml:space="preserve"> If zero is the highest percentage, the medicine is excluded and not included in either of the above comparators. </w:t>
            </w:r>
          </w:p>
          <w:p w14:paraId="4CA621E8" w14:textId="77777777" w:rsidR="00162CD3" w:rsidRPr="00227156" w:rsidRDefault="00162CD3" w:rsidP="00460B48">
            <w:pPr>
              <w:pStyle w:val="ComparatorSpecBoxNormal"/>
              <w:rPr>
                <w:rFonts w:eastAsia="Calibri"/>
              </w:rPr>
            </w:pPr>
            <w:r w:rsidRPr="00227156">
              <w:rPr>
                <w:rFonts w:eastAsia="Calibri"/>
              </w:rPr>
              <w:t xml:space="preserve">If necessary, further rules are applied: </w:t>
            </w:r>
          </w:p>
          <w:p w14:paraId="1C6FA52A" w14:textId="77777777" w:rsidR="00162CD3" w:rsidRPr="00227156" w:rsidRDefault="00162CD3" w:rsidP="00460B48">
            <w:pPr>
              <w:pStyle w:val="ComparatorSpecBoxList"/>
              <w:rPr>
                <w:rFonts w:eastAsia="Calibri"/>
              </w:rPr>
            </w:pPr>
            <w:r w:rsidRPr="00227156">
              <w:rPr>
                <w:rFonts w:eastAsia="Calibri"/>
              </w:rPr>
              <w:t>If the figure for a) and b) are the same, a) is selected (i.e. moderate to high rather than low to moderate)</w:t>
            </w:r>
          </w:p>
          <w:p w14:paraId="021FF49C" w14:textId="77777777" w:rsidR="00162CD3" w:rsidRPr="00227156" w:rsidRDefault="00162CD3" w:rsidP="00460B48">
            <w:pPr>
              <w:pStyle w:val="ComparatorSpecBoxList"/>
              <w:rPr>
                <w:rFonts w:eastAsia="Calibri"/>
              </w:rPr>
            </w:pPr>
            <w:r w:rsidRPr="00227156">
              <w:rPr>
                <w:rFonts w:eastAsia="Calibri"/>
              </w:rPr>
              <w:t>If the figure for b) and c) are the same, b) is selected (i.e. low to moderate rather than zero)</w:t>
            </w:r>
          </w:p>
          <w:p w14:paraId="1EF7A891" w14:textId="77777777" w:rsidR="00162CD3" w:rsidRPr="00227156" w:rsidRDefault="00162CD3" w:rsidP="00460B48">
            <w:pPr>
              <w:pStyle w:val="ComparatorSpecBoxList"/>
              <w:rPr>
                <w:rFonts w:eastAsia="Calibri"/>
              </w:rPr>
            </w:pPr>
            <w:r w:rsidRPr="00227156">
              <w:rPr>
                <w:rFonts w:eastAsia="Calibri"/>
              </w:rPr>
              <w:t xml:space="preserve">If the figure for a) and c) are the same, a) is selected (i.e. moderate to high rather than zero) </w:t>
            </w:r>
          </w:p>
          <w:p w14:paraId="1E0A7662" w14:textId="77777777" w:rsidR="00162CD3" w:rsidRPr="00227156" w:rsidRDefault="00162CD3" w:rsidP="00460B48">
            <w:pPr>
              <w:pStyle w:val="ComparatorSpecBoxList"/>
              <w:rPr>
                <w:rFonts w:eastAsia="Calibri"/>
              </w:rPr>
            </w:pPr>
            <w:r w:rsidRPr="00227156">
              <w:rPr>
                <w:rFonts w:eastAsia="Calibri"/>
              </w:rPr>
              <w:lastRenderedPageBreak/>
              <w:t>If the figure for a), b) and c) are the same, b) is selected (i.e. low to moderate rather than moderate to high or zero)</w:t>
            </w:r>
          </w:p>
          <w:p w14:paraId="126C3E75" w14:textId="77777777" w:rsidR="00162CD3" w:rsidRPr="001F52F3" w:rsidRDefault="00162CD3" w:rsidP="00D55E06">
            <w:pPr>
              <w:pStyle w:val="ComparatorSpecBoxSpacing"/>
            </w:pPr>
            <w:r w:rsidRPr="001F52F3">
              <w:t xml:space="preserve">NB: The sum of the percentage of references may be greater than 100%. This is due to references for a medicine with moderate anticholinergic burden being counted as both moderate to high and low to moderate. </w:t>
            </w:r>
          </w:p>
          <w:p w14:paraId="5D670A1C" w14:textId="77777777" w:rsidR="00162CD3" w:rsidRPr="001F52F3" w:rsidRDefault="00162CD3" w:rsidP="00D55E06">
            <w:pPr>
              <w:pStyle w:val="ComparatorSpecBoxSpacing"/>
            </w:pPr>
            <w:r w:rsidRPr="001F52F3">
              <w:t>Comparators are available for all ages and age ranges whilst recognising that the risks associated with anticholinergic burden increase with age.</w:t>
            </w:r>
          </w:p>
          <w:p w14:paraId="54FBBECB" w14:textId="428C8DBC" w:rsidR="00162CD3" w:rsidRPr="00143A50" w:rsidRDefault="00460B48" w:rsidP="001D3131">
            <w:pPr>
              <w:pStyle w:val="NHSFormatting"/>
            </w:pPr>
            <w:r>
              <w:t xml:space="preserve">See </w:t>
            </w:r>
            <w:r>
              <w:fldChar w:fldCharType="begin"/>
            </w:r>
            <w:r>
              <w:instrText xml:space="preserve"> REF _Ref208830547 \r \h </w:instrText>
            </w:r>
            <w:r>
              <w:fldChar w:fldCharType="separate"/>
            </w:r>
            <w:r>
              <w:t>Appendix 2</w:t>
            </w:r>
            <w:r>
              <w:fldChar w:fldCharType="end"/>
            </w:r>
            <w:r>
              <w:t xml:space="preserve"> for the detailed table of evidence for the classification of medicines</w:t>
            </w:r>
          </w:p>
        </w:tc>
      </w:tr>
    </w:tbl>
    <w:p w14:paraId="3FC20BBD" w14:textId="77777777" w:rsidR="00143A50" w:rsidRDefault="00143A50" w:rsidP="001D3131"/>
    <w:p w14:paraId="12492715" w14:textId="77777777" w:rsidR="001F52F3" w:rsidRPr="003255D2" w:rsidRDefault="00143A50" w:rsidP="001D3131">
      <w:pPr>
        <w:pStyle w:val="Heading2"/>
      </w:pPr>
      <w:r>
        <w:br w:type="page"/>
      </w:r>
      <w:bookmarkStart w:id="91" w:name="_Toc234231965"/>
      <w:r w:rsidR="00BF1A26" w:rsidRPr="001F52F3">
        <w:lastRenderedPageBreak/>
        <w:t xml:space="preserve">Patients prescribed 4, 5 or 6 (or </w:t>
      </w:r>
      <w:r w:rsidR="00BF1A26" w:rsidRPr="003255D2">
        <w:t>more) medicines with low to moderate anticholinergic burden</w:t>
      </w:r>
      <w:bookmarkEnd w:id="91"/>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42"/>
        <w:gridCol w:w="7272"/>
      </w:tblGrid>
      <w:tr w:rsidR="001F52F3" w:rsidRPr="003255D2" w14:paraId="73809922" w14:textId="77777777" w:rsidTr="00460B48">
        <w:tc>
          <w:tcPr>
            <w:tcW w:w="9781" w:type="dxa"/>
            <w:gridSpan w:val="3"/>
            <w:shd w:val="clear" w:color="auto" w:fill="D9D9D9"/>
          </w:tcPr>
          <w:p w14:paraId="40AACCD3" w14:textId="77777777" w:rsidR="001F52F3" w:rsidRPr="003255D2" w:rsidRDefault="001F52F3" w:rsidP="00460B48">
            <w:pPr>
              <w:pStyle w:val="ComparatorSPecBoxBold"/>
            </w:pPr>
            <w:r w:rsidRPr="003255D2">
              <w:t>Section 1: Introduction / Overview</w:t>
            </w:r>
          </w:p>
        </w:tc>
      </w:tr>
      <w:tr w:rsidR="001F52F3" w:rsidRPr="003940B7" w14:paraId="61C06471" w14:textId="77777777" w:rsidTr="00460B48">
        <w:tc>
          <w:tcPr>
            <w:tcW w:w="567" w:type="dxa"/>
            <w:shd w:val="clear" w:color="auto" w:fill="D9D9D9"/>
          </w:tcPr>
          <w:p w14:paraId="277FAF6E" w14:textId="77777777" w:rsidR="001F52F3" w:rsidRPr="003255D2" w:rsidRDefault="001F52F3" w:rsidP="00460B48">
            <w:pPr>
              <w:pStyle w:val="ComparatorSPecBoxBold"/>
            </w:pPr>
            <w:r w:rsidRPr="003255D2">
              <w:t>1.1</w:t>
            </w:r>
          </w:p>
        </w:tc>
        <w:tc>
          <w:tcPr>
            <w:tcW w:w="1942" w:type="dxa"/>
            <w:shd w:val="clear" w:color="auto" w:fill="D9D9D9"/>
          </w:tcPr>
          <w:p w14:paraId="6879CF06" w14:textId="77777777" w:rsidR="001F52F3" w:rsidRPr="003255D2" w:rsidRDefault="001F52F3" w:rsidP="00460B48">
            <w:pPr>
              <w:pStyle w:val="ComparatorSPecBoxBold"/>
            </w:pPr>
            <w:r w:rsidRPr="003255D2">
              <w:t>Title</w:t>
            </w:r>
          </w:p>
        </w:tc>
        <w:tc>
          <w:tcPr>
            <w:tcW w:w="7272" w:type="dxa"/>
          </w:tcPr>
          <w:p w14:paraId="2407FEA2" w14:textId="77777777" w:rsidR="001F52F3" w:rsidRPr="001F52F3" w:rsidRDefault="001F52F3" w:rsidP="00460B48">
            <w:pPr>
              <w:pStyle w:val="ComparatorSpecBoxSpacing"/>
            </w:pPr>
            <w:r w:rsidRPr="003255D2">
              <w:t>Patients prescribed 4, 5 or 6 (or more) medicines with low to moderate anticholinergic burden</w:t>
            </w:r>
          </w:p>
        </w:tc>
      </w:tr>
      <w:tr w:rsidR="001F52F3" w:rsidRPr="00227156" w14:paraId="57801F21" w14:textId="77777777" w:rsidTr="00460B48">
        <w:tc>
          <w:tcPr>
            <w:tcW w:w="567" w:type="dxa"/>
            <w:shd w:val="clear" w:color="auto" w:fill="D9D9D9"/>
          </w:tcPr>
          <w:p w14:paraId="2CDA29DB" w14:textId="77777777" w:rsidR="001F52F3" w:rsidRPr="003940B7" w:rsidRDefault="001F52F3" w:rsidP="00460B48">
            <w:pPr>
              <w:pStyle w:val="ComparatorSPecBoxBold"/>
            </w:pPr>
            <w:r>
              <w:t>1.2</w:t>
            </w:r>
          </w:p>
        </w:tc>
        <w:tc>
          <w:tcPr>
            <w:tcW w:w="1942" w:type="dxa"/>
            <w:shd w:val="clear" w:color="auto" w:fill="D9D9D9"/>
          </w:tcPr>
          <w:p w14:paraId="48847220" w14:textId="77777777" w:rsidR="001F52F3" w:rsidRPr="001F52F3" w:rsidRDefault="001F52F3" w:rsidP="00460B48">
            <w:pPr>
              <w:pStyle w:val="ComparatorSPecBoxBold"/>
            </w:pPr>
            <w:r w:rsidRPr="001F52F3">
              <w:t>MO Theme</w:t>
            </w:r>
          </w:p>
        </w:tc>
        <w:tc>
          <w:tcPr>
            <w:tcW w:w="7272" w:type="dxa"/>
          </w:tcPr>
          <w:p w14:paraId="1C1B1EFA" w14:textId="77777777" w:rsidR="001F52F3" w:rsidRPr="00227156" w:rsidRDefault="001F52F3" w:rsidP="00460B48">
            <w:pPr>
              <w:pStyle w:val="ComparatorSpecBoxSpacing"/>
              <w:rPr>
                <w:rFonts w:eastAsia="Calibri"/>
              </w:rPr>
            </w:pPr>
            <w:r w:rsidRPr="00227156">
              <w:rPr>
                <w:rFonts w:eastAsia="Calibri"/>
              </w:rPr>
              <w:t>Polypharmacy</w:t>
            </w:r>
          </w:p>
        </w:tc>
      </w:tr>
      <w:tr w:rsidR="001F52F3" w:rsidRPr="003940B7" w14:paraId="0656C3CF" w14:textId="77777777" w:rsidTr="00460B48">
        <w:tc>
          <w:tcPr>
            <w:tcW w:w="567" w:type="dxa"/>
            <w:shd w:val="clear" w:color="auto" w:fill="D9D9D9"/>
          </w:tcPr>
          <w:p w14:paraId="69372BAC" w14:textId="77777777" w:rsidR="001F52F3" w:rsidRPr="003940B7" w:rsidRDefault="001F52F3" w:rsidP="00460B48">
            <w:pPr>
              <w:pStyle w:val="ComparatorSPecBoxBold"/>
            </w:pPr>
            <w:r>
              <w:t>1.3</w:t>
            </w:r>
          </w:p>
        </w:tc>
        <w:tc>
          <w:tcPr>
            <w:tcW w:w="1942" w:type="dxa"/>
            <w:shd w:val="clear" w:color="auto" w:fill="D9D9D9"/>
          </w:tcPr>
          <w:p w14:paraId="04935AE7" w14:textId="77777777" w:rsidR="001F52F3" w:rsidRPr="001F52F3" w:rsidRDefault="001F52F3" w:rsidP="00460B48">
            <w:pPr>
              <w:pStyle w:val="ComparatorSPecBoxBold"/>
            </w:pPr>
            <w:r w:rsidRPr="001F52F3">
              <w:t>Description</w:t>
            </w:r>
          </w:p>
        </w:tc>
        <w:tc>
          <w:tcPr>
            <w:tcW w:w="7272" w:type="dxa"/>
          </w:tcPr>
          <w:p w14:paraId="2412F53C" w14:textId="77777777" w:rsidR="001F52F3" w:rsidRPr="001F52F3" w:rsidRDefault="001F52F3" w:rsidP="00460B48">
            <w:pPr>
              <w:pStyle w:val="ComparatorSpecBoxSpacing"/>
            </w:pPr>
            <w:r w:rsidRPr="00227156">
              <w:rPr>
                <w:rFonts w:eastAsia="Calibri"/>
              </w:rPr>
              <w:t xml:space="preserve">Number of patients (all ages, aged 17 or under, 18 to 24, 25 to 34, 35 to 44, 45 to 54, 55 to 64, 65 to 74, 75 to 84 and 85 or over) </w:t>
            </w:r>
            <w:r w:rsidRPr="001F52F3">
              <w:t>prescribed 2, 3 or 4 (or more) unique medicines with low to moderate anticholinergic burden</w:t>
            </w:r>
            <w:r w:rsidRPr="00227156">
              <w:rPr>
                <w:rFonts w:eastAsia="Calibri"/>
              </w:rPr>
              <w:t xml:space="preserve"> as a percentage of patients (all ages, aged 17 or under, 18 to 24, 25 to 34, 35 to 44, 45 to 54, 55 to 64, 65 to 74, 75 to 84 and 85 or over) prescribed one or more medicines </w:t>
            </w:r>
            <w:r w:rsidRPr="001F52F3">
              <w:t xml:space="preserve">with moderate to high anticholinergic burden </w:t>
            </w:r>
            <w:r w:rsidRPr="00227156">
              <w:rPr>
                <w:rFonts w:eastAsia="Calibri"/>
              </w:rPr>
              <w:t>in the same reporting period.</w:t>
            </w:r>
          </w:p>
        </w:tc>
      </w:tr>
      <w:tr w:rsidR="001F52F3" w:rsidRPr="003940B7" w14:paraId="399AE058" w14:textId="77777777" w:rsidTr="00460B48">
        <w:tc>
          <w:tcPr>
            <w:tcW w:w="567" w:type="dxa"/>
            <w:shd w:val="clear" w:color="auto" w:fill="D9D9D9"/>
          </w:tcPr>
          <w:p w14:paraId="49A29AD7" w14:textId="77777777" w:rsidR="001F52F3" w:rsidRPr="003940B7" w:rsidRDefault="001F52F3" w:rsidP="00460B48">
            <w:pPr>
              <w:pStyle w:val="ComparatorSPecBoxBold"/>
            </w:pPr>
            <w:r>
              <w:t>1.4</w:t>
            </w:r>
          </w:p>
        </w:tc>
        <w:tc>
          <w:tcPr>
            <w:tcW w:w="1942" w:type="dxa"/>
            <w:shd w:val="clear" w:color="auto" w:fill="D9D9D9"/>
          </w:tcPr>
          <w:p w14:paraId="7E1AFE3F" w14:textId="77777777" w:rsidR="001F52F3" w:rsidRPr="001F52F3" w:rsidRDefault="001F52F3" w:rsidP="00460B48">
            <w:pPr>
              <w:pStyle w:val="ComparatorSPecBoxBold"/>
            </w:pPr>
            <w:r w:rsidRPr="001F52F3">
              <w:t>Numerator</w:t>
            </w:r>
          </w:p>
        </w:tc>
        <w:tc>
          <w:tcPr>
            <w:tcW w:w="7272" w:type="dxa"/>
          </w:tcPr>
          <w:p w14:paraId="6C98B66A" w14:textId="4B045E5C" w:rsidR="001F52F3" w:rsidRPr="001F52F3" w:rsidRDefault="001F52F3" w:rsidP="00460B48">
            <w:pPr>
              <w:pStyle w:val="ComparatorSpecBoxSpacing"/>
            </w:pPr>
            <w:r w:rsidRPr="00227156">
              <w:rPr>
                <w:rFonts w:eastAsia="Calibri"/>
              </w:rPr>
              <w:t xml:space="preserve">Number of patients (all ages, aged 17 or under, 18 to 24, 25 to 34, 35 to 44, 45 to 54, 55 to 64, 65 to 74, 75 to 84 and 85 or over) </w:t>
            </w:r>
            <w:r w:rsidRPr="001F52F3">
              <w:t>prescribed 4, 5 or 6 (or more) unique medicines (chemical substances) with low to moderate anticholinergic burden</w:t>
            </w:r>
            <w:r w:rsidRPr="00227156">
              <w:rPr>
                <w:rFonts w:eastAsia="Calibri"/>
              </w:rPr>
              <w:t xml:space="preserve"> </w:t>
            </w:r>
            <w:r w:rsidRPr="001F52F3">
              <w:t xml:space="preserve">(see </w:t>
            </w:r>
            <w:r w:rsidR="003E2211">
              <w:fldChar w:fldCharType="begin"/>
            </w:r>
            <w:r w:rsidR="003E2211">
              <w:instrText xml:space="preserve"> REF _Ref200033726 \r \h </w:instrText>
            </w:r>
            <w:r w:rsidR="009A17E6">
              <w:instrText xml:space="preserve"> \* MERGEFORMAT </w:instrText>
            </w:r>
            <w:r w:rsidR="003E2211">
              <w:fldChar w:fldCharType="separate"/>
            </w:r>
            <w:r w:rsidR="00572C7A">
              <w:t>Appendix 3</w:t>
            </w:r>
            <w:r w:rsidR="003E2211">
              <w:fldChar w:fldCharType="end"/>
            </w:r>
            <w:r w:rsidRPr="001F52F3">
              <w:t>) in the same reporting period.</w:t>
            </w:r>
            <w:r w:rsidR="00460B48">
              <w:t xml:space="preserve"> See </w:t>
            </w:r>
            <w:r w:rsidR="00460B48">
              <w:fldChar w:fldCharType="begin"/>
            </w:r>
            <w:r w:rsidR="00460B48">
              <w:instrText xml:space="preserve"> REF _Ref200033726 \r \h </w:instrText>
            </w:r>
            <w:r w:rsidR="00460B48">
              <w:fldChar w:fldCharType="separate"/>
            </w:r>
            <w:r w:rsidR="00460B48">
              <w:t>Appendix 4</w:t>
            </w:r>
            <w:r w:rsidR="00460B48">
              <w:fldChar w:fldCharType="end"/>
            </w:r>
            <w:r w:rsidR="00460B48">
              <w:t xml:space="preserve"> for the list of medicines.</w:t>
            </w:r>
          </w:p>
        </w:tc>
      </w:tr>
      <w:tr w:rsidR="001F52F3" w:rsidRPr="003940B7" w14:paraId="5AC9FE27" w14:textId="77777777" w:rsidTr="00460B48">
        <w:tc>
          <w:tcPr>
            <w:tcW w:w="567" w:type="dxa"/>
            <w:shd w:val="clear" w:color="auto" w:fill="D9D9D9"/>
          </w:tcPr>
          <w:p w14:paraId="059D4FBD" w14:textId="77777777" w:rsidR="001F52F3" w:rsidRPr="003940B7" w:rsidRDefault="001F52F3" w:rsidP="00460B48">
            <w:pPr>
              <w:pStyle w:val="ComparatorSPecBoxBold"/>
            </w:pPr>
            <w:r>
              <w:t>1.5</w:t>
            </w:r>
          </w:p>
        </w:tc>
        <w:tc>
          <w:tcPr>
            <w:tcW w:w="1942" w:type="dxa"/>
            <w:shd w:val="clear" w:color="auto" w:fill="D9D9D9"/>
          </w:tcPr>
          <w:p w14:paraId="7F08A8DF" w14:textId="77777777" w:rsidR="001F52F3" w:rsidRPr="001F52F3" w:rsidRDefault="001F52F3" w:rsidP="00460B48">
            <w:pPr>
              <w:pStyle w:val="ComparatorSPecBoxBold"/>
            </w:pPr>
            <w:r w:rsidRPr="001F52F3">
              <w:t xml:space="preserve">Denominator </w:t>
            </w:r>
          </w:p>
        </w:tc>
        <w:tc>
          <w:tcPr>
            <w:tcW w:w="7272" w:type="dxa"/>
          </w:tcPr>
          <w:p w14:paraId="0A438174" w14:textId="77777777" w:rsidR="001F52F3" w:rsidRPr="001F52F3" w:rsidRDefault="001F52F3" w:rsidP="00460B48">
            <w:pPr>
              <w:pStyle w:val="ComparatorSpecBoxSpacing"/>
            </w:pPr>
            <w:r w:rsidRPr="001F52F3">
              <w:t xml:space="preserve">Number of patients </w:t>
            </w:r>
            <w:r w:rsidRPr="00227156">
              <w:rPr>
                <w:rFonts w:eastAsia="Calibri"/>
              </w:rPr>
              <w:t xml:space="preserve">(all ages, aged 17 or under, 18 to 24, 25 to 34, 35 to 44, 45 to 54, 55 to 64, 65 to 74, 75 to 84 and 85 or over) </w:t>
            </w:r>
            <w:r w:rsidRPr="001F52F3">
              <w:t>prescribed one or more medicines (chemical substances) with low to moderate anticholinergic burden (see numerator list).</w:t>
            </w:r>
          </w:p>
        </w:tc>
      </w:tr>
      <w:tr w:rsidR="001F52F3" w:rsidRPr="003940B7" w14:paraId="26C06418" w14:textId="77777777" w:rsidTr="00460B48">
        <w:trPr>
          <w:trHeight w:val="185"/>
        </w:trPr>
        <w:tc>
          <w:tcPr>
            <w:tcW w:w="9781" w:type="dxa"/>
            <w:gridSpan w:val="3"/>
            <w:shd w:val="clear" w:color="auto" w:fill="D9D9D9"/>
          </w:tcPr>
          <w:p w14:paraId="12281528" w14:textId="77777777" w:rsidR="001F52F3" w:rsidRPr="003940B7" w:rsidRDefault="001F52F3" w:rsidP="00460B48">
            <w:pPr>
              <w:pStyle w:val="ComparatorSPecBoxBold"/>
            </w:pPr>
            <w:r w:rsidRPr="003B36E1">
              <w:t>Section 2: Rationale</w:t>
            </w:r>
          </w:p>
        </w:tc>
      </w:tr>
      <w:tr w:rsidR="001F52F3" w:rsidRPr="003940B7" w14:paraId="7914C57A" w14:textId="77777777" w:rsidTr="00460B48">
        <w:trPr>
          <w:trHeight w:val="841"/>
        </w:trPr>
        <w:tc>
          <w:tcPr>
            <w:tcW w:w="567" w:type="dxa"/>
            <w:shd w:val="clear" w:color="auto" w:fill="D9D9D9"/>
          </w:tcPr>
          <w:p w14:paraId="3DCCA7EA" w14:textId="77777777" w:rsidR="001F52F3" w:rsidRPr="003940B7" w:rsidRDefault="001F52F3" w:rsidP="00460B48">
            <w:pPr>
              <w:pStyle w:val="ComparatorSPecBoxBold"/>
            </w:pPr>
            <w:r>
              <w:t>2.1</w:t>
            </w:r>
          </w:p>
        </w:tc>
        <w:tc>
          <w:tcPr>
            <w:tcW w:w="1942" w:type="dxa"/>
            <w:shd w:val="clear" w:color="auto" w:fill="D9D9D9"/>
          </w:tcPr>
          <w:p w14:paraId="6F528283" w14:textId="77777777" w:rsidR="001F52F3" w:rsidRPr="003940B7" w:rsidRDefault="001F52F3" w:rsidP="00460B48">
            <w:pPr>
              <w:pStyle w:val="ComparatorSPecBoxBold"/>
            </w:pPr>
            <w:r w:rsidRPr="003940B7">
              <w:t>Rationale/ comments</w:t>
            </w:r>
          </w:p>
        </w:tc>
        <w:tc>
          <w:tcPr>
            <w:tcW w:w="7272" w:type="dxa"/>
            <w:vAlign w:val="center"/>
          </w:tcPr>
          <w:p w14:paraId="2D73D09E" w14:textId="77777777" w:rsidR="00460B48" w:rsidRPr="00CC0BC6" w:rsidRDefault="00460B48" w:rsidP="00460B48">
            <w:pPr>
              <w:pStyle w:val="ComparatorSpecBoxSpacing"/>
            </w:pPr>
            <w:r w:rsidRPr="00CC0BC6">
              <w:t xml:space="preserve">Anticholinergic burden refers to the cumulative effect of taking multiple medicines with anti-cholinergic activity. Frequently prescribed anticholinergic medicines include antidepressants, antiemetics, antipsychotics and some medicines for urinary urgency and incontinence. </w:t>
            </w:r>
          </w:p>
          <w:p w14:paraId="4F170973" w14:textId="77777777" w:rsidR="00460B48" w:rsidRPr="00CC0BC6" w:rsidRDefault="00460B48" w:rsidP="00460B48">
            <w:pPr>
              <w:pStyle w:val="ComparatorSpecBoxSpacing"/>
            </w:pPr>
            <w:r w:rsidRPr="00CC0BC6">
              <w:t>Anticholinergic adverse effects are generally dose dependant and may include drowsiness, restlessness, impaired concentration and even severe agitation and delirium. Peripheral effects include dry mouth, constipation, tachycardia, blurr</w:t>
            </w:r>
            <w:r>
              <w:t>e</w:t>
            </w:r>
            <w:r w:rsidRPr="00CC0BC6">
              <w:t xml:space="preserve">d vision, dilated pupils and urinary retention. </w:t>
            </w:r>
          </w:p>
          <w:p w14:paraId="41D268A1" w14:textId="77777777" w:rsidR="00460B48" w:rsidRPr="00CC0BC6" w:rsidRDefault="00460B48" w:rsidP="00460B48">
            <w:pPr>
              <w:pStyle w:val="ComparatorSpecBoxSpacing"/>
            </w:pPr>
            <w:r w:rsidRPr="00CC0BC6">
              <w:t xml:space="preserve">Long term use of anticholinergic medicines is associated with reduced mobility, cognitive impairment and event dementia. Older people are at higher risk of anticholinergic burden due to age related changes in physiology and increased likelihood of multiple morbidities requiring management with anticholinergic medicines. </w:t>
            </w:r>
          </w:p>
          <w:p w14:paraId="4004B8E3" w14:textId="77777777" w:rsidR="00460B48" w:rsidRPr="009804A5" w:rsidRDefault="00460B48" w:rsidP="00460B48">
            <w:pPr>
              <w:pStyle w:val="ComparatorSPecBoxBold"/>
            </w:pPr>
            <w:r w:rsidRPr="009804A5">
              <w:t>Rationale for inclusion</w:t>
            </w:r>
          </w:p>
          <w:p w14:paraId="1035B27C" w14:textId="77777777" w:rsidR="00460B48" w:rsidRPr="00CC0BC6" w:rsidRDefault="00460B48" w:rsidP="00460B48">
            <w:pPr>
              <w:pStyle w:val="ComparatorSpecBoxSpacing"/>
            </w:pPr>
            <w:r w:rsidRPr="00CC0BC6">
              <w:t xml:space="preserve">Anticholinergic burden rates were </w:t>
            </w:r>
            <w:r w:rsidRPr="007B4825">
              <w:t>included</w:t>
            </w:r>
            <w:r w:rsidRPr="00CC0BC6">
              <w:t xml:space="preserve"> to enable prescribers and their organisations to look at rates of anticholinergic burden especially in their older patients and address this common cause of adverse drug reactions. </w:t>
            </w:r>
          </w:p>
          <w:p w14:paraId="770D069A" w14:textId="77777777" w:rsidR="00460B48" w:rsidRPr="001F52F3" w:rsidRDefault="00460B48" w:rsidP="00460B48">
            <w:pPr>
              <w:pStyle w:val="ComparatorSpecBoxSpacing"/>
            </w:pPr>
            <w:r w:rsidRPr="001F52F3">
              <w:t>Users should be aware that there is no one definitive, evidence-based way to calculate a</w:t>
            </w:r>
            <w:r>
              <w:t>n</w:t>
            </w:r>
            <w:r w:rsidRPr="001F52F3">
              <w:t xml:space="preserve"> ACB score. This method has been developed by the working group with the best of intentions. It is experimental and we are open to suggestions for improvement. The comparator is intended to firstly alert health care professionals to the issues of the impact of prescribing multiple medicines with anticholinergic side effects and then help practices to identify how their prescribing compares to the rest of the country, identify patients deemed to be at greatest risk from harm and to call them in for a medication review with the aim of reducing anticholinergic burden where appropriate. </w:t>
            </w:r>
          </w:p>
          <w:p w14:paraId="49C32DB1" w14:textId="77777777" w:rsidR="00460B48" w:rsidRPr="001F52F3" w:rsidRDefault="00460B48" w:rsidP="00460B48">
            <w:pPr>
              <w:pStyle w:val="ComparatorSpecBoxSpacing"/>
            </w:pPr>
            <w:r w:rsidRPr="001F52F3">
              <w:t xml:space="preserve">The </w:t>
            </w:r>
            <w:r>
              <w:t xml:space="preserve">first iteration of the </w:t>
            </w:r>
            <w:r w:rsidRPr="001F52F3">
              <w:t xml:space="preserve">comparator measures </w:t>
            </w:r>
            <w:r>
              <w:t xml:space="preserve">identified </w:t>
            </w:r>
            <w:r w:rsidRPr="001F52F3">
              <w:t>number</w:t>
            </w:r>
            <w:r>
              <w:t>s</w:t>
            </w:r>
            <w:r w:rsidRPr="001F52F3">
              <w:t xml:space="preserve"> of patients with ACB score 6/9/12 using the following </w:t>
            </w:r>
            <w:proofErr w:type="spellStart"/>
            <w:r w:rsidRPr="001F52F3">
              <w:t>AgingBrainCare</w:t>
            </w:r>
            <w:proofErr w:type="spellEnd"/>
            <w:r w:rsidRPr="001F52F3">
              <w:t xml:space="preserve"> scoring system of anticholinergic burden.</w:t>
            </w:r>
          </w:p>
          <w:p w14:paraId="5FBCC0EE" w14:textId="77777777" w:rsidR="00460B48" w:rsidRPr="001F52F3" w:rsidRDefault="00460B48" w:rsidP="00460B48">
            <w:pPr>
              <w:pStyle w:val="NHSFormatting"/>
            </w:pPr>
            <w:r w:rsidRPr="001F52F3">
              <w:t xml:space="preserve">1 = low </w:t>
            </w:r>
          </w:p>
          <w:p w14:paraId="67425E4C" w14:textId="77777777" w:rsidR="00460B48" w:rsidRPr="001F52F3" w:rsidRDefault="00460B48" w:rsidP="00460B48">
            <w:pPr>
              <w:pStyle w:val="NHSFormatting"/>
            </w:pPr>
            <w:r w:rsidRPr="001F52F3">
              <w:t>2 = moderate</w:t>
            </w:r>
          </w:p>
          <w:p w14:paraId="782882C4" w14:textId="77777777" w:rsidR="00460B48" w:rsidRPr="001F52F3" w:rsidRDefault="00460B48" w:rsidP="00460B48">
            <w:pPr>
              <w:pStyle w:val="NHSFormatting"/>
            </w:pPr>
            <w:r w:rsidRPr="001F52F3">
              <w:t>3 = high</w:t>
            </w:r>
          </w:p>
          <w:p w14:paraId="452D8E64" w14:textId="77777777" w:rsidR="00460B48" w:rsidRPr="00227156" w:rsidRDefault="00460B48" w:rsidP="00460B48">
            <w:pPr>
              <w:pStyle w:val="ComparatorSpecBoxSpacing"/>
              <w:rPr>
                <w:rStyle w:val="normaltextrun1"/>
                <w:bCs/>
                <w:color w:val="0F0F0F"/>
              </w:rPr>
            </w:pPr>
            <w:r w:rsidRPr="001F52F3">
              <w:t>T</w:t>
            </w:r>
            <w:r>
              <w:t>his</w:t>
            </w:r>
            <w:r w:rsidRPr="001F52F3">
              <w:t xml:space="preserve"> previous scoring system can no longer be used as the original source of this work </w:t>
            </w:r>
            <w:r w:rsidRPr="001F52F3">
              <w:lastRenderedPageBreak/>
              <w:t xml:space="preserve">has been removed. To review the evidence base for assessing a drug’s anticholinergic burden, UKMI conducted a </w:t>
            </w:r>
            <w:r w:rsidRPr="00227156">
              <w:rPr>
                <w:rStyle w:val="normaltextrun1"/>
                <w:bCs/>
                <w:color w:val="0F0F0F"/>
              </w:rPr>
              <w:t xml:space="preserve">literature review. This formed the basis of the scoring system used here. </w:t>
            </w:r>
          </w:p>
          <w:p w14:paraId="7FBC6F76" w14:textId="77777777" w:rsidR="00460B48" w:rsidRPr="00227156" w:rsidRDefault="00460B48" w:rsidP="00460B48">
            <w:pPr>
              <w:pStyle w:val="ComparatorSpecBoxSpacing"/>
              <w:rPr>
                <w:rStyle w:val="normaltextrun1"/>
                <w:bCs/>
                <w:color w:val="0F0F0F"/>
              </w:rPr>
            </w:pPr>
            <w:r w:rsidRPr="00227156">
              <w:rPr>
                <w:rStyle w:val="normaltextrun1"/>
                <w:bCs/>
                <w:color w:val="0F0F0F"/>
              </w:rPr>
              <w:t>Over time, and working with NHS Digital, we aim to be able to work backward from unplanned admissions and link to real world data to understand which drugs cause the most harm. For now, this is a consensus scoring system agreed by the polypharmacy working group.</w:t>
            </w:r>
          </w:p>
          <w:p w14:paraId="7B0CF999" w14:textId="77777777" w:rsidR="00460B48" w:rsidRPr="00227156" w:rsidRDefault="00460B48" w:rsidP="00460B48">
            <w:pPr>
              <w:pStyle w:val="ComparatorSpecBoxSpacing"/>
              <w:rPr>
                <w:rStyle w:val="normaltextrun1"/>
                <w:bCs/>
                <w:color w:val="0F0F0F"/>
              </w:rPr>
            </w:pPr>
            <w:r w:rsidRPr="00227156">
              <w:rPr>
                <w:rStyle w:val="advancedproofingissue"/>
                <w:bCs/>
                <w:color w:val="0F0F0F"/>
              </w:rPr>
              <w:t>Several</w:t>
            </w:r>
            <w:r w:rsidRPr="00227156">
              <w:rPr>
                <w:rStyle w:val="normaltextrun1"/>
                <w:bCs/>
                <w:color w:val="0F0F0F"/>
              </w:rPr>
              <w:t xml:space="preserve"> differing scales were identified, including some that are validated tools for assessing anticholinergic burden. There are significant differences between the scales but there is insufficient evidence to recommend one over the others. </w:t>
            </w:r>
          </w:p>
          <w:p w14:paraId="3BD06CFA" w14:textId="77777777" w:rsidR="00460B48" w:rsidRPr="00227156" w:rsidRDefault="00460B48" w:rsidP="00460B48">
            <w:pPr>
              <w:pStyle w:val="ComparatorSpecBoxSpacing"/>
              <w:rPr>
                <w:rStyle w:val="normaltextrun1"/>
                <w:bCs/>
                <w:color w:val="0F0F0F"/>
              </w:rPr>
            </w:pPr>
            <w:r w:rsidRPr="00227156">
              <w:rPr>
                <w:rStyle w:val="normaltextrun1"/>
                <w:bCs/>
                <w:color w:val="0F0F0F"/>
              </w:rPr>
              <w:t>Medicines with varying degree anticholinergic burden (activity, risk) have been identified through a literature review undertaken NHS England Specialised Pharmacy Services (SPS) on the topic of anticholinergic burden. 12 primary references were identified in the literature search detailing s</w:t>
            </w:r>
            <w:r w:rsidRPr="00227156">
              <w:rPr>
                <w:rStyle w:val="advancedproofingissue"/>
                <w:bCs/>
                <w:color w:val="0F0F0F"/>
              </w:rPr>
              <w:t>everal</w:t>
            </w:r>
            <w:r w:rsidRPr="00227156">
              <w:rPr>
                <w:rStyle w:val="normaltextrun1"/>
                <w:bCs/>
                <w:color w:val="0F0F0F"/>
              </w:rPr>
              <w:t xml:space="preserve"> differing scales, including some that are validated tools for assessing anticholinergic burden. There are significant differences between the scales but there is insufficient evidence to recommend one over the others. </w:t>
            </w:r>
          </w:p>
          <w:p w14:paraId="45F1792E" w14:textId="7DE8B94A" w:rsidR="00460B48" w:rsidRPr="00227156" w:rsidRDefault="00460B48" w:rsidP="00460B48">
            <w:pPr>
              <w:pStyle w:val="ComparatorSpecBoxSpacing"/>
              <w:rPr>
                <w:rFonts w:eastAsia="Calibri"/>
              </w:rPr>
            </w:pPr>
            <w:r w:rsidRPr="001F52F3">
              <w:t xml:space="preserve">The numerator list contains medicines that are considered by as having moderate to high anticholinergic burden. </w:t>
            </w:r>
            <w:r w:rsidRPr="00227156">
              <w:rPr>
                <w:rStyle w:val="normaltextrun1"/>
                <w:bCs/>
                <w:color w:val="0F0F0F"/>
              </w:rPr>
              <w:t>The list was created using the following criteria:</w:t>
            </w:r>
            <w:r w:rsidR="009F0D7B">
              <w:rPr>
                <w:rStyle w:val="normaltextrun1"/>
                <w:bCs/>
                <w:color w:val="0F0F0F"/>
              </w:rPr>
              <w:t xml:space="preserve"> </w:t>
            </w:r>
          </w:p>
          <w:p w14:paraId="5BC2A2B1" w14:textId="77777777" w:rsidR="00460B48" w:rsidRPr="001F52F3" w:rsidRDefault="00460B48" w:rsidP="00460B48">
            <w:pPr>
              <w:pStyle w:val="ComparatorSpecBoxSpacing"/>
            </w:pPr>
            <w:r w:rsidRPr="001F52F3">
              <w:t xml:space="preserve">For each medicine, the number of references (papers) for each of the following categories is calculated as a percentage of the total number of references for zero, low (L), medium (M), or high (H) anticholinergic burden (activity, risk) for that medicine. </w:t>
            </w:r>
          </w:p>
          <w:p w14:paraId="54E836FE" w14:textId="08F8CBD4" w:rsidR="00460B48" w:rsidRPr="001F52F3" w:rsidRDefault="00460B48" w:rsidP="00460B48">
            <w:pPr>
              <w:pStyle w:val="ComparatorSPecBoxBold"/>
            </w:pPr>
            <w:r w:rsidRPr="001F52F3">
              <w:t>Moderate to hig</w:t>
            </w:r>
            <w:r w:rsidR="00256103">
              <w:t>h</w:t>
            </w:r>
            <w:r w:rsidRPr="001F52F3">
              <w:t xml:space="preserve"> ACB </w:t>
            </w:r>
          </w:p>
          <w:p w14:paraId="6B928E2E" w14:textId="77777777" w:rsidR="00460B48" w:rsidRPr="00227156" w:rsidRDefault="00460B48" w:rsidP="00460B48">
            <w:pPr>
              <w:pStyle w:val="ComparatorSpecBoxSpacing"/>
              <w:rPr>
                <w:rFonts w:eastAsia="Calibri"/>
              </w:rPr>
            </w:pPr>
            <w:r w:rsidRPr="00227156">
              <w:rPr>
                <w:rFonts w:eastAsia="Calibri"/>
              </w:rPr>
              <w:t xml:space="preserve">Number of references that state a medicine as having moderate (M) or high (H) ACB as a percentage of the total number of references for that medicine (zero, L, M or </w:t>
            </w:r>
            <w:proofErr w:type="gramStart"/>
            <w:r w:rsidRPr="00227156">
              <w:rPr>
                <w:rFonts w:eastAsia="Calibri"/>
              </w:rPr>
              <w:t>H )</w:t>
            </w:r>
            <w:proofErr w:type="gramEnd"/>
          </w:p>
          <w:p w14:paraId="706567BB" w14:textId="77777777" w:rsidR="00460B48" w:rsidRPr="001F52F3" w:rsidRDefault="00460B48" w:rsidP="00460B48">
            <w:pPr>
              <w:pStyle w:val="ComparatorSPecBoxBold"/>
            </w:pPr>
            <w:r w:rsidRPr="001F52F3">
              <w:t xml:space="preserve">Low to Moderate ACB </w:t>
            </w:r>
          </w:p>
          <w:p w14:paraId="7D4955DC" w14:textId="77777777" w:rsidR="00460B48" w:rsidRPr="00227156" w:rsidRDefault="00460B48" w:rsidP="00460B48">
            <w:pPr>
              <w:pStyle w:val="ComparatorSpecBoxSpacing"/>
              <w:rPr>
                <w:rFonts w:eastAsia="Calibri"/>
              </w:rPr>
            </w:pPr>
            <w:r w:rsidRPr="00227156">
              <w:rPr>
                <w:rFonts w:eastAsia="Calibri"/>
              </w:rPr>
              <w:t xml:space="preserve">Number of references that state a medicine as having low (L) or moderate (M) ACB as a percentage of the total number of references for that medicine (zero, L, M or </w:t>
            </w:r>
            <w:proofErr w:type="gramStart"/>
            <w:r w:rsidRPr="00227156">
              <w:rPr>
                <w:rFonts w:eastAsia="Calibri"/>
              </w:rPr>
              <w:t>H )</w:t>
            </w:r>
            <w:proofErr w:type="gramEnd"/>
          </w:p>
          <w:p w14:paraId="016FCC8A" w14:textId="77777777" w:rsidR="00460B48" w:rsidRPr="001F52F3" w:rsidRDefault="00460B48" w:rsidP="00460B48">
            <w:pPr>
              <w:pStyle w:val="ComparatorSPecBoxBold"/>
            </w:pPr>
            <w:r w:rsidRPr="001F52F3">
              <w:t xml:space="preserve">Zero ACB </w:t>
            </w:r>
          </w:p>
          <w:p w14:paraId="39068819" w14:textId="77777777" w:rsidR="00460B48" w:rsidRPr="00227156" w:rsidRDefault="00460B48" w:rsidP="00460B48">
            <w:pPr>
              <w:pStyle w:val="ComparatorSpecBoxSpacing"/>
              <w:rPr>
                <w:rFonts w:eastAsia="Calibri"/>
              </w:rPr>
            </w:pPr>
            <w:r w:rsidRPr="00227156">
              <w:rPr>
                <w:rFonts w:eastAsia="Calibri"/>
              </w:rPr>
              <w:t xml:space="preserve">Number of references that state a medicine as having zero ACB as a percentage of the total number of references for that medicine (zero, L, M or </w:t>
            </w:r>
            <w:proofErr w:type="gramStart"/>
            <w:r w:rsidRPr="00227156">
              <w:rPr>
                <w:rFonts w:eastAsia="Calibri"/>
              </w:rPr>
              <w:t>H )</w:t>
            </w:r>
            <w:proofErr w:type="gramEnd"/>
          </w:p>
          <w:p w14:paraId="4AA0093D" w14:textId="77777777" w:rsidR="00460B48" w:rsidRPr="00227156" w:rsidRDefault="00460B48" w:rsidP="00460B48">
            <w:pPr>
              <w:pStyle w:val="ComparatorSpecBoxSpacing"/>
              <w:rPr>
                <w:rFonts w:eastAsia="Calibri"/>
              </w:rPr>
            </w:pPr>
            <w:r w:rsidRPr="00227156">
              <w:rPr>
                <w:rFonts w:eastAsia="Calibri"/>
              </w:rPr>
              <w:t xml:space="preserve">Based on the highest percentage figure for the above groupings, each medicine is then allocated to the appropriate comparator </w:t>
            </w:r>
          </w:p>
          <w:p w14:paraId="788F4C83" w14:textId="77777777" w:rsidR="00460B48" w:rsidRPr="00227156" w:rsidRDefault="00460B48" w:rsidP="00460B48">
            <w:pPr>
              <w:pStyle w:val="ComparatorSpecBoxSpacing"/>
              <w:rPr>
                <w:rFonts w:eastAsia="Calibri"/>
              </w:rPr>
            </w:pPr>
            <w:r w:rsidRPr="00227156">
              <w:rPr>
                <w:rFonts w:eastAsia="Calibri"/>
              </w:rPr>
              <w:t xml:space="preserve">a) Moderate to high anticholinergic burden (this comparator) </w:t>
            </w:r>
          </w:p>
          <w:p w14:paraId="2C773840" w14:textId="77777777" w:rsidR="00460B48" w:rsidRPr="00227156" w:rsidRDefault="00460B48" w:rsidP="00460B48">
            <w:pPr>
              <w:pStyle w:val="ComparatorSpecBoxSpacing"/>
              <w:rPr>
                <w:rFonts w:eastAsia="Calibri"/>
              </w:rPr>
            </w:pPr>
            <w:r w:rsidRPr="00227156">
              <w:rPr>
                <w:rFonts w:eastAsia="Calibri"/>
              </w:rPr>
              <w:t xml:space="preserve">or </w:t>
            </w:r>
          </w:p>
          <w:p w14:paraId="74B5B00F" w14:textId="77777777" w:rsidR="00460B48" w:rsidRPr="00227156" w:rsidRDefault="00460B48" w:rsidP="00460B48">
            <w:pPr>
              <w:pStyle w:val="ComparatorSpecBoxSpacing"/>
              <w:rPr>
                <w:rFonts w:eastAsia="Calibri"/>
              </w:rPr>
            </w:pPr>
            <w:r w:rsidRPr="00227156">
              <w:rPr>
                <w:rFonts w:eastAsia="Calibri"/>
              </w:rPr>
              <w:t xml:space="preserve">b) Low to moderate anticholinergic burden (see comparator ACB2) </w:t>
            </w:r>
          </w:p>
          <w:p w14:paraId="79303438" w14:textId="77777777" w:rsidR="00460B48" w:rsidRPr="00227156" w:rsidRDefault="00460B48" w:rsidP="00460B48">
            <w:pPr>
              <w:pStyle w:val="ComparatorSpecBoxSpacing"/>
              <w:rPr>
                <w:rFonts w:eastAsia="Calibri"/>
              </w:rPr>
            </w:pPr>
            <w:r w:rsidRPr="00227156">
              <w:rPr>
                <w:rFonts w:eastAsia="Calibri"/>
              </w:rPr>
              <w:t xml:space="preserve"> If zero is the highest percentage, the medicine is excluded and not included in either of the above comparators. </w:t>
            </w:r>
          </w:p>
          <w:p w14:paraId="49504373" w14:textId="77777777" w:rsidR="00460B48" w:rsidRPr="00227156" w:rsidRDefault="00460B48" w:rsidP="00460B48">
            <w:pPr>
              <w:pStyle w:val="ComparatorSpecBoxNormal"/>
              <w:rPr>
                <w:rFonts w:eastAsia="Calibri"/>
              </w:rPr>
            </w:pPr>
            <w:r w:rsidRPr="00227156">
              <w:rPr>
                <w:rFonts w:eastAsia="Calibri"/>
              </w:rPr>
              <w:t xml:space="preserve">If necessary, further rules are applied: </w:t>
            </w:r>
          </w:p>
          <w:p w14:paraId="27387D67" w14:textId="77777777" w:rsidR="00460B48" w:rsidRPr="00227156" w:rsidRDefault="00460B48" w:rsidP="00460B48">
            <w:pPr>
              <w:pStyle w:val="ComparatorSpecBoxList"/>
              <w:rPr>
                <w:rFonts w:eastAsia="Calibri"/>
              </w:rPr>
            </w:pPr>
            <w:r w:rsidRPr="00227156">
              <w:rPr>
                <w:rFonts w:eastAsia="Calibri"/>
              </w:rPr>
              <w:t>If the figure for a) and b) are the same, a) is selected (i.e. moderate to high rather than low to moderate)</w:t>
            </w:r>
          </w:p>
          <w:p w14:paraId="3D2F9E1A" w14:textId="77777777" w:rsidR="00460B48" w:rsidRPr="00227156" w:rsidRDefault="00460B48" w:rsidP="00460B48">
            <w:pPr>
              <w:pStyle w:val="ComparatorSpecBoxList"/>
              <w:rPr>
                <w:rFonts w:eastAsia="Calibri"/>
              </w:rPr>
            </w:pPr>
            <w:r w:rsidRPr="00227156">
              <w:rPr>
                <w:rFonts w:eastAsia="Calibri"/>
              </w:rPr>
              <w:t>If the figure for b) and c) are the same, b) is selected (i.e. low to moderate rather than zero)</w:t>
            </w:r>
          </w:p>
          <w:p w14:paraId="66D1226F" w14:textId="77777777" w:rsidR="00460B48" w:rsidRPr="00227156" w:rsidRDefault="00460B48" w:rsidP="00460B48">
            <w:pPr>
              <w:pStyle w:val="ComparatorSpecBoxList"/>
              <w:rPr>
                <w:rFonts w:eastAsia="Calibri"/>
              </w:rPr>
            </w:pPr>
            <w:r w:rsidRPr="00227156">
              <w:rPr>
                <w:rFonts w:eastAsia="Calibri"/>
              </w:rPr>
              <w:t xml:space="preserve">If the figure for a) and c) are the same, a) is selected (i.e. moderate to high rather than zero) </w:t>
            </w:r>
          </w:p>
          <w:p w14:paraId="0022F81C" w14:textId="77777777" w:rsidR="00460B48" w:rsidRPr="00227156" w:rsidRDefault="00460B48" w:rsidP="00460B48">
            <w:pPr>
              <w:pStyle w:val="ComparatorSpecBoxList"/>
              <w:rPr>
                <w:rFonts w:eastAsia="Calibri"/>
              </w:rPr>
            </w:pPr>
            <w:r w:rsidRPr="00227156">
              <w:rPr>
                <w:rFonts w:eastAsia="Calibri"/>
              </w:rPr>
              <w:t>If the figure for a), b) and c) are the same, b) is selected (i.e. low to moderate rather than moderate to high or zero)</w:t>
            </w:r>
          </w:p>
          <w:p w14:paraId="673B1652" w14:textId="1AB8553C" w:rsidR="00460B48" w:rsidRPr="001F52F3" w:rsidRDefault="00460B48" w:rsidP="00460B48">
            <w:pPr>
              <w:pStyle w:val="ComparatorSpecBoxSpacing"/>
            </w:pPr>
            <w:r w:rsidRPr="001F52F3">
              <w:t xml:space="preserve">NB: The sum of the percentage of references may be greater than 100%. This is due to references for a medicine with moderate anticholinergic burden being counted as both moderate to high and low to moderate. </w:t>
            </w:r>
          </w:p>
          <w:p w14:paraId="60D434A8" w14:textId="77777777" w:rsidR="00460B48" w:rsidRPr="001F52F3" w:rsidRDefault="00460B48" w:rsidP="00460B48">
            <w:pPr>
              <w:pStyle w:val="ComparatorSpecBoxSpacing"/>
            </w:pPr>
            <w:r w:rsidRPr="001F52F3">
              <w:t xml:space="preserve">Comparators are available for all ages and age ranges whilst recognising that the risks </w:t>
            </w:r>
            <w:r w:rsidRPr="001F52F3">
              <w:lastRenderedPageBreak/>
              <w:t>associated with anticholinergic burden increase with age.</w:t>
            </w:r>
          </w:p>
          <w:p w14:paraId="38E30A74" w14:textId="5772923E" w:rsidR="001F52F3" w:rsidRPr="003940B7" w:rsidRDefault="00460B48" w:rsidP="00460B48">
            <w:pPr>
              <w:pStyle w:val="NHSFormatting"/>
              <w:jc w:val="center"/>
            </w:pPr>
            <w:r>
              <w:t xml:space="preserve">See </w:t>
            </w:r>
            <w:r>
              <w:fldChar w:fldCharType="begin"/>
            </w:r>
            <w:r>
              <w:instrText xml:space="preserve"> REF _Ref208830547 \r \h  \* MERGEFORMAT </w:instrText>
            </w:r>
            <w:r>
              <w:fldChar w:fldCharType="separate"/>
            </w:r>
            <w:r>
              <w:t>Appendix 2</w:t>
            </w:r>
            <w:r>
              <w:fldChar w:fldCharType="end"/>
            </w:r>
            <w:r>
              <w:t xml:space="preserve"> for the detailed table of evidence for the classification of medicines</w:t>
            </w:r>
          </w:p>
        </w:tc>
      </w:tr>
    </w:tbl>
    <w:p w14:paraId="2CE8C226" w14:textId="77777777" w:rsidR="00BF1A26" w:rsidRPr="00D70F78" w:rsidRDefault="00D70F78" w:rsidP="007D1697">
      <w:pPr>
        <w:pStyle w:val="Heading2"/>
      </w:pPr>
      <w:r>
        <w:lastRenderedPageBreak/>
        <w:br w:type="page"/>
      </w:r>
      <w:bookmarkStart w:id="92" w:name="_Toc234231966"/>
      <w:r w:rsidR="00BF1A26" w:rsidRPr="00D70F78">
        <w:lastRenderedPageBreak/>
        <w:t xml:space="preserve">Patients concurrently prescribed multiple analgesic </w:t>
      </w:r>
      <w:r w:rsidR="00BF1A26" w:rsidRPr="007D1697">
        <w:t>medicines</w:t>
      </w:r>
      <w:r w:rsidR="00BF1A26" w:rsidRPr="00D70F78">
        <w:t>.</w:t>
      </w:r>
      <w:bookmarkEnd w:id="92"/>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93"/>
        <w:gridCol w:w="7146"/>
        <w:gridCol w:w="12"/>
      </w:tblGrid>
      <w:tr w:rsidR="00D70F78" w:rsidRPr="00D70F78" w14:paraId="1B60D5FF" w14:textId="77777777" w:rsidTr="00200848">
        <w:trPr>
          <w:trHeight w:val="20"/>
        </w:trPr>
        <w:tc>
          <w:tcPr>
            <w:tcW w:w="9818" w:type="dxa"/>
            <w:gridSpan w:val="4"/>
            <w:shd w:val="clear" w:color="auto" w:fill="D9D9D9"/>
          </w:tcPr>
          <w:p w14:paraId="046B1713" w14:textId="77777777" w:rsidR="00D70F78" w:rsidRPr="00D70F78" w:rsidRDefault="00D16106" w:rsidP="007D1697">
            <w:pPr>
              <w:pStyle w:val="ComparatorSPecBoxBold"/>
            </w:pPr>
            <w:r w:rsidRPr="00CC3615">
              <w:t>Section 1: Introduction / Overview</w:t>
            </w:r>
          </w:p>
        </w:tc>
      </w:tr>
      <w:tr w:rsidR="00D70F78" w:rsidRPr="00F655BE" w14:paraId="2A68EE3B" w14:textId="77777777" w:rsidTr="00200848">
        <w:trPr>
          <w:gridAfter w:val="1"/>
          <w:wAfter w:w="12" w:type="dxa"/>
          <w:trHeight w:val="20"/>
        </w:trPr>
        <w:tc>
          <w:tcPr>
            <w:tcW w:w="567" w:type="dxa"/>
            <w:shd w:val="clear" w:color="auto" w:fill="D9D9D9"/>
          </w:tcPr>
          <w:p w14:paraId="6CFE63E9" w14:textId="77777777" w:rsidR="00D70F78" w:rsidRPr="00D70F78" w:rsidRDefault="00D70F78" w:rsidP="007D1697">
            <w:pPr>
              <w:pStyle w:val="ComparatorSPecBoxBold"/>
            </w:pPr>
            <w:r>
              <w:t>1.1</w:t>
            </w:r>
          </w:p>
        </w:tc>
        <w:tc>
          <w:tcPr>
            <w:tcW w:w="2093" w:type="dxa"/>
            <w:shd w:val="clear" w:color="auto" w:fill="D9D9D9"/>
          </w:tcPr>
          <w:p w14:paraId="764BDE66" w14:textId="77777777" w:rsidR="00D70F78" w:rsidRPr="00D70F78" w:rsidRDefault="00D70F78" w:rsidP="007D1697">
            <w:pPr>
              <w:pStyle w:val="ComparatorSPecBoxBold"/>
            </w:pPr>
            <w:r w:rsidRPr="00D70F78">
              <w:t>Title</w:t>
            </w:r>
          </w:p>
        </w:tc>
        <w:tc>
          <w:tcPr>
            <w:tcW w:w="7146" w:type="dxa"/>
          </w:tcPr>
          <w:p w14:paraId="579FD987" w14:textId="77777777" w:rsidR="00D70F78" w:rsidRPr="00D70F78" w:rsidRDefault="00D70F78" w:rsidP="007D1697">
            <w:pPr>
              <w:pStyle w:val="ComparatorSpecBoxSpacing"/>
            </w:pPr>
            <w:r w:rsidRPr="00D70F78">
              <w:t>Patients concurrently prescribed multiple analgesic medicines.</w:t>
            </w:r>
          </w:p>
        </w:tc>
      </w:tr>
      <w:tr w:rsidR="00D70F78" w:rsidRPr="00F655BE" w14:paraId="53C5F9C2" w14:textId="77777777" w:rsidTr="00200848">
        <w:trPr>
          <w:gridAfter w:val="1"/>
          <w:wAfter w:w="12" w:type="dxa"/>
          <w:trHeight w:val="20"/>
        </w:trPr>
        <w:tc>
          <w:tcPr>
            <w:tcW w:w="567" w:type="dxa"/>
            <w:shd w:val="clear" w:color="auto" w:fill="D9D9D9"/>
          </w:tcPr>
          <w:p w14:paraId="16880D46" w14:textId="77777777" w:rsidR="00D70F78" w:rsidRPr="00D70F78" w:rsidRDefault="00D70F78" w:rsidP="007D1697">
            <w:pPr>
              <w:pStyle w:val="ComparatorSPecBoxBold"/>
            </w:pPr>
            <w:r>
              <w:t>1.2</w:t>
            </w:r>
          </w:p>
        </w:tc>
        <w:tc>
          <w:tcPr>
            <w:tcW w:w="2093" w:type="dxa"/>
            <w:shd w:val="clear" w:color="auto" w:fill="D9D9D9"/>
          </w:tcPr>
          <w:p w14:paraId="7C7206F9" w14:textId="77777777" w:rsidR="00D70F78" w:rsidRPr="00D70F78" w:rsidRDefault="00D70F78" w:rsidP="007D1697">
            <w:pPr>
              <w:pStyle w:val="ComparatorSPecBoxBold"/>
            </w:pPr>
            <w:r w:rsidRPr="00D70F78">
              <w:t>Description</w:t>
            </w:r>
          </w:p>
        </w:tc>
        <w:tc>
          <w:tcPr>
            <w:tcW w:w="7146" w:type="dxa"/>
          </w:tcPr>
          <w:p w14:paraId="3D8288C6" w14:textId="77777777" w:rsidR="00D70F78" w:rsidRPr="00D70F78" w:rsidRDefault="00D70F78" w:rsidP="007D1697">
            <w:pPr>
              <w:pStyle w:val="ComparatorSpecBoxSpacing"/>
            </w:pPr>
            <w:r w:rsidRPr="00F655BE">
              <w:rPr>
                <w:rFonts w:eastAsia="Calibri"/>
              </w:rPr>
              <w:t xml:space="preserve">Number of patients (all ages, aged 17 or under, 18 to 24, 25 to 34, 35 to 44, 45 to 54, 55 to 64, 65 to 74, 75 to 84 and 85 or over) </w:t>
            </w:r>
            <w:r w:rsidRPr="00D70F78">
              <w:t>prescribed five or more unique analgesic medicines for three or more consecutive months as a percentage of patients prescribed one or more analgesic medicines for three (or more) consecutive months in the same reporting period.</w:t>
            </w:r>
          </w:p>
        </w:tc>
      </w:tr>
      <w:tr w:rsidR="00D70F78" w:rsidRPr="00F655BE" w14:paraId="53467096" w14:textId="77777777" w:rsidTr="00200848">
        <w:trPr>
          <w:gridAfter w:val="1"/>
          <w:wAfter w:w="12" w:type="dxa"/>
          <w:trHeight w:val="20"/>
        </w:trPr>
        <w:tc>
          <w:tcPr>
            <w:tcW w:w="567" w:type="dxa"/>
            <w:shd w:val="clear" w:color="auto" w:fill="D9D9D9"/>
          </w:tcPr>
          <w:p w14:paraId="6D0B5B8B" w14:textId="77777777" w:rsidR="00D70F78" w:rsidRPr="00D70F78" w:rsidRDefault="00D70F78" w:rsidP="007D1697">
            <w:pPr>
              <w:pStyle w:val="ComparatorSPecBoxBold"/>
            </w:pPr>
            <w:r>
              <w:t>1.3</w:t>
            </w:r>
          </w:p>
        </w:tc>
        <w:tc>
          <w:tcPr>
            <w:tcW w:w="2093" w:type="dxa"/>
            <w:shd w:val="clear" w:color="auto" w:fill="D9D9D9"/>
          </w:tcPr>
          <w:p w14:paraId="67C3DC0E" w14:textId="77777777" w:rsidR="00D70F78" w:rsidRPr="00D70F78" w:rsidRDefault="00D70F78" w:rsidP="007D1697">
            <w:pPr>
              <w:pStyle w:val="ComparatorSPecBoxBold"/>
            </w:pPr>
            <w:r w:rsidRPr="00D70F78">
              <w:t>Numerator</w:t>
            </w:r>
          </w:p>
        </w:tc>
        <w:tc>
          <w:tcPr>
            <w:tcW w:w="7146" w:type="dxa"/>
          </w:tcPr>
          <w:p w14:paraId="5FDDE8F7" w14:textId="77777777" w:rsidR="00D70F78" w:rsidRPr="00D70F78" w:rsidRDefault="00D70F78" w:rsidP="007D1697">
            <w:pPr>
              <w:pStyle w:val="ComparatorSpecBoxSpacing"/>
            </w:pPr>
            <w:r w:rsidRPr="00F655BE">
              <w:rPr>
                <w:rFonts w:eastAsia="Calibri"/>
              </w:rPr>
              <w:t xml:space="preserve">Number of patients (all ages, aged 17 or under, 18 to 24, 25 to 34, 35 to 44, 45 to 54, 55 to 64, 65 to 74, 75 to 84 and 85 or over) </w:t>
            </w:r>
            <w:r w:rsidRPr="00D70F78">
              <w:t xml:space="preserve">prescribed five or more unique analgesic medicines (chemical substances) for three or more consecutive months from any of the following groups of analgesic medicines. </w:t>
            </w:r>
          </w:p>
          <w:p w14:paraId="5F3F2A70" w14:textId="56C9595A" w:rsidR="00D70F78" w:rsidRPr="00D70F78" w:rsidRDefault="00D70F78" w:rsidP="007D1697">
            <w:pPr>
              <w:pStyle w:val="ComparatorSpecBoxSpacing"/>
            </w:pPr>
            <w:r w:rsidRPr="00D70F78">
              <w:t xml:space="preserve">See </w:t>
            </w:r>
            <w:r w:rsidR="003E2211">
              <w:fldChar w:fldCharType="begin"/>
            </w:r>
            <w:r w:rsidR="003E2211">
              <w:instrText xml:space="preserve"> REF _Ref200038894 \r \h </w:instrText>
            </w:r>
            <w:r w:rsidR="007D1697">
              <w:instrText xml:space="preserve"> \* MERGEFORMAT </w:instrText>
            </w:r>
            <w:r w:rsidR="003E2211">
              <w:fldChar w:fldCharType="separate"/>
            </w:r>
            <w:r w:rsidR="00572C7A">
              <w:t>Appendix 4</w:t>
            </w:r>
            <w:r w:rsidR="003E2211">
              <w:fldChar w:fldCharType="end"/>
            </w:r>
            <w:r w:rsidRPr="00D70F78">
              <w:t xml:space="preserve"> for the full list of medicines (chemical substances).</w:t>
            </w:r>
          </w:p>
          <w:tbl>
            <w:tblPr>
              <w:tblW w:w="0" w:type="auto"/>
              <w:tblLook w:val="04A0" w:firstRow="1" w:lastRow="0" w:firstColumn="1" w:lastColumn="0" w:noHBand="0" w:noVBand="1"/>
            </w:tblPr>
            <w:tblGrid>
              <w:gridCol w:w="889"/>
              <w:gridCol w:w="4394"/>
              <w:gridCol w:w="1276"/>
            </w:tblGrid>
            <w:tr w:rsidR="00200848" w:rsidRPr="00D70F78" w14:paraId="679BF216" w14:textId="77777777" w:rsidTr="00200848">
              <w:trPr>
                <w:trHeight w:val="283"/>
              </w:trPr>
              <w:tc>
                <w:tcPr>
                  <w:tcW w:w="8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EF4B967" w14:textId="77777777" w:rsidR="00D70F78" w:rsidRPr="00D70F78" w:rsidRDefault="00D70F78" w:rsidP="007D1697">
                  <w:pPr>
                    <w:pStyle w:val="ComparatorSPecBoxBold"/>
                  </w:pPr>
                  <w:r w:rsidRPr="00D70F78">
                    <w:t>Group</w:t>
                  </w:r>
                </w:p>
              </w:tc>
              <w:tc>
                <w:tcPr>
                  <w:tcW w:w="4394" w:type="dxa"/>
                  <w:tcBorders>
                    <w:top w:val="single" w:sz="4" w:space="0" w:color="auto"/>
                    <w:left w:val="nil"/>
                    <w:bottom w:val="single" w:sz="4" w:space="0" w:color="auto"/>
                    <w:right w:val="single" w:sz="4" w:space="0" w:color="auto"/>
                  </w:tcBorders>
                  <w:shd w:val="clear" w:color="auto" w:fill="D9D9D9"/>
                  <w:noWrap/>
                  <w:vAlign w:val="bottom"/>
                  <w:hideMark/>
                </w:tcPr>
                <w:p w14:paraId="2D7964A2" w14:textId="77777777" w:rsidR="00D70F78" w:rsidRPr="00D70F78" w:rsidRDefault="00D70F78" w:rsidP="007D1697">
                  <w:pPr>
                    <w:pStyle w:val="ComparatorSPecBoxBold"/>
                  </w:pPr>
                  <w:r w:rsidRPr="00D70F78">
                    <w:t>BNF description</w:t>
                  </w:r>
                </w:p>
              </w:tc>
              <w:tc>
                <w:tcPr>
                  <w:tcW w:w="1276" w:type="dxa"/>
                  <w:tcBorders>
                    <w:top w:val="single" w:sz="4" w:space="0" w:color="auto"/>
                    <w:left w:val="nil"/>
                    <w:bottom w:val="single" w:sz="4" w:space="0" w:color="auto"/>
                    <w:right w:val="single" w:sz="4" w:space="0" w:color="auto"/>
                  </w:tcBorders>
                  <w:shd w:val="clear" w:color="auto" w:fill="D9D9D9"/>
                  <w:noWrap/>
                  <w:vAlign w:val="bottom"/>
                  <w:hideMark/>
                </w:tcPr>
                <w:p w14:paraId="251667E1" w14:textId="77777777" w:rsidR="00D70F78" w:rsidRPr="00D70F78" w:rsidRDefault="00D70F78" w:rsidP="007D1697">
                  <w:pPr>
                    <w:pStyle w:val="ComparatorSPecBoxBold"/>
                  </w:pPr>
                  <w:r w:rsidRPr="00D70F78">
                    <w:t>BNF code</w:t>
                  </w:r>
                </w:p>
              </w:tc>
            </w:tr>
            <w:tr w:rsidR="00200848" w:rsidRPr="00D70F78" w14:paraId="15D747DF" w14:textId="77777777" w:rsidTr="00200848">
              <w:trPr>
                <w:trHeight w:val="283"/>
              </w:trPr>
              <w:tc>
                <w:tcPr>
                  <w:tcW w:w="889" w:type="dxa"/>
                  <w:tcBorders>
                    <w:top w:val="nil"/>
                    <w:left w:val="single" w:sz="4" w:space="0" w:color="auto"/>
                    <w:bottom w:val="single" w:sz="4" w:space="0" w:color="auto"/>
                    <w:right w:val="single" w:sz="4" w:space="0" w:color="auto"/>
                  </w:tcBorders>
                  <w:shd w:val="clear" w:color="auto" w:fill="FFFFFF"/>
                  <w:noWrap/>
                  <w:vAlign w:val="center"/>
                  <w:hideMark/>
                </w:tcPr>
                <w:p w14:paraId="64A31D8B" w14:textId="77777777" w:rsidR="00D70F78" w:rsidRPr="00D70F78" w:rsidRDefault="00D70F78" w:rsidP="007D1697">
                  <w:pPr>
                    <w:pStyle w:val="ComparatorSpecBoxNormal"/>
                  </w:pPr>
                  <w:r w:rsidRPr="00D70F78">
                    <w:t>1</w:t>
                  </w:r>
                </w:p>
              </w:tc>
              <w:tc>
                <w:tcPr>
                  <w:tcW w:w="4394" w:type="dxa"/>
                  <w:tcBorders>
                    <w:top w:val="nil"/>
                    <w:left w:val="nil"/>
                    <w:bottom w:val="single" w:sz="4" w:space="0" w:color="auto"/>
                    <w:right w:val="single" w:sz="4" w:space="0" w:color="auto"/>
                  </w:tcBorders>
                  <w:shd w:val="clear" w:color="auto" w:fill="FFFFFF"/>
                  <w:noWrap/>
                  <w:vAlign w:val="center"/>
                  <w:hideMark/>
                </w:tcPr>
                <w:p w14:paraId="60B13862" w14:textId="77777777" w:rsidR="00D70F78" w:rsidRPr="00D70F78" w:rsidRDefault="00D70F78" w:rsidP="007D1697">
                  <w:pPr>
                    <w:pStyle w:val="ComparatorSpecBoxNormal"/>
                  </w:pPr>
                  <w:r w:rsidRPr="00D70F78">
                    <w:t>Non-opioid analgesics and compound preparations</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09CCEE1B" w14:textId="77777777" w:rsidR="00D70F78" w:rsidRPr="00D70F78" w:rsidRDefault="00D70F78" w:rsidP="007D1697">
                  <w:pPr>
                    <w:pStyle w:val="ComparatorSpecBoxNormal"/>
                  </w:pPr>
                  <w:r w:rsidRPr="00D70F78">
                    <w:t>040701</w:t>
                  </w:r>
                </w:p>
              </w:tc>
            </w:tr>
            <w:tr w:rsidR="00200848" w:rsidRPr="00D70F78" w14:paraId="1CEAB1AE" w14:textId="77777777">
              <w:trPr>
                <w:trHeight w:val="283"/>
              </w:trPr>
              <w:tc>
                <w:tcPr>
                  <w:tcW w:w="889"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EECE31D" w14:textId="77777777" w:rsidR="00D70F78" w:rsidRPr="00D70F78" w:rsidRDefault="00D70F78" w:rsidP="007D1697">
                  <w:pPr>
                    <w:pStyle w:val="ComparatorSpecBoxNormal"/>
                  </w:pPr>
                  <w:r w:rsidRPr="00D70F78">
                    <w:t>2</w:t>
                  </w:r>
                </w:p>
              </w:tc>
              <w:tc>
                <w:tcPr>
                  <w:tcW w:w="4394" w:type="dxa"/>
                  <w:tcBorders>
                    <w:top w:val="single" w:sz="4" w:space="0" w:color="auto"/>
                    <w:left w:val="nil"/>
                    <w:bottom w:val="single" w:sz="4" w:space="0" w:color="auto"/>
                    <w:right w:val="single" w:sz="4" w:space="0" w:color="auto"/>
                  </w:tcBorders>
                  <w:shd w:val="clear" w:color="auto" w:fill="F2F2F2"/>
                  <w:noWrap/>
                  <w:vAlign w:val="center"/>
                  <w:hideMark/>
                </w:tcPr>
                <w:p w14:paraId="60D1DD13" w14:textId="77777777" w:rsidR="00D70F78" w:rsidRPr="00D70F78" w:rsidRDefault="00D70F78" w:rsidP="007D1697">
                  <w:pPr>
                    <w:pStyle w:val="ComparatorSpecBoxNormal"/>
                  </w:pPr>
                  <w:r w:rsidRPr="00D70F78">
                    <w:t>Opioids</w:t>
                  </w:r>
                </w:p>
              </w:tc>
              <w:tc>
                <w:tcPr>
                  <w:tcW w:w="1276" w:type="dxa"/>
                  <w:tcBorders>
                    <w:top w:val="nil"/>
                    <w:left w:val="single" w:sz="4" w:space="0" w:color="auto"/>
                    <w:bottom w:val="single" w:sz="4" w:space="0" w:color="auto"/>
                    <w:right w:val="single" w:sz="4" w:space="0" w:color="auto"/>
                  </w:tcBorders>
                  <w:shd w:val="clear" w:color="auto" w:fill="F2F2F2"/>
                  <w:vAlign w:val="center"/>
                  <w:hideMark/>
                </w:tcPr>
                <w:p w14:paraId="6E1B0062" w14:textId="77777777" w:rsidR="00D70F78" w:rsidRPr="00D70F78" w:rsidRDefault="00D70F78" w:rsidP="007D1697">
                  <w:pPr>
                    <w:pStyle w:val="ComparatorSpecBoxNormal"/>
                  </w:pPr>
                  <w:r w:rsidRPr="00D70F78">
                    <w:t>040702</w:t>
                  </w:r>
                </w:p>
              </w:tc>
            </w:tr>
            <w:tr w:rsidR="00200848" w:rsidRPr="00D70F78" w14:paraId="7F247FD7" w14:textId="77777777" w:rsidTr="00200848">
              <w:trPr>
                <w:trHeight w:val="283"/>
              </w:trPr>
              <w:tc>
                <w:tcPr>
                  <w:tcW w:w="889" w:type="dxa"/>
                  <w:vMerge w:val="restart"/>
                  <w:tcBorders>
                    <w:top w:val="single" w:sz="4" w:space="0" w:color="auto"/>
                    <w:left w:val="single" w:sz="4" w:space="0" w:color="auto"/>
                    <w:right w:val="single" w:sz="4" w:space="0" w:color="auto"/>
                  </w:tcBorders>
                  <w:shd w:val="clear" w:color="auto" w:fill="FFFFFF"/>
                  <w:noWrap/>
                  <w:vAlign w:val="center"/>
                  <w:hideMark/>
                </w:tcPr>
                <w:p w14:paraId="72AF2046" w14:textId="77777777" w:rsidR="00D70F78" w:rsidRPr="00D70F78" w:rsidRDefault="00D70F78" w:rsidP="007D1697">
                  <w:pPr>
                    <w:pStyle w:val="ComparatorSpecBoxNormal"/>
                  </w:pPr>
                  <w:r w:rsidRPr="00D70F78">
                    <w:t>3</w:t>
                  </w:r>
                </w:p>
              </w:tc>
              <w:tc>
                <w:tcPr>
                  <w:tcW w:w="4394" w:type="dxa"/>
                  <w:tcBorders>
                    <w:top w:val="single" w:sz="4" w:space="0" w:color="auto"/>
                    <w:left w:val="nil"/>
                    <w:bottom w:val="single" w:sz="4" w:space="0" w:color="auto"/>
                    <w:right w:val="single" w:sz="4" w:space="0" w:color="auto"/>
                  </w:tcBorders>
                  <w:shd w:val="clear" w:color="auto" w:fill="FFFFFF"/>
                  <w:vAlign w:val="center"/>
                  <w:hideMark/>
                </w:tcPr>
                <w:p w14:paraId="437602E2" w14:textId="77777777" w:rsidR="00D70F78" w:rsidRPr="00D70F78" w:rsidRDefault="00D70F78" w:rsidP="007D1697">
                  <w:pPr>
                    <w:pStyle w:val="ComparatorSpecBoxNormal"/>
                  </w:pPr>
                  <w:r w:rsidRPr="00D70F78">
                    <w:t>Gabapentin</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21596FD8" w14:textId="77777777" w:rsidR="00D70F78" w:rsidRPr="00D70F78" w:rsidRDefault="00D70F78" w:rsidP="007D1697">
                  <w:pPr>
                    <w:pStyle w:val="ComparatorSpecBoxNormal"/>
                  </w:pPr>
                  <w:r w:rsidRPr="00D70F78">
                    <w:t>0408010G0</w:t>
                  </w:r>
                </w:p>
              </w:tc>
            </w:tr>
            <w:tr w:rsidR="00200848" w:rsidRPr="00D70F78" w14:paraId="12BC85A2" w14:textId="77777777" w:rsidTr="00200848">
              <w:trPr>
                <w:trHeight w:val="283"/>
              </w:trPr>
              <w:tc>
                <w:tcPr>
                  <w:tcW w:w="889" w:type="dxa"/>
                  <w:vMerge/>
                  <w:tcBorders>
                    <w:left w:val="single" w:sz="4" w:space="0" w:color="auto"/>
                    <w:right w:val="single" w:sz="4" w:space="0" w:color="auto"/>
                  </w:tcBorders>
                  <w:shd w:val="clear" w:color="auto" w:fill="FFFFFF"/>
                  <w:vAlign w:val="center"/>
                  <w:hideMark/>
                </w:tcPr>
                <w:p w14:paraId="36495B29" w14:textId="77777777" w:rsidR="00D70F78" w:rsidRPr="00D70F78" w:rsidRDefault="00D70F78" w:rsidP="007D1697">
                  <w:pPr>
                    <w:pStyle w:val="ComparatorSpecBoxNormal"/>
                  </w:pPr>
                </w:p>
              </w:tc>
              <w:tc>
                <w:tcPr>
                  <w:tcW w:w="4394" w:type="dxa"/>
                  <w:tcBorders>
                    <w:top w:val="nil"/>
                    <w:left w:val="nil"/>
                    <w:bottom w:val="single" w:sz="4" w:space="0" w:color="auto"/>
                    <w:right w:val="single" w:sz="4" w:space="0" w:color="auto"/>
                  </w:tcBorders>
                  <w:shd w:val="clear" w:color="auto" w:fill="FFFFFF"/>
                  <w:vAlign w:val="center"/>
                  <w:hideMark/>
                </w:tcPr>
                <w:p w14:paraId="373AF7B5" w14:textId="77777777" w:rsidR="00D70F78" w:rsidRPr="00D70F78" w:rsidRDefault="00D70F78" w:rsidP="007D1697">
                  <w:pPr>
                    <w:pStyle w:val="ComparatorSpecBoxNormal"/>
                  </w:pPr>
                  <w:r w:rsidRPr="00D70F78">
                    <w:t>Gabapentin (Neuropathic Pain)</w:t>
                  </w:r>
                </w:p>
              </w:tc>
              <w:tc>
                <w:tcPr>
                  <w:tcW w:w="1276" w:type="dxa"/>
                  <w:tcBorders>
                    <w:top w:val="nil"/>
                    <w:left w:val="nil"/>
                    <w:bottom w:val="single" w:sz="4" w:space="0" w:color="auto"/>
                    <w:right w:val="single" w:sz="4" w:space="0" w:color="auto"/>
                  </w:tcBorders>
                  <w:shd w:val="clear" w:color="auto" w:fill="FFFFFF"/>
                  <w:vAlign w:val="center"/>
                  <w:hideMark/>
                </w:tcPr>
                <w:p w14:paraId="6C3D9CFD" w14:textId="77777777" w:rsidR="00D70F78" w:rsidRPr="00D70F78" w:rsidRDefault="00D70F78" w:rsidP="007D1697">
                  <w:pPr>
                    <w:pStyle w:val="ComparatorSpecBoxNormal"/>
                  </w:pPr>
                  <w:r w:rsidRPr="00D70F78">
                    <w:t>0407030AD</w:t>
                  </w:r>
                </w:p>
              </w:tc>
            </w:tr>
            <w:tr w:rsidR="00200848" w:rsidRPr="00D70F78" w14:paraId="27E3C266" w14:textId="77777777" w:rsidTr="00200848">
              <w:trPr>
                <w:trHeight w:val="283"/>
              </w:trPr>
              <w:tc>
                <w:tcPr>
                  <w:tcW w:w="889" w:type="dxa"/>
                  <w:vMerge/>
                  <w:tcBorders>
                    <w:left w:val="single" w:sz="4" w:space="0" w:color="auto"/>
                    <w:right w:val="single" w:sz="4" w:space="0" w:color="auto"/>
                  </w:tcBorders>
                  <w:shd w:val="clear" w:color="auto" w:fill="FFFFFF"/>
                  <w:vAlign w:val="center"/>
                  <w:hideMark/>
                </w:tcPr>
                <w:p w14:paraId="655F44BB" w14:textId="77777777" w:rsidR="00D70F78" w:rsidRPr="00D70F78" w:rsidRDefault="00D70F78" w:rsidP="007D1697">
                  <w:pPr>
                    <w:pStyle w:val="ComparatorSpecBoxNormal"/>
                  </w:pPr>
                </w:p>
              </w:tc>
              <w:tc>
                <w:tcPr>
                  <w:tcW w:w="4394" w:type="dxa"/>
                  <w:tcBorders>
                    <w:top w:val="nil"/>
                    <w:left w:val="nil"/>
                    <w:bottom w:val="single" w:sz="4" w:space="0" w:color="auto"/>
                    <w:right w:val="single" w:sz="4" w:space="0" w:color="auto"/>
                  </w:tcBorders>
                  <w:shd w:val="clear" w:color="auto" w:fill="FFFFFF"/>
                  <w:vAlign w:val="center"/>
                  <w:hideMark/>
                </w:tcPr>
                <w:p w14:paraId="12DCB292" w14:textId="77777777" w:rsidR="00D70F78" w:rsidRPr="00D70F78" w:rsidRDefault="00D70F78" w:rsidP="007D1697">
                  <w:pPr>
                    <w:pStyle w:val="ComparatorSpecBoxNormal"/>
                  </w:pPr>
                  <w:r w:rsidRPr="00D70F78">
                    <w:t>Pregabalin</w:t>
                  </w:r>
                </w:p>
              </w:tc>
              <w:tc>
                <w:tcPr>
                  <w:tcW w:w="1276" w:type="dxa"/>
                  <w:tcBorders>
                    <w:top w:val="nil"/>
                    <w:left w:val="nil"/>
                    <w:bottom w:val="single" w:sz="4" w:space="0" w:color="auto"/>
                    <w:right w:val="single" w:sz="4" w:space="0" w:color="auto"/>
                  </w:tcBorders>
                  <w:shd w:val="clear" w:color="auto" w:fill="FFFFFF"/>
                  <w:vAlign w:val="center"/>
                  <w:hideMark/>
                </w:tcPr>
                <w:p w14:paraId="37BB4F73" w14:textId="77777777" w:rsidR="00D70F78" w:rsidRPr="00D70F78" w:rsidRDefault="00D70F78" w:rsidP="007D1697">
                  <w:pPr>
                    <w:pStyle w:val="ComparatorSpecBoxNormal"/>
                  </w:pPr>
                  <w:r w:rsidRPr="00D70F78">
                    <w:t>0408010AE</w:t>
                  </w:r>
                </w:p>
              </w:tc>
            </w:tr>
            <w:tr w:rsidR="00200848" w:rsidRPr="00D70F78" w14:paraId="639CD610" w14:textId="77777777" w:rsidTr="00200848">
              <w:trPr>
                <w:trHeight w:val="283"/>
              </w:trPr>
              <w:tc>
                <w:tcPr>
                  <w:tcW w:w="889" w:type="dxa"/>
                  <w:vMerge/>
                  <w:tcBorders>
                    <w:left w:val="single" w:sz="4" w:space="0" w:color="auto"/>
                    <w:bottom w:val="single" w:sz="4" w:space="0" w:color="auto"/>
                    <w:right w:val="single" w:sz="4" w:space="0" w:color="auto"/>
                  </w:tcBorders>
                  <w:shd w:val="clear" w:color="auto" w:fill="FFFFFF"/>
                  <w:vAlign w:val="center"/>
                </w:tcPr>
                <w:p w14:paraId="67A591CD" w14:textId="77777777" w:rsidR="00D70F78" w:rsidRPr="00D70F78" w:rsidRDefault="00D70F78" w:rsidP="007D1697">
                  <w:pPr>
                    <w:pStyle w:val="ComparatorSpecBoxNormal"/>
                  </w:pPr>
                </w:p>
              </w:tc>
              <w:tc>
                <w:tcPr>
                  <w:tcW w:w="4394" w:type="dxa"/>
                  <w:tcBorders>
                    <w:top w:val="single" w:sz="4" w:space="0" w:color="auto"/>
                    <w:left w:val="nil"/>
                    <w:bottom w:val="single" w:sz="4" w:space="0" w:color="auto"/>
                    <w:right w:val="single" w:sz="4" w:space="0" w:color="auto"/>
                  </w:tcBorders>
                  <w:shd w:val="clear" w:color="auto" w:fill="FFFFFF"/>
                  <w:vAlign w:val="center"/>
                </w:tcPr>
                <w:p w14:paraId="55D76201" w14:textId="77777777" w:rsidR="00D70F78" w:rsidRPr="00D70F78" w:rsidRDefault="00D70F78" w:rsidP="007D1697">
                  <w:pPr>
                    <w:pStyle w:val="ComparatorSpecBoxNormal"/>
                  </w:pPr>
                  <w:r w:rsidRPr="00D70F78">
                    <w:t>Other drugs to treat neuropathic pain</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2D795DB" w14:textId="77777777" w:rsidR="00D70F78" w:rsidRPr="00D70F78" w:rsidRDefault="00D70F78" w:rsidP="007D1697">
                  <w:pPr>
                    <w:pStyle w:val="ComparatorSpecBoxNormal"/>
                  </w:pPr>
                  <w:r w:rsidRPr="00D70F78">
                    <w:t>0407030AF</w:t>
                  </w:r>
                </w:p>
              </w:tc>
            </w:tr>
            <w:tr w:rsidR="00435C85" w:rsidRPr="00D70F78" w14:paraId="3060BE93" w14:textId="77777777">
              <w:trPr>
                <w:trHeight w:val="283"/>
              </w:trPr>
              <w:tc>
                <w:tcPr>
                  <w:tcW w:w="889"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12CD060C" w14:textId="77777777" w:rsidR="00D70F78" w:rsidRPr="00D70F78" w:rsidRDefault="00D70F78" w:rsidP="007D1697">
                  <w:pPr>
                    <w:pStyle w:val="ComparatorSpecBoxNormal"/>
                  </w:pPr>
                  <w:r w:rsidRPr="00D70F78">
                    <w:t>4</w:t>
                  </w:r>
                </w:p>
              </w:tc>
              <w:tc>
                <w:tcPr>
                  <w:tcW w:w="4394" w:type="dxa"/>
                  <w:tcBorders>
                    <w:top w:val="single" w:sz="4" w:space="0" w:color="auto"/>
                    <w:left w:val="nil"/>
                    <w:bottom w:val="single" w:sz="4" w:space="0" w:color="auto"/>
                    <w:right w:val="single" w:sz="4" w:space="0" w:color="auto"/>
                  </w:tcBorders>
                  <w:shd w:val="clear" w:color="auto" w:fill="F2F2F2"/>
                  <w:vAlign w:val="center"/>
                </w:tcPr>
                <w:p w14:paraId="5E6DB2DB" w14:textId="77777777" w:rsidR="00D70F78" w:rsidRPr="00D70F78" w:rsidRDefault="00D70F78" w:rsidP="007D1697">
                  <w:pPr>
                    <w:pStyle w:val="ComparatorSpecBoxNormal"/>
                  </w:pPr>
                  <w:r w:rsidRPr="00D70F78">
                    <w:t>Analgesics with anti-emetics</w:t>
                  </w:r>
                </w:p>
              </w:tc>
              <w:tc>
                <w:tcPr>
                  <w:tcW w:w="1276" w:type="dxa"/>
                  <w:tcBorders>
                    <w:top w:val="single" w:sz="4" w:space="0" w:color="auto"/>
                    <w:left w:val="nil"/>
                    <w:bottom w:val="single" w:sz="4" w:space="0" w:color="auto"/>
                    <w:right w:val="single" w:sz="4" w:space="0" w:color="auto"/>
                  </w:tcBorders>
                  <w:shd w:val="clear" w:color="auto" w:fill="F2F2F2"/>
                  <w:noWrap/>
                  <w:vAlign w:val="center"/>
                </w:tcPr>
                <w:p w14:paraId="317353C0" w14:textId="77777777" w:rsidR="00D70F78" w:rsidRPr="00D70F78" w:rsidRDefault="00D70F78" w:rsidP="007D1697">
                  <w:pPr>
                    <w:pStyle w:val="ComparatorSpecBoxNormal"/>
                  </w:pPr>
                  <w:r w:rsidRPr="00D70F78">
                    <w:t>0407041A0</w:t>
                  </w:r>
                </w:p>
              </w:tc>
            </w:tr>
            <w:tr w:rsidR="00435C85" w:rsidRPr="00D70F78" w14:paraId="10632C7F" w14:textId="77777777" w:rsidTr="00200848">
              <w:trPr>
                <w:trHeight w:val="283"/>
              </w:trPr>
              <w:tc>
                <w:tcPr>
                  <w:tcW w:w="8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7BCE5E" w14:textId="77777777" w:rsidR="00D70F78" w:rsidRPr="00D70F78" w:rsidRDefault="00D70F78" w:rsidP="007D1697">
                  <w:pPr>
                    <w:pStyle w:val="ComparatorSpecBoxNormal"/>
                  </w:pPr>
                  <w:r w:rsidRPr="00D70F78">
                    <w:t>5</w:t>
                  </w:r>
                </w:p>
              </w:tc>
              <w:tc>
                <w:tcPr>
                  <w:tcW w:w="4394" w:type="dxa"/>
                  <w:tcBorders>
                    <w:top w:val="single" w:sz="4" w:space="0" w:color="auto"/>
                    <w:left w:val="nil"/>
                    <w:bottom w:val="single" w:sz="4" w:space="0" w:color="auto"/>
                    <w:right w:val="single" w:sz="4" w:space="0" w:color="auto"/>
                  </w:tcBorders>
                  <w:shd w:val="clear" w:color="auto" w:fill="FFFFFF"/>
                  <w:vAlign w:val="center"/>
                  <w:hideMark/>
                </w:tcPr>
                <w:p w14:paraId="4AA8B222" w14:textId="77777777" w:rsidR="00D70F78" w:rsidRPr="00D70F78" w:rsidRDefault="00D70F78" w:rsidP="007D1697">
                  <w:pPr>
                    <w:pStyle w:val="ComparatorSpecBoxNormal"/>
                  </w:pPr>
                  <w:r w:rsidRPr="00D70F78">
                    <w:t>Non-Steroidal Anti-Inflammatory Drugs</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44C68EDA" w14:textId="77777777" w:rsidR="00D70F78" w:rsidRPr="00D70F78" w:rsidRDefault="00D70F78" w:rsidP="007D1697">
                  <w:pPr>
                    <w:pStyle w:val="ComparatorSpecBoxNormal"/>
                  </w:pPr>
                  <w:r w:rsidRPr="00D70F78">
                    <w:t>100101</w:t>
                  </w:r>
                </w:p>
              </w:tc>
            </w:tr>
            <w:tr w:rsidR="00435C85" w:rsidRPr="00D70F78" w14:paraId="27220506" w14:textId="77777777">
              <w:trPr>
                <w:trHeight w:val="283"/>
              </w:trPr>
              <w:tc>
                <w:tcPr>
                  <w:tcW w:w="889" w:type="dxa"/>
                  <w:vMerge w:val="restar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7AEBBCF" w14:textId="77777777" w:rsidR="00D70F78" w:rsidRPr="00D70F78" w:rsidRDefault="00D70F78" w:rsidP="007D1697">
                  <w:pPr>
                    <w:pStyle w:val="ComparatorSpecBoxNormal"/>
                  </w:pPr>
                  <w:r w:rsidRPr="00D70F78">
                    <w:t>6</w:t>
                  </w:r>
                </w:p>
              </w:tc>
              <w:tc>
                <w:tcPr>
                  <w:tcW w:w="4394" w:type="dxa"/>
                  <w:tcBorders>
                    <w:top w:val="single" w:sz="4" w:space="0" w:color="auto"/>
                    <w:left w:val="nil"/>
                    <w:bottom w:val="single" w:sz="4" w:space="0" w:color="auto"/>
                    <w:right w:val="single" w:sz="4" w:space="0" w:color="auto"/>
                  </w:tcBorders>
                  <w:shd w:val="clear" w:color="auto" w:fill="F2F2F2"/>
                  <w:hideMark/>
                </w:tcPr>
                <w:p w14:paraId="1567CC78" w14:textId="77777777" w:rsidR="00D70F78" w:rsidRPr="00D70F78" w:rsidRDefault="00D70F78" w:rsidP="007D1697">
                  <w:pPr>
                    <w:pStyle w:val="ComparatorSpecBoxNormal"/>
                  </w:pPr>
                  <w:r w:rsidRPr="00D70F78">
                    <w:t xml:space="preserve">Amitriptyline </w:t>
                  </w:r>
                  <w:proofErr w:type="spellStart"/>
                  <w:r w:rsidRPr="00D70F78">
                    <w:t>Embonate</w:t>
                  </w:r>
                  <w:proofErr w:type="spellEnd"/>
                </w:p>
              </w:tc>
              <w:tc>
                <w:tcPr>
                  <w:tcW w:w="1276" w:type="dxa"/>
                  <w:tcBorders>
                    <w:top w:val="single" w:sz="4" w:space="0" w:color="auto"/>
                    <w:left w:val="nil"/>
                    <w:bottom w:val="single" w:sz="4" w:space="0" w:color="auto"/>
                    <w:right w:val="single" w:sz="4" w:space="0" w:color="auto"/>
                  </w:tcBorders>
                  <w:shd w:val="clear" w:color="auto" w:fill="F2F2F2"/>
                  <w:hideMark/>
                </w:tcPr>
                <w:p w14:paraId="4A1BCA05" w14:textId="77777777" w:rsidR="00D70F78" w:rsidRPr="00D70F78" w:rsidRDefault="00D70F78" w:rsidP="007D1697">
                  <w:pPr>
                    <w:pStyle w:val="ComparatorSpecBoxNormal"/>
                  </w:pPr>
                  <w:r w:rsidRPr="00D70F78">
                    <w:t>0403010E0</w:t>
                  </w:r>
                </w:p>
              </w:tc>
            </w:tr>
            <w:tr w:rsidR="00D70F78" w:rsidRPr="00D70F78" w14:paraId="04DC83FC" w14:textId="77777777">
              <w:trPr>
                <w:trHeight w:val="283"/>
              </w:trPr>
              <w:tc>
                <w:tcPr>
                  <w:tcW w:w="889"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5F277D89" w14:textId="77777777" w:rsidR="00D70F78" w:rsidRPr="00D70F78" w:rsidRDefault="00D70F78" w:rsidP="007D1697">
                  <w:pPr>
                    <w:pStyle w:val="ComparatorSpecBoxNormal"/>
                  </w:pPr>
                </w:p>
              </w:tc>
              <w:tc>
                <w:tcPr>
                  <w:tcW w:w="4394" w:type="dxa"/>
                  <w:tcBorders>
                    <w:top w:val="single" w:sz="4" w:space="0" w:color="auto"/>
                    <w:left w:val="nil"/>
                    <w:bottom w:val="single" w:sz="4" w:space="0" w:color="auto"/>
                    <w:right w:val="single" w:sz="4" w:space="0" w:color="auto"/>
                  </w:tcBorders>
                  <w:shd w:val="clear" w:color="auto" w:fill="F2F2F2"/>
                  <w:hideMark/>
                </w:tcPr>
                <w:p w14:paraId="0907E01E" w14:textId="77777777" w:rsidR="00D70F78" w:rsidRPr="00D70F78" w:rsidRDefault="00D70F78" w:rsidP="007D1697">
                  <w:pPr>
                    <w:pStyle w:val="ComparatorSpecBoxNormal"/>
                  </w:pPr>
                  <w:r w:rsidRPr="00D70F78">
                    <w:t>Amitriptyline Hydrochloride</w:t>
                  </w:r>
                </w:p>
              </w:tc>
              <w:tc>
                <w:tcPr>
                  <w:tcW w:w="1276" w:type="dxa"/>
                  <w:tcBorders>
                    <w:top w:val="single" w:sz="4" w:space="0" w:color="auto"/>
                    <w:left w:val="nil"/>
                    <w:bottom w:val="single" w:sz="4" w:space="0" w:color="auto"/>
                    <w:right w:val="single" w:sz="4" w:space="0" w:color="auto"/>
                  </w:tcBorders>
                  <w:shd w:val="clear" w:color="auto" w:fill="F2F2F2"/>
                  <w:hideMark/>
                </w:tcPr>
                <w:p w14:paraId="0E2D8F3B" w14:textId="77777777" w:rsidR="00D70F78" w:rsidRPr="00D70F78" w:rsidRDefault="00D70F78" w:rsidP="007D1697">
                  <w:pPr>
                    <w:pStyle w:val="ComparatorSpecBoxNormal"/>
                  </w:pPr>
                  <w:r w:rsidRPr="00D70F78">
                    <w:t>0403010B0</w:t>
                  </w:r>
                </w:p>
              </w:tc>
            </w:tr>
            <w:tr w:rsidR="00D70F78" w:rsidRPr="00D70F78" w14:paraId="7183FDCE" w14:textId="77777777">
              <w:trPr>
                <w:trHeight w:val="283"/>
              </w:trPr>
              <w:tc>
                <w:tcPr>
                  <w:tcW w:w="889"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1ABFFAD8" w14:textId="77777777" w:rsidR="00D70F78" w:rsidRPr="00D70F78" w:rsidRDefault="00D70F78" w:rsidP="007D1697">
                  <w:pPr>
                    <w:pStyle w:val="ComparatorSpecBoxNormal"/>
                  </w:pPr>
                </w:p>
              </w:tc>
              <w:tc>
                <w:tcPr>
                  <w:tcW w:w="4394" w:type="dxa"/>
                  <w:tcBorders>
                    <w:top w:val="single" w:sz="4" w:space="0" w:color="auto"/>
                    <w:left w:val="nil"/>
                    <w:bottom w:val="single" w:sz="4" w:space="0" w:color="auto"/>
                    <w:right w:val="single" w:sz="4" w:space="0" w:color="auto"/>
                  </w:tcBorders>
                  <w:shd w:val="clear" w:color="auto" w:fill="F2F2F2"/>
                  <w:hideMark/>
                </w:tcPr>
                <w:p w14:paraId="5206EEF5" w14:textId="77777777" w:rsidR="00D70F78" w:rsidRPr="00D70F78" w:rsidRDefault="00D70F78" w:rsidP="007D1697">
                  <w:pPr>
                    <w:pStyle w:val="ComparatorSpecBoxNormal"/>
                  </w:pPr>
                  <w:r w:rsidRPr="00D70F78">
                    <w:t>Nortriptyline</w:t>
                  </w:r>
                </w:p>
              </w:tc>
              <w:tc>
                <w:tcPr>
                  <w:tcW w:w="1276" w:type="dxa"/>
                  <w:tcBorders>
                    <w:top w:val="single" w:sz="4" w:space="0" w:color="auto"/>
                    <w:left w:val="nil"/>
                    <w:bottom w:val="single" w:sz="4" w:space="0" w:color="auto"/>
                    <w:right w:val="single" w:sz="4" w:space="0" w:color="auto"/>
                  </w:tcBorders>
                  <w:shd w:val="clear" w:color="auto" w:fill="F2F2F2"/>
                  <w:hideMark/>
                </w:tcPr>
                <w:p w14:paraId="6F0A1993" w14:textId="77777777" w:rsidR="00D70F78" w:rsidRPr="00D70F78" w:rsidRDefault="00D70F78" w:rsidP="007D1697">
                  <w:pPr>
                    <w:pStyle w:val="ComparatorSpecBoxNormal"/>
                  </w:pPr>
                  <w:r w:rsidRPr="00D70F78">
                    <w:t>0403010V0</w:t>
                  </w:r>
                </w:p>
              </w:tc>
            </w:tr>
          </w:tbl>
          <w:p w14:paraId="6FACCD21" w14:textId="77777777" w:rsidR="00D16106" w:rsidRPr="00F655BE" w:rsidRDefault="00D16106" w:rsidP="007D1697">
            <w:pPr>
              <w:pStyle w:val="ComparatorSpecBoxSpacing"/>
              <w:rPr>
                <w:rFonts w:eastAsia="Calibri"/>
              </w:rPr>
            </w:pPr>
            <w:r w:rsidRPr="00F655BE">
              <w:rPr>
                <w:rFonts w:eastAsia="Calibri"/>
              </w:rPr>
              <w:t xml:space="preserve"> </w:t>
            </w:r>
          </w:p>
        </w:tc>
      </w:tr>
      <w:tr w:rsidR="00D70F78" w:rsidRPr="00F655BE" w14:paraId="5BF6D600" w14:textId="77777777" w:rsidTr="00200848">
        <w:trPr>
          <w:gridAfter w:val="1"/>
          <w:wAfter w:w="12" w:type="dxa"/>
          <w:trHeight w:val="20"/>
        </w:trPr>
        <w:tc>
          <w:tcPr>
            <w:tcW w:w="567" w:type="dxa"/>
            <w:shd w:val="clear" w:color="auto" w:fill="D9D9D9"/>
          </w:tcPr>
          <w:p w14:paraId="5059FF3C" w14:textId="77777777" w:rsidR="00D70F78" w:rsidRPr="00D70F78" w:rsidRDefault="00D70F78" w:rsidP="007D1697">
            <w:pPr>
              <w:pStyle w:val="ComparatorSPecBoxBold"/>
            </w:pPr>
            <w:r>
              <w:t>1.4</w:t>
            </w:r>
          </w:p>
        </w:tc>
        <w:tc>
          <w:tcPr>
            <w:tcW w:w="2093" w:type="dxa"/>
            <w:shd w:val="clear" w:color="auto" w:fill="D9D9D9"/>
          </w:tcPr>
          <w:p w14:paraId="27A18B59" w14:textId="77777777" w:rsidR="00D70F78" w:rsidRPr="00D70F78" w:rsidRDefault="00D70F78" w:rsidP="007D1697">
            <w:pPr>
              <w:pStyle w:val="ComparatorSPecBoxBold"/>
            </w:pPr>
            <w:r w:rsidRPr="00D70F78">
              <w:t>Denominator</w:t>
            </w:r>
          </w:p>
        </w:tc>
        <w:tc>
          <w:tcPr>
            <w:tcW w:w="7146" w:type="dxa"/>
          </w:tcPr>
          <w:p w14:paraId="691B6B78" w14:textId="50815A54" w:rsidR="00D70F78" w:rsidRPr="00F655BE" w:rsidRDefault="00D70F78" w:rsidP="003C2F80">
            <w:pPr>
              <w:pStyle w:val="ComparatorSpecBoxSpacing"/>
              <w:rPr>
                <w:rFonts w:eastAsia="Calibri"/>
              </w:rPr>
            </w:pPr>
            <w:r w:rsidRPr="00F655BE">
              <w:rPr>
                <w:rFonts w:eastAsia="Calibri"/>
              </w:rPr>
              <w:t xml:space="preserve">Number of patients (all ages, aged 17 or under, 18 to 24, 25 to 34, 35 to 44, 45 to 54, 55 to 64, 65 to 74, 75 to 84 and 85 or over) </w:t>
            </w:r>
            <w:r w:rsidRPr="00D70F78">
              <w:t xml:space="preserve">patients prescribed one or more analgesic medicines (chemical substances), from the numerator groups of analgesic medicines, for three or more consecutive months (same reporting period as numerator). </w:t>
            </w:r>
          </w:p>
        </w:tc>
      </w:tr>
      <w:tr w:rsidR="00D70F78" w:rsidRPr="00D70F78" w14:paraId="72C87A0A" w14:textId="77777777" w:rsidTr="00200848">
        <w:trPr>
          <w:trHeight w:val="20"/>
        </w:trPr>
        <w:tc>
          <w:tcPr>
            <w:tcW w:w="9818" w:type="dxa"/>
            <w:gridSpan w:val="4"/>
            <w:shd w:val="clear" w:color="auto" w:fill="D9D9D9"/>
          </w:tcPr>
          <w:p w14:paraId="277C9E0F" w14:textId="77777777" w:rsidR="00D70F78" w:rsidRPr="00F655BE" w:rsidRDefault="00D16106" w:rsidP="007D1697">
            <w:pPr>
              <w:pStyle w:val="ComparatorSPecBoxBold"/>
              <w:rPr>
                <w:rFonts w:eastAsia="Calibri"/>
              </w:rPr>
            </w:pPr>
            <w:r w:rsidRPr="003B36E1">
              <w:t>Section 2: Rationale</w:t>
            </w:r>
          </w:p>
        </w:tc>
      </w:tr>
      <w:tr w:rsidR="00D70F78" w:rsidRPr="00F655BE" w14:paraId="612C8287" w14:textId="77777777" w:rsidTr="00200848">
        <w:trPr>
          <w:gridAfter w:val="1"/>
          <w:wAfter w:w="12" w:type="dxa"/>
          <w:trHeight w:val="20"/>
        </w:trPr>
        <w:tc>
          <w:tcPr>
            <w:tcW w:w="567" w:type="dxa"/>
            <w:shd w:val="clear" w:color="auto" w:fill="D9D9D9"/>
          </w:tcPr>
          <w:p w14:paraId="0FFED49C" w14:textId="77777777" w:rsidR="00D70F78" w:rsidRPr="00D70F78" w:rsidRDefault="00D70F78" w:rsidP="007D1697">
            <w:pPr>
              <w:pStyle w:val="ComparatorSPecBoxBold"/>
            </w:pPr>
            <w:r>
              <w:t>2.1</w:t>
            </w:r>
          </w:p>
        </w:tc>
        <w:tc>
          <w:tcPr>
            <w:tcW w:w="2093" w:type="dxa"/>
            <w:shd w:val="clear" w:color="auto" w:fill="D9D9D9"/>
          </w:tcPr>
          <w:p w14:paraId="3E2F2BA1" w14:textId="77777777" w:rsidR="00D70F78" w:rsidRPr="00D70F78" w:rsidRDefault="00D70F78" w:rsidP="007D1697">
            <w:pPr>
              <w:pStyle w:val="ComparatorSPecBoxBold"/>
            </w:pPr>
            <w:r w:rsidRPr="00D70F78">
              <w:t xml:space="preserve">Rationale/ Comments </w:t>
            </w:r>
          </w:p>
        </w:tc>
        <w:tc>
          <w:tcPr>
            <w:tcW w:w="7146" w:type="dxa"/>
          </w:tcPr>
          <w:p w14:paraId="32A999DA" w14:textId="77777777" w:rsidR="00D70F78" w:rsidRPr="00D70F78" w:rsidRDefault="00D70F78" w:rsidP="007D1697">
            <w:pPr>
              <w:pStyle w:val="ComparatorSpecBoxSpacing"/>
            </w:pPr>
            <w:r w:rsidRPr="00D70F78">
              <w:t xml:space="preserve">This comparator is not aimed at addressing addiction to opiates. It is a polypharmacy comparator developed to help practices to identify how many and who of their patients are taking multiple analgesics where there may not be a pain management plan in place and where the patient should be called in for a medication review. </w:t>
            </w:r>
          </w:p>
          <w:p w14:paraId="60C9D90F" w14:textId="77777777" w:rsidR="00D70F78" w:rsidRPr="00F655BE" w:rsidRDefault="00D70F78" w:rsidP="007D1697">
            <w:pPr>
              <w:pStyle w:val="ComparatorSpecBoxSpacing"/>
              <w:rPr>
                <w:rFonts w:eastAsia="Calibri"/>
              </w:rPr>
            </w:pPr>
            <w:r w:rsidRPr="00F655BE">
              <w:rPr>
                <w:rFonts w:eastAsia="Calibri"/>
              </w:rPr>
              <w:t xml:space="preserve">Some medicines contain 2 analgesics. This is accounted for in deriving the total of analgesic medicines prescribed. This ensures that the same medicines prescribed either separately or in combination or counted equally. E.g. paracetamol and codeine prescribed separately and co-codamol are both counted as 2 analgesic medicines. </w:t>
            </w:r>
          </w:p>
          <w:p w14:paraId="1C612BDD" w14:textId="77777777" w:rsidR="00D70F78" w:rsidRPr="00F655BE" w:rsidRDefault="00D70F78" w:rsidP="007D1697">
            <w:pPr>
              <w:pStyle w:val="ComparatorSpecBoxSpacing"/>
              <w:rPr>
                <w:rFonts w:eastAsia="Calibri"/>
              </w:rPr>
            </w:pPr>
            <w:r w:rsidRPr="00F655BE">
              <w:rPr>
                <w:rFonts w:eastAsia="Calibri"/>
              </w:rPr>
              <w:t xml:space="preserve">Prescribing for 3 (or more) consecutives months addresses acute treatment and the possibility of analgesics being switched during the reporting period and therefore overcalculating the number of analgesic medicines. </w:t>
            </w:r>
          </w:p>
          <w:p w14:paraId="56DC6C1D" w14:textId="77777777" w:rsidR="00D70F78" w:rsidRPr="00F655BE" w:rsidRDefault="00D70F78" w:rsidP="007D1697">
            <w:pPr>
              <w:pStyle w:val="ComparatorSpecBoxSpacing"/>
              <w:rPr>
                <w:rFonts w:eastAsia="Calibri"/>
              </w:rPr>
            </w:pPr>
          </w:p>
        </w:tc>
      </w:tr>
    </w:tbl>
    <w:p w14:paraId="039867C3" w14:textId="77777777" w:rsidR="00D70F78" w:rsidRDefault="00D70F78" w:rsidP="001D3131"/>
    <w:p w14:paraId="08D15AD7" w14:textId="77777777" w:rsidR="00D16106" w:rsidRPr="009A17E6" w:rsidRDefault="00D16106" w:rsidP="001D3131">
      <w:pPr>
        <w:pStyle w:val="Heading2"/>
      </w:pPr>
      <w:r w:rsidRPr="009A17E6">
        <w:br w:type="page"/>
      </w:r>
      <w:bookmarkStart w:id="93" w:name="_Toc234231967"/>
      <w:r w:rsidR="00BF1A26" w:rsidRPr="009A17E6">
        <w:lastRenderedPageBreak/>
        <w:t>Patients prescribed 2, 3 or 4 (or more) medicines that can have an unintended hypotensive effect.</w:t>
      </w:r>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93"/>
        <w:gridCol w:w="7229"/>
      </w:tblGrid>
      <w:tr w:rsidR="00D16106" w:rsidRPr="00D16106" w14:paraId="6D40F1B6" w14:textId="77777777" w:rsidTr="00200848">
        <w:tc>
          <w:tcPr>
            <w:tcW w:w="9889" w:type="dxa"/>
            <w:gridSpan w:val="3"/>
            <w:shd w:val="clear" w:color="auto" w:fill="D9D9D9"/>
          </w:tcPr>
          <w:p w14:paraId="49055955" w14:textId="77777777" w:rsidR="00D16106" w:rsidRPr="00D16106" w:rsidRDefault="00D16106" w:rsidP="003C2F80">
            <w:pPr>
              <w:pStyle w:val="ComparatorSPecBoxBold"/>
            </w:pPr>
            <w:r w:rsidRPr="00D16106">
              <w:t>Section 1: Introduction / Overview</w:t>
            </w:r>
          </w:p>
        </w:tc>
      </w:tr>
      <w:tr w:rsidR="00D16106" w:rsidRPr="00D16106" w14:paraId="72FEC929" w14:textId="77777777" w:rsidTr="00200848">
        <w:tc>
          <w:tcPr>
            <w:tcW w:w="567" w:type="dxa"/>
            <w:shd w:val="clear" w:color="auto" w:fill="D9D9D9"/>
          </w:tcPr>
          <w:p w14:paraId="6F85B92B" w14:textId="77777777" w:rsidR="00D16106" w:rsidRPr="00D16106" w:rsidRDefault="00D16106" w:rsidP="003C2F80">
            <w:pPr>
              <w:pStyle w:val="ComparatorSPecBoxBold"/>
            </w:pPr>
            <w:r>
              <w:t>1.1</w:t>
            </w:r>
          </w:p>
        </w:tc>
        <w:tc>
          <w:tcPr>
            <w:tcW w:w="2093" w:type="dxa"/>
            <w:shd w:val="clear" w:color="auto" w:fill="D9D9D9"/>
          </w:tcPr>
          <w:p w14:paraId="781D8FBE" w14:textId="77777777" w:rsidR="00D16106" w:rsidRPr="00D16106" w:rsidRDefault="00D16106" w:rsidP="003C2F80">
            <w:pPr>
              <w:pStyle w:val="ComparatorSPecBoxBold"/>
            </w:pPr>
            <w:r w:rsidRPr="00D16106">
              <w:t>Title</w:t>
            </w:r>
          </w:p>
        </w:tc>
        <w:tc>
          <w:tcPr>
            <w:tcW w:w="7229" w:type="dxa"/>
          </w:tcPr>
          <w:p w14:paraId="2120663C" w14:textId="77777777" w:rsidR="00D16106" w:rsidRPr="00D16106" w:rsidRDefault="00D16106" w:rsidP="003C2F80">
            <w:pPr>
              <w:pStyle w:val="ComparatorSpecBoxSpacing"/>
            </w:pPr>
            <w:r w:rsidRPr="00D16106">
              <w:t xml:space="preserve">Patients prescribed 2, 3 or 4 (or more) medicines that can have an unintended hypotensive effect. </w:t>
            </w:r>
          </w:p>
        </w:tc>
      </w:tr>
      <w:tr w:rsidR="00D16106" w:rsidRPr="00D16106" w14:paraId="647F8155" w14:textId="77777777" w:rsidTr="00200848">
        <w:tc>
          <w:tcPr>
            <w:tcW w:w="567" w:type="dxa"/>
            <w:shd w:val="clear" w:color="auto" w:fill="D9D9D9"/>
          </w:tcPr>
          <w:p w14:paraId="33782108" w14:textId="77777777" w:rsidR="00D16106" w:rsidRPr="00D16106" w:rsidRDefault="00D16106" w:rsidP="003C2F80">
            <w:pPr>
              <w:pStyle w:val="ComparatorSPecBoxBold"/>
            </w:pPr>
            <w:r>
              <w:t>1.2</w:t>
            </w:r>
          </w:p>
        </w:tc>
        <w:tc>
          <w:tcPr>
            <w:tcW w:w="2093" w:type="dxa"/>
            <w:shd w:val="clear" w:color="auto" w:fill="D9D9D9"/>
          </w:tcPr>
          <w:p w14:paraId="2298028E" w14:textId="77777777" w:rsidR="00D16106" w:rsidRPr="00D16106" w:rsidRDefault="00D16106" w:rsidP="003C2F80">
            <w:pPr>
              <w:pStyle w:val="ComparatorSPecBoxBold"/>
            </w:pPr>
            <w:r w:rsidRPr="00D16106">
              <w:t>Description</w:t>
            </w:r>
          </w:p>
        </w:tc>
        <w:tc>
          <w:tcPr>
            <w:tcW w:w="7229" w:type="dxa"/>
          </w:tcPr>
          <w:p w14:paraId="3CA6C279" w14:textId="77777777" w:rsidR="00D16106" w:rsidRPr="00D16106" w:rsidRDefault="00D16106" w:rsidP="003C2F80">
            <w:pPr>
              <w:pStyle w:val="ComparatorSpecBoxSpacing"/>
            </w:pPr>
            <w:r w:rsidRPr="00F655BE">
              <w:rPr>
                <w:rFonts w:eastAsia="Calibri"/>
              </w:rPr>
              <w:t xml:space="preserve">Number of patients (all ages, aged 17 or under, 18 to 24, 25 to 34, 35 to 44, 45 to 54, 55 to 64, 65 to 74, 75 to 84 and 85 or over) </w:t>
            </w:r>
            <w:r w:rsidRPr="00D16106">
              <w:t>prescribed 2, 3 or 4 (or more) unique medicines that can have an unintended hypotensive effect and are who NOT concurrently prescribed a medicine recommended by NICE for the management of hypertension</w:t>
            </w:r>
            <w:r w:rsidRPr="00F655BE">
              <w:rPr>
                <w:vertAlign w:val="superscript"/>
              </w:rPr>
              <w:t>1,2</w:t>
            </w:r>
            <w:r w:rsidRPr="00D16106">
              <w:t xml:space="preserve">, or a medicine that is only </w:t>
            </w:r>
            <w:r w:rsidR="003E2211" w:rsidRPr="00D16106">
              <w:t>licensed</w:t>
            </w:r>
            <w:r w:rsidRPr="00D16106">
              <w:t xml:space="preserve"> for hypertension</w:t>
            </w:r>
            <w:r w:rsidRPr="00F655BE">
              <w:rPr>
                <w:vertAlign w:val="superscript"/>
              </w:rPr>
              <w:t>3</w:t>
            </w:r>
            <w:r w:rsidRPr="00D16106">
              <w:t>, as a percentage of patients prescribed one or more medicine that can have a hypotensive effect.</w:t>
            </w:r>
          </w:p>
        </w:tc>
      </w:tr>
      <w:tr w:rsidR="00D16106" w:rsidRPr="00D16106" w14:paraId="6F0B1ABB" w14:textId="77777777" w:rsidTr="00200848">
        <w:tc>
          <w:tcPr>
            <w:tcW w:w="567" w:type="dxa"/>
            <w:shd w:val="clear" w:color="auto" w:fill="D9D9D9"/>
          </w:tcPr>
          <w:p w14:paraId="0A9190DE" w14:textId="77777777" w:rsidR="00D16106" w:rsidRPr="00D16106" w:rsidRDefault="00D16106" w:rsidP="003C2F80">
            <w:pPr>
              <w:pStyle w:val="ComparatorSPecBoxBold"/>
            </w:pPr>
            <w:r>
              <w:t>1.3</w:t>
            </w:r>
          </w:p>
        </w:tc>
        <w:tc>
          <w:tcPr>
            <w:tcW w:w="2093" w:type="dxa"/>
            <w:shd w:val="clear" w:color="auto" w:fill="D9D9D9"/>
          </w:tcPr>
          <w:p w14:paraId="0D6F5936" w14:textId="77777777" w:rsidR="00D16106" w:rsidRPr="00D16106" w:rsidRDefault="00D16106" w:rsidP="003C2F80">
            <w:pPr>
              <w:pStyle w:val="ComparatorSPecBoxBold"/>
            </w:pPr>
            <w:r w:rsidRPr="00D16106">
              <w:t>Numerator</w:t>
            </w:r>
          </w:p>
        </w:tc>
        <w:tc>
          <w:tcPr>
            <w:tcW w:w="7229" w:type="dxa"/>
          </w:tcPr>
          <w:p w14:paraId="03BE27D1" w14:textId="77777777" w:rsidR="00D16106" w:rsidRPr="00F655BE" w:rsidRDefault="00D16106" w:rsidP="003C2F80">
            <w:pPr>
              <w:pStyle w:val="ComparatorSpecBoxSpacing"/>
              <w:rPr>
                <w:rFonts w:eastAsia="Calibri"/>
              </w:rPr>
            </w:pPr>
            <w:r w:rsidRPr="00F655BE">
              <w:rPr>
                <w:rFonts w:eastAsia="Calibri"/>
              </w:rPr>
              <w:t xml:space="preserve">Number of patients (all ages, aged 17 or under, 18 to 24, 25 to 34, 35 to 44, 45 to 54, 55 to 64, 65 to 74, 75 to 84 and 85 or over) </w:t>
            </w:r>
            <w:r w:rsidRPr="00D16106">
              <w:t>prescribed 2, 3 or 4 (or more) unique medicines (chemical substances) that can have an unintended hypotensive effect (list 1) and who are NOT concurrently prescribed a medicine recommended by NICE for the management of hypertension</w:t>
            </w:r>
            <w:r w:rsidRPr="00F655BE">
              <w:rPr>
                <w:vertAlign w:val="superscript"/>
              </w:rPr>
              <w:t>1,2</w:t>
            </w:r>
            <w:r w:rsidRPr="00D16106">
              <w:t xml:space="preserve"> (list 2) or a medicine that is only </w:t>
            </w:r>
            <w:r w:rsidR="003E2211" w:rsidRPr="00D16106">
              <w:t>licensed</w:t>
            </w:r>
            <w:r w:rsidRPr="00D16106">
              <w:t xml:space="preserve"> for hypertension</w:t>
            </w:r>
            <w:r w:rsidRPr="00F655BE">
              <w:rPr>
                <w:vertAlign w:val="superscript"/>
              </w:rPr>
              <w:t>3</w:t>
            </w:r>
            <w:r w:rsidRPr="00D16106">
              <w:t xml:space="preserve"> (list 3)</w:t>
            </w:r>
          </w:p>
          <w:p w14:paraId="6C0A1274" w14:textId="77777777" w:rsidR="00D16106" w:rsidRPr="00F655BE" w:rsidRDefault="00D16106" w:rsidP="003C2F80">
            <w:pPr>
              <w:pStyle w:val="ComparatorSpecBoxSpacing"/>
              <w:rPr>
                <w:rFonts w:eastAsia="Calibri"/>
              </w:rPr>
            </w:pPr>
            <w:r w:rsidRPr="00F655BE">
              <w:rPr>
                <w:rFonts w:eastAsia="Calibri"/>
              </w:rPr>
              <w:t xml:space="preserve">List 1: Medicines that can have a hypotensive effect </w:t>
            </w:r>
          </w:p>
          <w:p w14:paraId="5972E0F4" w14:textId="77777777" w:rsidR="00D16106" w:rsidRPr="00F655BE" w:rsidRDefault="00D16106" w:rsidP="003C2F80">
            <w:pPr>
              <w:pStyle w:val="ComparatorSpecBoxSpacing"/>
              <w:rPr>
                <w:rFonts w:eastAsia="Calibri"/>
              </w:rPr>
            </w:pPr>
            <w:r w:rsidRPr="00F655BE">
              <w:rPr>
                <w:rFonts w:eastAsia="Calibri"/>
              </w:rPr>
              <w:t xml:space="preserve">List 2: Medicines recommended by NICE for the management of </w:t>
            </w:r>
            <w:r w:rsidRPr="00D16106">
              <w:t>hypertension</w:t>
            </w:r>
            <w:r w:rsidRPr="00F655BE">
              <w:rPr>
                <w:vertAlign w:val="superscript"/>
              </w:rPr>
              <w:t>1, 2</w:t>
            </w:r>
            <w:r w:rsidRPr="00F655BE">
              <w:rPr>
                <w:rFonts w:eastAsia="Calibri"/>
              </w:rPr>
              <w:t xml:space="preserve"> </w:t>
            </w:r>
          </w:p>
          <w:p w14:paraId="272CD160" w14:textId="77777777" w:rsidR="00D16106" w:rsidRPr="00F655BE" w:rsidRDefault="00D16106" w:rsidP="003C2F80">
            <w:pPr>
              <w:pStyle w:val="ComparatorSpecBoxSpacing"/>
              <w:rPr>
                <w:rFonts w:eastAsia="Calibri"/>
              </w:rPr>
            </w:pPr>
            <w:r w:rsidRPr="00F655BE">
              <w:rPr>
                <w:rFonts w:eastAsia="Calibri"/>
              </w:rPr>
              <w:t xml:space="preserve">List 3: Medicines that are only </w:t>
            </w:r>
            <w:r w:rsidR="003E2211" w:rsidRPr="00F655BE">
              <w:rPr>
                <w:rFonts w:eastAsia="Calibri"/>
              </w:rPr>
              <w:t>licensed</w:t>
            </w:r>
            <w:r w:rsidRPr="00F655BE">
              <w:rPr>
                <w:rFonts w:eastAsia="Calibri"/>
              </w:rPr>
              <w:t xml:space="preserve"> for hypertension</w:t>
            </w:r>
            <w:r w:rsidRPr="00F655BE">
              <w:rPr>
                <w:rFonts w:eastAsia="Calibri"/>
                <w:vertAlign w:val="superscript"/>
              </w:rPr>
              <w:t xml:space="preserve">3 </w:t>
            </w:r>
            <w:r w:rsidRPr="00F655BE">
              <w:rPr>
                <w:rFonts w:eastAsia="Calibri"/>
              </w:rPr>
              <w:t xml:space="preserve">and not included in list 2 </w:t>
            </w:r>
          </w:p>
          <w:p w14:paraId="438F6464" w14:textId="709A39E9" w:rsidR="00D16106" w:rsidRPr="00F655BE" w:rsidRDefault="00D16106" w:rsidP="003C2F80">
            <w:pPr>
              <w:pStyle w:val="ComparatorSpecBoxSpacing"/>
              <w:rPr>
                <w:rFonts w:eastAsia="Calibri"/>
              </w:rPr>
            </w:pPr>
            <w:r w:rsidRPr="00F655BE">
              <w:rPr>
                <w:rFonts w:eastAsia="Calibri"/>
              </w:rPr>
              <w:t xml:space="preserve">See </w:t>
            </w:r>
            <w:r w:rsidR="003C2F80">
              <w:rPr>
                <w:rFonts w:eastAsia="Calibri"/>
              </w:rPr>
              <w:fldChar w:fldCharType="begin"/>
            </w:r>
            <w:r w:rsidR="003C2F80">
              <w:rPr>
                <w:rFonts w:eastAsia="Calibri"/>
              </w:rPr>
              <w:instrText xml:space="preserve"> REF _Ref208832149 \r \h </w:instrText>
            </w:r>
            <w:r w:rsidR="003C2F80">
              <w:rPr>
                <w:rFonts w:eastAsia="Calibri"/>
              </w:rPr>
            </w:r>
            <w:r w:rsidR="003C2F80">
              <w:rPr>
                <w:rFonts w:eastAsia="Calibri"/>
              </w:rPr>
              <w:fldChar w:fldCharType="separate"/>
            </w:r>
            <w:r w:rsidR="003C2F80">
              <w:rPr>
                <w:rFonts w:eastAsia="Calibri"/>
              </w:rPr>
              <w:t>Appendix 6</w:t>
            </w:r>
            <w:r w:rsidR="003C2F80">
              <w:rPr>
                <w:rFonts w:eastAsia="Calibri"/>
              </w:rPr>
              <w:fldChar w:fldCharType="end"/>
            </w:r>
            <w:r w:rsidR="003C2F80">
              <w:rPr>
                <w:rFonts w:eastAsia="Calibri"/>
              </w:rPr>
              <w:t xml:space="preserve"> </w:t>
            </w:r>
            <w:r w:rsidRPr="00F655BE">
              <w:rPr>
                <w:rFonts w:eastAsia="Calibri"/>
              </w:rPr>
              <w:t>for list of medicines (chemical substances)</w:t>
            </w:r>
          </w:p>
        </w:tc>
      </w:tr>
      <w:tr w:rsidR="00D16106" w:rsidRPr="00D16106" w14:paraId="37D176A1" w14:textId="77777777" w:rsidTr="00200848">
        <w:tc>
          <w:tcPr>
            <w:tcW w:w="567" w:type="dxa"/>
            <w:shd w:val="clear" w:color="auto" w:fill="D9D9D9"/>
          </w:tcPr>
          <w:p w14:paraId="180D5FF0" w14:textId="77777777" w:rsidR="00D16106" w:rsidRPr="00D16106" w:rsidRDefault="00D16106" w:rsidP="003C2F80">
            <w:pPr>
              <w:pStyle w:val="ComparatorSPecBoxBold"/>
            </w:pPr>
            <w:r>
              <w:t>1.4</w:t>
            </w:r>
          </w:p>
        </w:tc>
        <w:tc>
          <w:tcPr>
            <w:tcW w:w="2093" w:type="dxa"/>
            <w:shd w:val="clear" w:color="auto" w:fill="D9D9D9"/>
          </w:tcPr>
          <w:p w14:paraId="54263228" w14:textId="77777777" w:rsidR="00D16106" w:rsidRPr="00D16106" w:rsidRDefault="00D16106" w:rsidP="003C2F80">
            <w:pPr>
              <w:pStyle w:val="ComparatorSPecBoxBold"/>
            </w:pPr>
            <w:r w:rsidRPr="00D16106">
              <w:t>Denominator</w:t>
            </w:r>
          </w:p>
        </w:tc>
        <w:tc>
          <w:tcPr>
            <w:tcW w:w="7229" w:type="dxa"/>
          </w:tcPr>
          <w:p w14:paraId="585F1CAB" w14:textId="77777777" w:rsidR="00D16106" w:rsidRDefault="00D16106" w:rsidP="003C2F80">
            <w:pPr>
              <w:pStyle w:val="ComparatorSpecBoxSpacing"/>
            </w:pPr>
            <w:r w:rsidRPr="00F655BE">
              <w:rPr>
                <w:rFonts w:eastAsia="Calibri"/>
              </w:rPr>
              <w:t xml:space="preserve">Number of patients (all ages, aged 17 or under, 18 to 24, 25 to 34, 35 to 44, 45 to 54, 55 to 64, 65 to 74, 75 to 84 and 85 or over) </w:t>
            </w:r>
            <w:r w:rsidRPr="00D16106">
              <w:t>prescribed one or more medicines that can have an unintended hypotensive effect (list 1) and who are NOT concurrently prescribed a medicine recommended by NICE for the management of hypertension</w:t>
            </w:r>
            <w:r w:rsidRPr="00F655BE">
              <w:rPr>
                <w:vertAlign w:val="superscript"/>
              </w:rPr>
              <w:t>1,2</w:t>
            </w:r>
            <w:r w:rsidRPr="00D16106">
              <w:t xml:space="preserve"> (list 2) or a medicine that is only licen</w:t>
            </w:r>
            <w:r w:rsidR="003E2211">
              <w:t>s</w:t>
            </w:r>
            <w:r w:rsidRPr="00D16106">
              <w:t>ed for hypertension</w:t>
            </w:r>
            <w:r w:rsidRPr="00F655BE">
              <w:rPr>
                <w:vertAlign w:val="superscript"/>
              </w:rPr>
              <w:t>3</w:t>
            </w:r>
            <w:r w:rsidRPr="00D16106">
              <w:t xml:space="preserve"> (list 3).</w:t>
            </w:r>
          </w:p>
          <w:p w14:paraId="2F99BC16" w14:textId="77777777" w:rsidR="00D16106" w:rsidRPr="00D16106" w:rsidRDefault="00D16106" w:rsidP="003C2F80">
            <w:pPr>
              <w:pStyle w:val="ComparatorSpecBoxSpacing"/>
            </w:pPr>
            <w:r w:rsidRPr="00F655BE">
              <w:rPr>
                <w:rFonts w:eastAsia="Calibri"/>
              </w:rPr>
              <w:t xml:space="preserve">See numerator and appendix </w:t>
            </w:r>
            <w:r w:rsidR="002B2F2D" w:rsidRPr="00F655BE">
              <w:rPr>
                <w:rFonts w:eastAsia="Calibri"/>
              </w:rPr>
              <w:t>6</w:t>
            </w:r>
            <w:r w:rsidRPr="00F655BE">
              <w:rPr>
                <w:rFonts w:eastAsia="Calibri"/>
              </w:rPr>
              <w:t xml:space="preserve"> for details of medicine lists</w:t>
            </w:r>
          </w:p>
        </w:tc>
      </w:tr>
      <w:tr w:rsidR="00D16106" w:rsidRPr="00D16106" w14:paraId="72D6A71D" w14:textId="77777777" w:rsidTr="00200848">
        <w:tc>
          <w:tcPr>
            <w:tcW w:w="9889" w:type="dxa"/>
            <w:gridSpan w:val="3"/>
            <w:shd w:val="clear" w:color="auto" w:fill="D9D9D9"/>
          </w:tcPr>
          <w:p w14:paraId="79C0C1C5" w14:textId="77777777" w:rsidR="00D16106" w:rsidRPr="00D16106" w:rsidRDefault="00D16106" w:rsidP="003C2F80">
            <w:pPr>
              <w:pStyle w:val="ComparatorSPecBoxBold"/>
            </w:pPr>
            <w:r w:rsidRPr="00D16106">
              <w:t>Section 2: Rationale</w:t>
            </w:r>
          </w:p>
        </w:tc>
      </w:tr>
      <w:tr w:rsidR="00D16106" w:rsidRPr="00D16106" w14:paraId="3AC69E44" w14:textId="77777777" w:rsidTr="00200848">
        <w:tc>
          <w:tcPr>
            <w:tcW w:w="567" w:type="dxa"/>
            <w:shd w:val="clear" w:color="auto" w:fill="D9D9D9"/>
          </w:tcPr>
          <w:p w14:paraId="2FD5E9D0" w14:textId="77777777" w:rsidR="00D16106" w:rsidRPr="00D16106" w:rsidRDefault="00D16106" w:rsidP="003C2F80">
            <w:pPr>
              <w:pStyle w:val="ComparatorSPecBoxBold"/>
            </w:pPr>
            <w:r>
              <w:t>2.1</w:t>
            </w:r>
          </w:p>
        </w:tc>
        <w:tc>
          <w:tcPr>
            <w:tcW w:w="2093" w:type="dxa"/>
            <w:shd w:val="clear" w:color="auto" w:fill="D9D9D9"/>
          </w:tcPr>
          <w:p w14:paraId="3C77A827" w14:textId="77777777" w:rsidR="00D16106" w:rsidRPr="00D16106" w:rsidRDefault="00D16106" w:rsidP="003C2F80">
            <w:pPr>
              <w:pStyle w:val="ComparatorSPecBoxBold"/>
            </w:pPr>
            <w:r w:rsidRPr="00D16106">
              <w:t>Comments/ Rationale</w:t>
            </w:r>
          </w:p>
        </w:tc>
        <w:tc>
          <w:tcPr>
            <w:tcW w:w="7229" w:type="dxa"/>
          </w:tcPr>
          <w:p w14:paraId="557AC6F8" w14:textId="77777777" w:rsidR="00D16106" w:rsidRPr="00D16106" w:rsidRDefault="00D16106" w:rsidP="003C2F80">
            <w:pPr>
              <w:pStyle w:val="ComparatorSpecBoxSpacing"/>
            </w:pPr>
            <w:r w:rsidRPr="00D16106">
              <w:t>Patients who are prescribed multiple medicines that can have an unintended hypotensive effect (as a pharmacological action or adverse-effect) and are not prescribed medicines for the management of diagnosed hypertension may not have their blood pressure routinely monitored and may therefore at risk of hypotension (including postural/orthostatic hypotension) resulting in falls or fractures resulting from falls. There may be patients included in the comparator whose blood pressure is being routinely monitored.</w:t>
            </w:r>
          </w:p>
          <w:p w14:paraId="6597A187" w14:textId="77777777" w:rsidR="00D16106" w:rsidRPr="00D16106" w:rsidRDefault="00D16106" w:rsidP="003C2F80">
            <w:pPr>
              <w:pStyle w:val="ComparatorSpecBoxSpacing"/>
            </w:pPr>
            <w:r w:rsidRPr="00D16106">
              <w:t xml:space="preserve">Appendix 1, table 8 (attached) of the </w:t>
            </w:r>
            <w:r w:rsidRPr="00F655BE">
              <w:rPr>
                <w:u w:val="single"/>
              </w:rPr>
              <w:t xml:space="preserve">print </w:t>
            </w:r>
            <w:r w:rsidRPr="00D16106">
              <w:t xml:space="preserve">version of British National Formular lists of some of the medicines that cause hypotension noting that “concurrent use of two or more drugs from the list may increase the risk” and that “the list is not exhaustive”. </w:t>
            </w:r>
          </w:p>
          <w:p w14:paraId="364E832B" w14:textId="77777777" w:rsidR="00D16106" w:rsidRPr="00D16106" w:rsidRDefault="00D16106" w:rsidP="003C2F80">
            <w:pPr>
              <w:pStyle w:val="ComparatorSpecBoxSpacing"/>
            </w:pPr>
            <w:r w:rsidRPr="00D16106">
              <w:t xml:space="preserve">In August 2019, UKMI provided a literature review of medicines/medicine classes, in descending order of most frequently cited in the reference resources), associated with hypotension. </w:t>
            </w:r>
          </w:p>
          <w:p w14:paraId="2400AD2A" w14:textId="77777777" w:rsidR="00D16106" w:rsidRPr="00F655BE" w:rsidRDefault="00D16106" w:rsidP="003C2F80">
            <w:pPr>
              <w:pStyle w:val="ComparatorSpecBoxSpacing"/>
              <w:rPr>
                <w:rFonts w:eastAsia="Calibri"/>
              </w:rPr>
            </w:pPr>
            <w:r w:rsidRPr="00D16106">
              <w:t>Both BNF table 8 and the UKMI literature review have been used to identify medicines associated with hypotension and create a list of m</w:t>
            </w:r>
            <w:r w:rsidRPr="00F655BE">
              <w:rPr>
                <w:rFonts w:eastAsia="Calibri"/>
              </w:rPr>
              <w:t>edicines that can have a hypotensive effect (List 1). Please note that the list of medicines (list 1):</w:t>
            </w:r>
          </w:p>
          <w:p w14:paraId="48FFE96B" w14:textId="77777777" w:rsidR="00D16106" w:rsidRPr="00D16106" w:rsidRDefault="00D16106" w:rsidP="003C2F80">
            <w:pPr>
              <w:pStyle w:val="ComparatorSpecBoxSpacing"/>
            </w:pPr>
            <w:r w:rsidRPr="00D16106">
              <w:t>is not an exhaustive list of all medicines that may cause unintended hypotension i.e. as an undesirable or adverse effect.</w:t>
            </w:r>
          </w:p>
          <w:p w14:paraId="1CAA7A73" w14:textId="36EAF7F3" w:rsidR="00D16106" w:rsidRPr="00D16106" w:rsidRDefault="00D16106" w:rsidP="003C2F80">
            <w:pPr>
              <w:pStyle w:val="ComparatorSpecBoxSpacing"/>
            </w:pPr>
            <w:r w:rsidRPr="00D16106">
              <w:t>Does not consider the frequency or severity of unintended hypotension.</w:t>
            </w:r>
            <w:r w:rsidR="009F0D7B">
              <w:t xml:space="preserve"> </w:t>
            </w:r>
          </w:p>
          <w:p w14:paraId="4E054220" w14:textId="77777777" w:rsidR="00D16106" w:rsidRPr="00D16106" w:rsidRDefault="00D16106" w:rsidP="003C2F80">
            <w:pPr>
              <w:pStyle w:val="ComparatorSpecBoxSpacing"/>
            </w:pPr>
            <w:r w:rsidRPr="00F655BE">
              <w:rPr>
                <w:rFonts w:eastAsia="Calibri"/>
              </w:rPr>
              <w:t xml:space="preserve">Not all medicines recommended by NICE for the management of </w:t>
            </w:r>
            <w:r w:rsidRPr="00D16106">
              <w:t>hypertension</w:t>
            </w:r>
            <w:r w:rsidRPr="00F655BE">
              <w:rPr>
                <w:vertAlign w:val="superscript"/>
              </w:rPr>
              <w:t xml:space="preserve">1, 2 </w:t>
            </w:r>
            <w:r w:rsidRPr="00D16106">
              <w:t xml:space="preserve">are solely indicated for the management of hypertension (list 2). Some of these medicines </w:t>
            </w:r>
            <w:r w:rsidRPr="00D16106">
              <w:lastRenderedPageBreak/>
              <w:t>have other indicated uses e.g. ACE inhibitors/heart failure</w:t>
            </w:r>
          </w:p>
        </w:tc>
      </w:tr>
      <w:tr w:rsidR="00D16106" w:rsidRPr="00D16106" w14:paraId="499C98AC" w14:textId="77777777" w:rsidTr="00200848">
        <w:tc>
          <w:tcPr>
            <w:tcW w:w="567" w:type="dxa"/>
            <w:shd w:val="clear" w:color="auto" w:fill="D9D9D9"/>
          </w:tcPr>
          <w:p w14:paraId="70B26BF8" w14:textId="77777777" w:rsidR="00D16106" w:rsidRPr="00D16106" w:rsidRDefault="00D16106" w:rsidP="003C2F80">
            <w:pPr>
              <w:pStyle w:val="ComparatorSPecBoxBold"/>
            </w:pPr>
            <w:r>
              <w:lastRenderedPageBreak/>
              <w:t>2.2</w:t>
            </w:r>
          </w:p>
        </w:tc>
        <w:tc>
          <w:tcPr>
            <w:tcW w:w="2093" w:type="dxa"/>
            <w:shd w:val="clear" w:color="auto" w:fill="D9D9D9"/>
          </w:tcPr>
          <w:p w14:paraId="07E4FE10" w14:textId="77777777" w:rsidR="00D16106" w:rsidRPr="00D16106" w:rsidRDefault="00D16106" w:rsidP="003C2F80">
            <w:pPr>
              <w:pStyle w:val="ComparatorSPecBoxBold"/>
            </w:pPr>
            <w:r w:rsidRPr="00D16106">
              <w:t>References</w:t>
            </w:r>
          </w:p>
        </w:tc>
        <w:tc>
          <w:tcPr>
            <w:tcW w:w="7229" w:type="dxa"/>
          </w:tcPr>
          <w:p w14:paraId="76F34DC1" w14:textId="23146683" w:rsidR="00D16106" w:rsidRPr="00D16106" w:rsidRDefault="00D16106" w:rsidP="003C2F80">
            <w:pPr>
              <w:pStyle w:val="ComparatorSpecBoxSpacing"/>
            </w:pPr>
            <w:r w:rsidRPr="00F655BE">
              <w:rPr>
                <w:vertAlign w:val="superscript"/>
              </w:rPr>
              <w:t xml:space="preserve">1 </w:t>
            </w:r>
            <w:hyperlink r:id="rId25" w:history="1">
              <w:r w:rsidRPr="00D16106">
                <w:rPr>
                  <w:rStyle w:val="Hyperlink"/>
                </w:rPr>
                <w:t>https://www.nice.org.uk/guidance/ng136</w:t>
              </w:r>
            </w:hyperlink>
          </w:p>
          <w:p w14:paraId="6EFAC9D0" w14:textId="7A19CE2D" w:rsidR="00D16106" w:rsidRPr="00F655BE" w:rsidRDefault="00D16106" w:rsidP="003C2F80">
            <w:pPr>
              <w:pStyle w:val="ComparatorSpecBoxSpacing"/>
              <w:rPr>
                <w:color w:val="FF0000"/>
              </w:rPr>
            </w:pPr>
            <w:r w:rsidRPr="00F655BE">
              <w:rPr>
                <w:vertAlign w:val="superscript"/>
              </w:rPr>
              <w:t xml:space="preserve">2 </w:t>
            </w:r>
            <w:hyperlink r:id="rId26" w:history="1">
              <w:r w:rsidRPr="00D16106">
                <w:rPr>
                  <w:rStyle w:val="Hyperlink"/>
                </w:rPr>
                <w:t>https://www.nice.org.uk/guidance/ng136/resources/visual-summary-pdf-6899919517</w:t>
              </w:r>
            </w:hyperlink>
          </w:p>
          <w:p w14:paraId="261D3590" w14:textId="7C1A1F8E" w:rsidR="00D16106" w:rsidRPr="00F655BE" w:rsidRDefault="00D16106" w:rsidP="003C2F80">
            <w:pPr>
              <w:pStyle w:val="ComparatorSpecBoxSpacing"/>
              <w:rPr>
                <w:rFonts w:eastAsia="Calibri"/>
              </w:rPr>
            </w:pPr>
            <w:r w:rsidRPr="00F655BE">
              <w:rPr>
                <w:rFonts w:eastAsia="Calibri"/>
                <w:vertAlign w:val="superscript"/>
              </w:rPr>
              <w:t>3</w:t>
            </w:r>
            <w:r w:rsidRPr="00F655BE">
              <w:rPr>
                <w:rFonts w:eastAsia="Calibri"/>
                <w:color w:val="FF0000"/>
                <w:vertAlign w:val="superscript"/>
              </w:rPr>
              <w:t xml:space="preserve"> </w:t>
            </w:r>
            <w:r w:rsidRPr="00F655BE">
              <w:rPr>
                <w:rFonts w:eastAsia="Calibri"/>
              </w:rPr>
              <w:t xml:space="preserve">British National Formulary </w:t>
            </w:r>
            <w:hyperlink r:id="rId27" w:history="1">
              <w:r w:rsidRPr="00D16106">
                <w:rPr>
                  <w:rStyle w:val="Hyperlink"/>
                </w:rPr>
                <w:t>https://bnf.nice.org.uk/</w:t>
              </w:r>
            </w:hyperlink>
          </w:p>
        </w:tc>
      </w:tr>
    </w:tbl>
    <w:p w14:paraId="1799E3A4" w14:textId="77777777" w:rsidR="00D16106" w:rsidRDefault="00D16106" w:rsidP="001D3131"/>
    <w:p w14:paraId="02CA2289" w14:textId="2CC40A4F" w:rsidR="002B2F2D" w:rsidRPr="002B2F2D" w:rsidRDefault="00162CD3" w:rsidP="001D3131">
      <w:pPr>
        <w:pStyle w:val="Heading2"/>
      </w:pPr>
      <w:r>
        <w:br w:type="page"/>
      </w:r>
      <w:bookmarkStart w:id="94" w:name="_Toc234231968"/>
      <w:r w:rsidR="00BF1A26" w:rsidRPr="00CC3615">
        <w:lastRenderedPageBreak/>
        <w:t>Patients prescribed a selective serotonin reuptake inhibitor (SSRI) or a selective noradrenaline reuptake inhibitor (SNRI) concurrently with other medicines known to increase the risk of bleeding</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450"/>
        <w:gridCol w:w="7006"/>
      </w:tblGrid>
      <w:tr w:rsidR="00CC3615" w:rsidRPr="00CC3615" w14:paraId="2FB6582E" w14:textId="77777777" w:rsidTr="00200848">
        <w:trPr>
          <w:trHeight w:val="238"/>
        </w:trPr>
        <w:tc>
          <w:tcPr>
            <w:tcW w:w="948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F9B9BD7" w14:textId="77777777" w:rsidR="00CC3615" w:rsidRPr="00CC3615" w:rsidRDefault="00CC3615" w:rsidP="009437ED">
            <w:pPr>
              <w:pStyle w:val="ComparatorSPecBoxBold"/>
            </w:pPr>
            <w:r w:rsidRPr="00CC3615">
              <w:t>Section 1: Introduction / Overview</w:t>
            </w:r>
          </w:p>
        </w:tc>
      </w:tr>
      <w:tr w:rsidR="00CC3615" w:rsidRPr="00CC3615" w14:paraId="297C9DD9" w14:textId="77777777" w:rsidTr="00200848">
        <w:trPr>
          <w:trHeight w:val="218"/>
        </w:trPr>
        <w:tc>
          <w:tcPr>
            <w:tcW w:w="1027" w:type="dxa"/>
            <w:tcBorders>
              <w:top w:val="single" w:sz="4" w:space="0" w:color="auto"/>
              <w:left w:val="single" w:sz="4" w:space="0" w:color="auto"/>
              <w:bottom w:val="single" w:sz="4" w:space="0" w:color="auto"/>
              <w:right w:val="single" w:sz="4" w:space="0" w:color="auto"/>
            </w:tcBorders>
            <w:shd w:val="clear" w:color="auto" w:fill="D9D9D9"/>
            <w:hideMark/>
          </w:tcPr>
          <w:p w14:paraId="0161BBB9" w14:textId="77777777" w:rsidR="00CC3615" w:rsidRPr="00CC3615" w:rsidRDefault="00CC3615" w:rsidP="009437ED">
            <w:pPr>
              <w:pStyle w:val="ComparatorSPecBoxBold"/>
            </w:pPr>
            <w:r w:rsidRPr="00CC3615">
              <w:t>1.1</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1D6B67F9" w14:textId="77777777" w:rsidR="00CC3615" w:rsidRPr="00CC3615" w:rsidRDefault="00CC3615" w:rsidP="009437ED">
            <w:pPr>
              <w:pStyle w:val="ComparatorSPecBoxBold"/>
            </w:pPr>
            <w:r w:rsidRPr="00CC3615">
              <w:t>Title</w:t>
            </w:r>
          </w:p>
        </w:tc>
        <w:tc>
          <w:tcPr>
            <w:tcW w:w="7006" w:type="dxa"/>
            <w:tcBorders>
              <w:top w:val="single" w:sz="4" w:space="0" w:color="auto"/>
              <w:left w:val="single" w:sz="4" w:space="0" w:color="auto"/>
              <w:bottom w:val="single" w:sz="4" w:space="0" w:color="auto"/>
              <w:right w:val="single" w:sz="4" w:space="0" w:color="auto"/>
            </w:tcBorders>
            <w:hideMark/>
          </w:tcPr>
          <w:p w14:paraId="3C80850A" w14:textId="77777777" w:rsidR="00CC3615" w:rsidRPr="00CC3615" w:rsidRDefault="00CC3615" w:rsidP="009437ED">
            <w:pPr>
              <w:pStyle w:val="ComparatorSpecBoxSpacing"/>
            </w:pPr>
            <w:r w:rsidRPr="00CC3615">
              <w:t>Patients prescribed a selective serotonin reuptake inhibitor (SSRI) or a selective noradrenaline reuptake inhibitor (SNRI) concurrently with other medicines known to increase the risk of bleeding</w:t>
            </w:r>
          </w:p>
        </w:tc>
      </w:tr>
      <w:tr w:rsidR="00CC3615" w:rsidRPr="00CC3615" w14:paraId="701A90E8" w14:textId="77777777" w:rsidTr="00200848">
        <w:tc>
          <w:tcPr>
            <w:tcW w:w="1027" w:type="dxa"/>
            <w:tcBorders>
              <w:top w:val="single" w:sz="4" w:space="0" w:color="auto"/>
              <w:left w:val="single" w:sz="4" w:space="0" w:color="auto"/>
              <w:bottom w:val="single" w:sz="4" w:space="0" w:color="auto"/>
              <w:right w:val="single" w:sz="4" w:space="0" w:color="auto"/>
            </w:tcBorders>
            <w:shd w:val="clear" w:color="auto" w:fill="D9D9D9"/>
            <w:hideMark/>
          </w:tcPr>
          <w:p w14:paraId="2CC05B76" w14:textId="77777777" w:rsidR="00CC3615" w:rsidRPr="00CC3615" w:rsidRDefault="00CC3615" w:rsidP="009437ED">
            <w:pPr>
              <w:pStyle w:val="ComparatorSPecBoxBold"/>
            </w:pPr>
            <w:r w:rsidRPr="00CC3615">
              <w:t>1.2</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6A81783C" w14:textId="77777777" w:rsidR="00CC3615" w:rsidRPr="00CC3615" w:rsidRDefault="00CC3615" w:rsidP="009437ED">
            <w:pPr>
              <w:pStyle w:val="ComparatorSPecBoxBold"/>
            </w:pPr>
            <w:r w:rsidRPr="00CC3615">
              <w:t>Description</w:t>
            </w:r>
          </w:p>
        </w:tc>
        <w:tc>
          <w:tcPr>
            <w:tcW w:w="7006" w:type="dxa"/>
            <w:tcBorders>
              <w:top w:val="single" w:sz="4" w:space="0" w:color="auto"/>
              <w:left w:val="single" w:sz="4" w:space="0" w:color="auto"/>
              <w:bottom w:val="single" w:sz="4" w:space="0" w:color="auto"/>
              <w:right w:val="single" w:sz="4" w:space="0" w:color="auto"/>
            </w:tcBorders>
            <w:hideMark/>
          </w:tcPr>
          <w:p w14:paraId="03EE82BF" w14:textId="2856BC91" w:rsidR="00CC3615" w:rsidRPr="00CC3615" w:rsidRDefault="00CC3615" w:rsidP="009437ED">
            <w:pPr>
              <w:pStyle w:val="ComparatorSpecBoxSpacing"/>
            </w:pPr>
            <w:r w:rsidRPr="00CC3615">
              <w:t xml:space="preserve">Number of patients (all ages, aged 17 or under, 18 to 24, 25 to 34, 35 to 44, 45 to 54, 55 to 64, 65 to 74, 75 to 84 and 85 or over) prescribed a SSRI or SNRI </w:t>
            </w:r>
            <w:r w:rsidRPr="009C0562">
              <w:rPr>
                <w:u w:val="single"/>
              </w:rPr>
              <w:t>and</w:t>
            </w:r>
            <w:r w:rsidRPr="00CC3615">
              <w:t xml:space="preserve"> concurrently prescribed, in the same reporting period, 2, 3 or 4 (or more) unique medicines (chemical substances) that may increase the risk of a bleed as a percentage of patients prescribed an SSRI/SNRI in the same reporting period.</w:t>
            </w:r>
            <w:r w:rsidR="009F0D7B">
              <w:t xml:space="preserve"> </w:t>
            </w:r>
          </w:p>
        </w:tc>
      </w:tr>
      <w:tr w:rsidR="00CC3615" w:rsidRPr="00CC3615" w14:paraId="0EA6AF7A" w14:textId="77777777" w:rsidTr="00200848">
        <w:trPr>
          <w:trHeight w:val="4243"/>
        </w:trPr>
        <w:tc>
          <w:tcPr>
            <w:tcW w:w="1027" w:type="dxa"/>
            <w:tcBorders>
              <w:top w:val="single" w:sz="4" w:space="0" w:color="auto"/>
              <w:left w:val="single" w:sz="4" w:space="0" w:color="auto"/>
              <w:bottom w:val="single" w:sz="4" w:space="0" w:color="auto"/>
              <w:right w:val="single" w:sz="4" w:space="0" w:color="auto"/>
            </w:tcBorders>
            <w:shd w:val="clear" w:color="auto" w:fill="D9D9D9"/>
            <w:hideMark/>
          </w:tcPr>
          <w:p w14:paraId="463604F9" w14:textId="77777777" w:rsidR="00CC3615" w:rsidRPr="00CC3615" w:rsidRDefault="00CC3615" w:rsidP="009437ED">
            <w:pPr>
              <w:pStyle w:val="ComparatorSPecBoxBold"/>
            </w:pPr>
            <w:r w:rsidRPr="00CC3615">
              <w:t>1.3</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169A57E" w14:textId="77777777" w:rsidR="00CC3615" w:rsidRPr="00CC3615" w:rsidRDefault="00CC3615" w:rsidP="009437ED">
            <w:pPr>
              <w:pStyle w:val="ComparatorSPecBoxBold"/>
            </w:pPr>
            <w:r w:rsidRPr="00CC3615">
              <w:t>Numerator</w:t>
            </w:r>
          </w:p>
        </w:tc>
        <w:tc>
          <w:tcPr>
            <w:tcW w:w="7006" w:type="dxa"/>
            <w:tcBorders>
              <w:top w:val="single" w:sz="4" w:space="0" w:color="auto"/>
              <w:left w:val="single" w:sz="4" w:space="0" w:color="auto"/>
              <w:bottom w:val="single" w:sz="4" w:space="0" w:color="auto"/>
              <w:right w:val="single" w:sz="4" w:space="0" w:color="auto"/>
            </w:tcBorders>
          </w:tcPr>
          <w:p w14:paraId="6CFE8EDD" w14:textId="77777777" w:rsidR="00CC3615" w:rsidRPr="00CC3615" w:rsidRDefault="00CC3615" w:rsidP="009437ED">
            <w:pPr>
              <w:pStyle w:val="ComparatorSpecBoxSpacing"/>
            </w:pPr>
            <w:r w:rsidRPr="00CC3615">
              <w:t xml:space="preserve">Number of patients (all ages, aged 17 or under, 18 to 24, 25 to 34, 35 to 44, 45 to 54, 55 to 64, 65 to 74, 75 to 84 and 85 or over) prescribed a SSRI or SNRI (group 1) </w:t>
            </w:r>
            <w:r w:rsidRPr="009C0562">
              <w:rPr>
                <w:u w:val="single"/>
              </w:rPr>
              <w:t>and</w:t>
            </w:r>
            <w:r w:rsidRPr="00CC3615">
              <w:t xml:space="preserve"> concurrently prescribed, in the same reporting period, 2, 3 or 4 (or more) unique medicines (chemical substances) from groups 2, 3, 4 or 5.</w:t>
            </w:r>
          </w:p>
          <w:p w14:paraId="462AC6A0" w14:textId="77777777" w:rsidR="00CC3615" w:rsidRPr="009804A5" w:rsidRDefault="00CC3615" w:rsidP="00F254BD">
            <w:pPr>
              <w:pStyle w:val="ComparatorSpecBoxBoldSpaced"/>
            </w:pPr>
            <w:r w:rsidRPr="009804A5">
              <w:t>Group 1: SSRIs / SNRIs</w:t>
            </w:r>
          </w:p>
          <w:tbl>
            <w:tblPr>
              <w:tblW w:w="6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1984"/>
            </w:tblGrid>
            <w:tr w:rsidR="00CC3615" w:rsidRPr="009804A5" w14:paraId="31419DD5" w14:textId="77777777" w:rsidTr="004A28A9">
              <w:trPr>
                <w:trHeight w:val="20"/>
              </w:trPr>
              <w:tc>
                <w:tcPr>
                  <w:tcW w:w="4728" w:type="dxa"/>
                  <w:shd w:val="clear" w:color="auto" w:fill="F2F2F2"/>
                  <w:hideMark/>
                </w:tcPr>
                <w:p w14:paraId="7212C21C" w14:textId="77777777" w:rsidR="00CC3615" w:rsidRPr="009804A5" w:rsidRDefault="00CC3615" w:rsidP="004A28A9">
                  <w:pPr>
                    <w:pStyle w:val="ComparatorSpecBoxNormal"/>
                  </w:pPr>
                  <w:r w:rsidRPr="009804A5">
                    <w:t>BNF Chemical Substance</w:t>
                  </w:r>
                </w:p>
              </w:tc>
              <w:tc>
                <w:tcPr>
                  <w:tcW w:w="1984" w:type="dxa"/>
                  <w:shd w:val="clear" w:color="auto" w:fill="F2F2F2"/>
                  <w:hideMark/>
                </w:tcPr>
                <w:p w14:paraId="54ADB225" w14:textId="77777777" w:rsidR="00CC3615" w:rsidRPr="009804A5" w:rsidRDefault="00CC3615" w:rsidP="004A28A9">
                  <w:pPr>
                    <w:pStyle w:val="ComparatorSpecBoxNormal"/>
                  </w:pPr>
                  <w:r w:rsidRPr="009804A5">
                    <w:t xml:space="preserve">BNF Chemical </w:t>
                  </w:r>
                </w:p>
                <w:p w14:paraId="26980697" w14:textId="77777777" w:rsidR="00CC3615" w:rsidRPr="009804A5" w:rsidRDefault="00CC3615" w:rsidP="004A28A9">
                  <w:pPr>
                    <w:pStyle w:val="ComparatorSpecBoxNormal"/>
                  </w:pPr>
                  <w:r w:rsidRPr="009804A5">
                    <w:t>Substance Code</w:t>
                  </w:r>
                </w:p>
              </w:tc>
            </w:tr>
            <w:tr w:rsidR="00CC3615" w:rsidRPr="00CC3615" w14:paraId="1CBD29AE" w14:textId="77777777" w:rsidTr="004A28A9">
              <w:trPr>
                <w:trHeight w:val="20"/>
              </w:trPr>
              <w:tc>
                <w:tcPr>
                  <w:tcW w:w="4728" w:type="dxa"/>
                  <w:noWrap/>
                  <w:vAlign w:val="bottom"/>
                  <w:hideMark/>
                </w:tcPr>
                <w:p w14:paraId="3D50B917" w14:textId="77777777" w:rsidR="00CC3615" w:rsidRPr="00CC3615" w:rsidRDefault="00CC3615" w:rsidP="004A28A9">
                  <w:pPr>
                    <w:pStyle w:val="ComparatorSpecBoxNormal"/>
                  </w:pPr>
                  <w:r w:rsidRPr="00CC3615">
                    <w:t>Citalopram hydrobromide</w:t>
                  </w:r>
                </w:p>
              </w:tc>
              <w:tc>
                <w:tcPr>
                  <w:tcW w:w="1984" w:type="dxa"/>
                  <w:noWrap/>
                  <w:vAlign w:val="bottom"/>
                  <w:hideMark/>
                </w:tcPr>
                <w:p w14:paraId="5CD9707C" w14:textId="77777777" w:rsidR="00CC3615" w:rsidRPr="00CC3615" w:rsidRDefault="00CC3615" w:rsidP="004A28A9">
                  <w:pPr>
                    <w:pStyle w:val="ComparatorSpecBoxNormal"/>
                  </w:pPr>
                  <w:r w:rsidRPr="00CC3615">
                    <w:t>0403030D0</w:t>
                  </w:r>
                </w:p>
              </w:tc>
            </w:tr>
            <w:tr w:rsidR="00CC3615" w:rsidRPr="00CC3615" w14:paraId="1A064B3C" w14:textId="77777777" w:rsidTr="004A28A9">
              <w:trPr>
                <w:trHeight w:val="20"/>
              </w:trPr>
              <w:tc>
                <w:tcPr>
                  <w:tcW w:w="4728" w:type="dxa"/>
                  <w:noWrap/>
                  <w:vAlign w:val="bottom"/>
                  <w:hideMark/>
                </w:tcPr>
                <w:p w14:paraId="1FF4A984" w14:textId="77777777" w:rsidR="00CC3615" w:rsidRPr="00CC3615" w:rsidRDefault="00CC3615" w:rsidP="004A28A9">
                  <w:pPr>
                    <w:pStyle w:val="ComparatorSpecBoxNormal"/>
                  </w:pPr>
                  <w:r w:rsidRPr="00CC3615">
                    <w:t>Citalopram hydrochloride</w:t>
                  </w:r>
                </w:p>
              </w:tc>
              <w:tc>
                <w:tcPr>
                  <w:tcW w:w="1984" w:type="dxa"/>
                  <w:noWrap/>
                  <w:vAlign w:val="bottom"/>
                  <w:hideMark/>
                </w:tcPr>
                <w:p w14:paraId="0817F45D" w14:textId="77777777" w:rsidR="00CC3615" w:rsidRPr="00CC3615" w:rsidRDefault="00CC3615" w:rsidP="004A28A9">
                  <w:pPr>
                    <w:pStyle w:val="ComparatorSpecBoxNormal"/>
                  </w:pPr>
                  <w:r w:rsidRPr="00CC3615">
                    <w:t>0403030Z0</w:t>
                  </w:r>
                </w:p>
              </w:tc>
            </w:tr>
            <w:tr w:rsidR="00CC3615" w:rsidRPr="00CC3615" w14:paraId="4EFE92CE" w14:textId="77777777" w:rsidTr="004A28A9">
              <w:trPr>
                <w:trHeight w:val="20"/>
              </w:trPr>
              <w:tc>
                <w:tcPr>
                  <w:tcW w:w="4728" w:type="dxa"/>
                  <w:noWrap/>
                  <w:vAlign w:val="bottom"/>
                  <w:hideMark/>
                </w:tcPr>
                <w:p w14:paraId="7E810027" w14:textId="77777777" w:rsidR="00CC3615" w:rsidRPr="00CC3615" w:rsidRDefault="00CC3615" w:rsidP="004A28A9">
                  <w:pPr>
                    <w:pStyle w:val="ComparatorSpecBoxNormal"/>
                  </w:pPr>
                  <w:r w:rsidRPr="00CC3615">
                    <w:t>Escitalopram</w:t>
                  </w:r>
                </w:p>
              </w:tc>
              <w:tc>
                <w:tcPr>
                  <w:tcW w:w="1984" w:type="dxa"/>
                  <w:noWrap/>
                  <w:vAlign w:val="bottom"/>
                  <w:hideMark/>
                </w:tcPr>
                <w:p w14:paraId="35EFE3AF" w14:textId="77777777" w:rsidR="00CC3615" w:rsidRPr="00CC3615" w:rsidRDefault="00CC3615" w:rsidP="004A28A9">
                  <w:pPr>
                    <w:pStyle w:val="ComparatorSpecBoxNormal"/>
                  </w:pPr>
                  <w:r w:rsidRPr="00CC3615">
                    <w:t>0403030X0</w:t>
                  </w:r>
                </w:p>
              </w:tc>
            </w:tr>
            <w:tr w:rsidR="00CC3615" w:rsidRPr="00CC3615" w14:paraId="3C09D661" w14:textId="77777777" w:rsidTr="004A28A9">
              <w:trPr>
                <w:trHeight w:val="20"/>
              </w:trPr>
              <w:tc>
                <w:tcPr>
                  <w:tcW w:w="4728" w:type="dxa"/>
                  <w:noWrap/>
                  <w:vAlign w:val="bottom"/>
                  <w:hideMark/>
                </w:tcPr>
                <w:p w14:paraId="1752C7B3" w14:textId="77777777" w:rsidR="00CC3615" w:rsidRPr="00CC3615" w:rsidRDefault="00CC3615" w:rsidP="004A28A9">
                  <w:pPr>
                    <w:pStyle w:val="ComparatorSpecBoxNormal"/>
                  </w:pPr>
                  <w:r w:rsidRPr="00CC3615">
                    <w:t>Fluoxetine hydrochloride</w:t>
                  </w:r>
                </w:p>
              </w:tc>
              <w:tc>
                <w:tcPr>
                  <w:tcW w:w="1984" w:type="dxa"/>
                  <w:noWrap/>
                  <w:vAlign w:val="bottom"/>
                  <w:hideMark/>
                </w:tcPr>
                <w:p w14:paraId="5DC3CFDA" w14:textId="77777777" w:rsidR="00CC3615" w:rsidRPr="00CC3615" w:rsidRDefault="00CC3615" w:rsidP="004A28A9">
                  <w:pPr>
                    <w:pStyle w:val="ComparatorSpecBoxNormal"/>
                  </w:pPr>
                  <w:r w:rsidRPr="00CC3615">
                    <w:t>0403030E0</w:t>
                  </w:r>
                </w:p>
              </w:tc>
            </w:tr>
            <w:tr w:rsidR="00CC3615" w:rsidRPr="00CC3615" w14:paraId="6D4ABDE5" w14:textId="77777777" w:rsidTr="004A28A9">
              <w:trPr>
                <w:trHeight w:val="20"/>
              </w:trPr>
              <w:tc>
                <w:tcPr>
                  <w:tcW w:w="4728" w:type="dxa"/>
                  <w:noWrap/>
                  <w:vAlign w:val="bottom"/>
                  <w:hideMark/>
                </w:tcPr>
                <w:p w14:paraId="60722E90" w14:textId="77777777" w:rsidR="00CC3615" w:rsidRPr="00CC3615" w:rsidRDefault="00CC3615" w:rsidP="004A28A9">
                  <w:pPr>
                    <w:pStyle w:val="ComparatorSpecBoxNormal"/>
                  </w:pPr>
                  <w:r w:rsidRPr="00CC3615">
                    <w:t>Fluvoxamine maleate</w:t>
                  </w:r>
                </w:p>
              </w:tc>
              <w:tc>
                <w:tcPr>
                  <w:tcW w:w="1984" w:type="dxa"/>
                  <w:noWrap/>
                  <w:vAlign w:val="bottom"/>
                  <w:hideMark/>
                </w:tcPr>
                <w:p w14:paraId="177136A9" w14:textId="77777777" w:rsidR="00CC3615" w:rsidRPr="00CC3615" w:rsidRDefault="00CC3615" w:rsidP="004A28A9">
                  <w:pPr>
                    <w:pStyle w:val="ComparatorSpecBoxNormal"/>
                  </w:pPr>
                  <w:r w:rsidRPr="00CC3615">
                    <w:t>0403030L0</w:t>
                  </w:r>
                </w:p>
              </w:tc>
            </w:tr>
            <w:tr w:rsidR="00CC3615" w:rsidRPr="00CC3615" w14:paraId="6ECE4FAD" w14:textId="77777777" w:rsidTr="004A28A9">
              <w:trPr>
                <w:trHeight w:val="20"/>
              </w:trPr>
              <w:tc>
                <w:tcPr>
                  <w:tcW w:w="4728" w:type="dxa"/>
                  <w:noWrap/>
                  <w:vAlign w:val="bottom"/>
                  <w:hideMark/>
                </w:tcPr>
                <w:p w14:paraId="6763E57D" w14:textId="77777777" w:rsidR="00CC3615" w:rsidRPr="00CC3615" w:rsidRDefault="00CC3615" w:rsidP="004A28A9">
                  <w:pPr>
                    <w:pStyle w:val="ComparatorSpecBoxNormal"/>
                  </w:pPr>
                  <w:r w:rsidRPr="00CC3615">
                    <w:t>Paroxetine hydrochloride</w:t>
                  </w:r>
                </w:p>
              </w:tc>
              <w:tc>
                <w:tcPr>
                  <w:tcW w:w="1984" w:type="dxa"/>
                  <w:noWrap/>
                  <w:vAlign w:val="bottom"/>
                  <w:hideMark/>
                </w:tcPr>
                <w:p w14:paraId="7E67CA71" w14:textId="77777777" w:rsidR="00CC3615" w:rsidRPr="00CC3615" w:rsidRDefault="00CC3615" w:rsidP="004A28A9">
                  <w:pPr>
                    <w:pStyle w:val="ComparatorSpecBoxNormal"/>
                  </w:pPr>
                  <w:r w:rsidRPr="00CC3615">
                    <w:t>0403030P0</w:t>
                  </w:r>
                </w:p>
              </w:tc>
            </w:tr>
            <w:tr w:rsidR="00CC3615" w:rsidRPr="00CC3615" w14:paraId="4B8FB957" w14:textId="77777777" w:rsidTr="004A28A9">
              <w:trPr>
                <w:trHeight w:val="20"/>
              </w:trPr>
              <w:tc>
                <w:tcPr>
                  <w:tcW w:w="4728" w:type="dxa"/>
                  <w:noWrap/>
                  <w:vAlign w:val="bottom"/>
                  <w:hideMark/>
                </w:tcPr>
                <w:p w14:paraId="7BD39F26" w14:textId="77777777" w:rsidR="00CC3615" w:rsidRPr="00CC3615" w:rsidRDefault="00CC3615" w:rsidP="004A28A9">
                  <w:pPr>
                    <w:pStyle w:val="ComparatorSpecBoxNormal"/>
                  </w:pPr>
                  <w:r w:rsidRPr="00CC3615">
                    <w:t>Sertraline hydrochloride</w:t>
                  </w:r>
                </w:p>
              </w:tc>
              <w:tc>
                <w:tcPr>
                  <w:tcW w:w="1984" w:type="dxa"/>
                  <w:noWrap/>
                  <w:vAlign w:val="bottom"/>
                  <w:hideMark/>
                </w:tcPr>
                <w:p w14:paraId="008D6607" w14:textId="77777777" w:rsidR="00CC3615" w:rsidRPr="00CC3615" w:rsidRDefault="00CC3615" w:rsidP="004A28A9">
                  <w:pPr>
                    <w:pStyle w:val="ComparatorSpecBoxNormal"/>
                  </w:pPr>
                  <w:r w:rsidRPr="00CC3615">
                    <w:t>0403030Q0</w:t>
                  </w:r>
                </w:p>
              </w:tc>
            </w:tr>
            <w:tr w:rsidR="00CC3615" w:rsidRPr="00CC3615" w14:paraId="26807DF3" w14:textId="77777777" w:rsidTr="004A28A9">
              <w:trPr>
                <w:trHeight w:val="20"/>
              </w:trPr>
              <w:tc>
                <w:tcPr>
                  <w:tcW w:w="4728" w:type="dxa"/>
                  <w:noWrap/>
                  <w:vAlign w:val="bottom"/>
                  <w:hideMark/>
                </w:tcPr>
                <w:p w14:paraId="63C60B2E" w14:textId="77777777" w:rsidR="00CC3615" w:rsidRPr="00CC3615" w:rsidRDefault="00CC3615" w:rsidP="004A28A9">
                  <w:pPr>
                    <w:pStyle w:val="ComparatorSpecBoxNormal"/>
                  </w:pPr>
                  <w:r w:rsidRPr="00CC3615">
                    <w:t>Duloxetine hydrochloride</w:t>
                  </w:r>
                </w:p>
              </w:tc>
              <w:tc>
                <w:tcPr>
                  <w:tcW w:w="1984" w:type="dxa"/>
                  <w:noWrap/>
                  <w:vAlign w:val="bottom"/>
                  <w:hideMark/>
                </w:tcPr>
                <w:p w14:paraId="3FA7E171" w14:textId="77777777" w:rsidR="00CC3615" w:rsidRPr="00CC3615" w:rsidRDefault="00CC3615" w:rsidP="004A28A9">
                  <w:pPr>
                    <w:pStyle w:val="ComparatorSpecBoxNormal"/>
                  </w:pPr>
                  <w:r w:rsidRPr="00CC3615">
                    <w:t>0403040Y0</w:t>
                  </w:r>
                </w:p>
              </w:tc>
            </w:tr>
            <w:tr w:rsidR="00CC3615" w:rsidRPr="00CC3615" w14:paraId="2C9CC390" w14:textId="77777777" w:rsidTr="004A28A9">
              <w:trPr>
                <w:trHeight w:val="20"/>
              </w:trPr>
              <w:tc>
                <w:tcPr>
                  <w:tcW w:w="4728" w:type="dxa"/>
                  <w:noWrap/>
                  <w:vAlign w:val="bottom"/>
                  <w:hideMark/>
                </w:tcPr>
                <w:p w14:paraId="2A6C9B36" w14:textId="77777777" w:rsidR="00CC3615" w:rsidRPr="00CC3615" w:rsidRDefault="00CC3615" w:rsidP="004A28A9">
                  <w:pPr>
                    <w:pStyle w:val="ComparatorSpecBoxNormal"/>
                  </w:pPr>
                  <w:proofErr w:type="spellStart"/>
                  <w:r w:rsidRPr="00CC3615">
                    <w:t>Levomilnacipran</w:t>
                  </w:r>
                  <w:proofErr w:type="spellEnd"/>
                </w:p>
              </w:tc>
              <w:tc>
                <w:tcPr>
                  <w:tcW w:w="1984" w:type="dxa"/>
                  <w:noWrap/>
                  <w:vAlign w:val="bottom"/>
                  <w:hideMark/>
                </w:tcPr>
                <w:p w14:paraId="238B287B" w14:textId="77777777" w:rsidR="00CC3615" w:rsidRPr="00CC3615" w:rsidRDefault="00CC3615" w:rsidP="004A28A9">
                  <w:pPr>
                    <w:pStyle w:val="ComparatorSpecBoxNormal"/>
                  </w:pPr>
                  <w:r w:rsidRPr="00CC3615">
                    <w:t>0403040AA</w:t>
                  </w:r>
                </w:p>
              </w:tc>
            </w:tr>
            <w:tr w:rsidR="00CC3615" w:rsidRPr="00CC3615" w14:paraId="2405CB24" w14:textId="77777777" w:rsidTr="004A28A9">
              <w:trPr>
                <w:trHeight w:val="20"/>
              </w:trPr>
              <w:tc>
                <w:tcPr>
                  <w:tcW w:w="4728" w:type="dxa"/>
                  <w:noWrap/>
                  <w:vAlign w:val="bottom"/>
                  <w:hideMark/>
                </w:tcPr>
                <w:p w14:paraId="15072CBA" w14:textId="77777777" w:rsidR="00CC3615" w:rsidRPr="00CC3615" w:rsidRDefault="00CC3615" w:rsidP="004A28A9">
                  <w:pPr>
                    <w:pStyle w:val="ComparatorSpecBoxNormal"/>
                  </w:pPr>
                  <w:r w:rsidRPr="00CC3615">
                    <w:t>Reboxetine</w:t>
                  </w:r>
                </w:p>
              </w:tc>
              <w:tc>
                <w:tcPr>
                  <w:tcW w:w="1984" w:type="dxa"/>
                  <w:noWrap/>
                  <w:vAlign w:val="bottom"/>
                  <w:hideMark/>
                </w:tcPr>
                <w:p w14:paraId="4F4BA500" w14:textId="77777777" w:rsidR="00CC3615" w:rsidRPr="00CC3615" w:rsidRDefault="00CC3615" w:rsidP="004A28A9">
                  <w:pPr>
                    <w:pStyle w:val="ComparatorSpecBoxNormal"/>
                  </w:pPr>
                  <w:r w:rsidRPr="00CC3615">
                    <w:t>0403040U0</w:t>
                  </w:r>
                </w:p>
              </w:tc>
            </w:tr>
            <w:tr w:rsidR="00CC3615" w:rsidRPr="00CC3615" w14:paraId="61286A9C" w14:textId="77777777" w:rsidTr="004A28A9">
              <w:trPr>
                <w:trHeight w:val="20"/>
              </w:trPr>
              <w:tc>
                <w:tcPr>
                  <w:tcW w:w="4728" w:type="dxa"/>
                  <w:noWrap/>
                  <w:vAlign w:val="bottom"/>
                  <w:hideMark/>
                </w:tcPr>
                <w:p w14:paraId="0D4EEB43" w14:textId="77777777" w:rsidR="00CC3615" w:rsidRPr="00CC3615" w:rsidRDefault="00CC3615" w:rsidP="004A28A9">
                  <w:pPr>
                    <w:pStyle w:val="ComparatorSpecBoxNormal"/>
                  </w:pPr>
                  <w:r w:rsidRPr="00CC3615">
                    <w:t>Venlafaxine</w:t>
                  </w:r>
                </w:p>
              </w:tc>
              <w:tc>
                <w:tcPr>
                  <w:tcW w:w="1984" w:type="dxa"/>
                  <w:noWrap/>
                  <w:vAlign w:val="bottom"/>
                  <w:hideMark/>
                </w:tcPr>
                <w:p w14:paraId="27A4323F" w14:textId="77777777" w:rsidR="00CC3615" w:rsidRPr="00CC3615" w:rsidRDefault="00CC3615" w:rsidP="004A28A9">
                  <w:pPr>
                    <w:pStyle w:val="ComparatorSpecBoxNormal"/>
                  </w:pPr>
                  <w:r w:rsidRPr="00CC3615">
                    <w:t>0403040W0</w:t>
                  </w:r>
                </w:p>
              </w:tc>
            </w:tr>
            <w:tr w:rsidR="00CC3615" w:rsidRPr="00CC3615" w14:paraId="073887DD" w14:textId="77777777" w:rsidTr="004A28A9">
              <w:trPr>
                <w:trHeight w:val="20"/>
              </w:trPr>
              <w:tc>
                <w:tcPr>
                  <w:tcW w:w="4728" w:type="dxa"/>
                  <w:noWrap/>
                  <w:vAlign w:val="bottom"/>
                  <w:hideMark/>
                </w:tcPr>
                <w:p w14:paraId="668EC6B3" w14:textId="77777777" w:rsidR="00CC3615" w:rsidRPr="00CC3615" w:rsidRDefault="00CC3615" w:rsidP="004A28A9">
                  <w:pPr>
                    <w:pStyle w:val="ComparatorSpecBoxNormal"/>
                  </w:pPr>
                  <w:r w:rsidRPr="00CC3615">
                    <w:t>Vortioxetine</w:t>
                  </w:r>
                </w:p>
              </w:tc>
              <w:tc>
                <w:tcPr>
                  <w:tcW w:w="1984" w:type="dxa"/>
                  <w:noWrap/>
                  <w:vAlign w:val="bottom"/>
                  <w:hideMark/>
                </w:tcPr>
                <w:p w14:paraId="0E69ADAD" w14:textId="77777777" w:rsidR="00CC3615" w:rsidRPr="00CC3615" w:rsidRDefault="00CC3615" w:rsidP="004A28A9">
                  <w:pPr>
                    <w:pStyle w:val="ComparatorSpecBoxNormal"/>
                  </w:pPr>
                  <w:r w:rsidRPr="00CC3615">
                    <w:t>0403040AB</w:t>
                  </w:r>
                </w:p>
              </w:tc>
            </w:tr>
            <w:tr w:rsidR="00CC3615" w:rsidRPr="00CC3615" w14:paraId="7C4E398E" w14:textId="77777777" w:rsidTr="004A28A9">
              <w:trPr>
                <w:trHeight w:val="20"/>
              </w:trPr>
              <w:tc>
                <w:tcPr>
                  <w:tcW w:w="4728" w:type="dxa"/>
                  <w:noWrap/>
                  <w:vAlign w:val="bottom"/>
                  <w:hideMark/>
                </w:tcPr>
                <w:p w14:paraId="1EC0DDBD" w14:textId="77777777" w:rsidR="00CC3615" w:rsidRPr="00CC3615" w:rsidRDefault="00CC3615" w:rsidP="004A28A9">
                  <w:pPr>
                    <w:pStyle w:val="ComparatorSpecBoxNormal"/>
                  </w:pPr>
                  <w:r w:rsidRPr="00CC3615">
                    <w:t>Duloxetine hydrochloride</w:t>
                  </w:r>
                </w:p>
              </w:tc>
              <w:tc>
                <w:tcPr>
                  <w:tcW w:w="1984" w:type="dxa"/>
                  <w:noWrap/>
                  <w:vAlign w:val="bottom"/>
                  <w:hideMark/>
                </w:tcPr>
                <w:p w14:paraId="680754D4" w14:textId="77777777" w:rsidR="00CC3615" w:rsidRPr="00CC3615" w:rsidRDefault="00CC3615" w:rsidP="004A28A9">
                  <w:pPr>
                    <w:pStyle w:val="ComparatorSpecBoxNormal"/>
                  </w:pPr>
                  <w:r w:rsidRPr="00CC3615">
                    <w:t>0704020AA</w:t>
                  </w:r>
                </w:p>
              </w:tc>
            </w:tr>
            <w:tr w:rsidR="00CC3615" w:rsidRPr="00CC3615" w14:paraId="34C5CF30" w14:textId="77777777" w:rsidTr="004A28A9">
              <w:trPr>
                <w:trHeight w:val="20"/>
              </w:trPr>
              <w:tc>
                <w:tcPr>
                  <w:tcW w:w="4728" w:type="dxa"/>
                  <w:noWrap/>
                  <w:vAlign w:val="bottom"/>
                  <w:hideMark/>
                </w:tcPr>
                <w:p w14:paraId="6002F60B" w14:textId="77777777" w:rsidR="00CC3615" w:rsidRPr="00CC3615" w:rsidRDefault="00CC3615" w:rsidP="004A28A9">
                  <w:pPr>
                    <w:pStyle w:val="ComparatorSpecBoxNormal"/>
                  </w:pPr>
                  <w:proofErr w:type="spellStart"/>
                  <w:r w:rsidRPr="00CC3615">
                    <w:t>Dapoxetine</w:t>
                  </w:r>
                  <w:proofErr w:type="spellEnd"/>
                  <w:r w:rsidRPr="00CC3615">
                    <w:t xml:space="preserve"> hydrochloride</w:t>
                  </w:r>
                </w:p>
              </w:tc>
              <w:tc>
                <w:tcPr>
                  <w:tcW w:w="1984" w:type="dxa"/>
                  <w:noWrap/>
                  <w:vAlign w:val="bottom"/>
                  <w:hideMark/>
                </w:tcPr>
                <w:p w14:paraId="6CA5EEC4" w14:textId="77777777" w:rsidR="00CC3615" w:rsidRPr="00CC3615" w:rsidRDefault="00CC3615" w:rsidP="004A28A9">
                  <w:pPr>
                    <w:pStyle w:val="ComparatorSpecBoxNormal"/>
                  </w:pPr>
                  <w:r w:rsidRPr="00CC3615">
                    <w:t>0704060A0</w:t>
                  </w:r>
                </w:p>
              </w:tc>
            </w:tr>
          </w:tbl>
          <w:p w14:paraId="537A8E9B" w14:textId="77777777" w:rsidR="00CC3615" w:rsidRPr="009804A5" w:rsidRDefault="00CC3615" w:rsidP="006F3D2A">
            <w:pPr>
              <w:pStyle w:val="ComparatorSpecBoxBoldSpaced"/>
            </w:pPr>
            <w:r w:rsidRPr="009804A5">
              <w:t>Group 2: Non-steroidal anti-inflammatory drugs (NSAIDs)</w:t>
            </w:r>
          </w:p>
          <w:tbl>
            <w:tblPr>
              <w:tblW w:w="6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1984"/>
            </w:tblGrid>
            <w:tr w:rsidR="00CC3615" w:rsidRPr="009804A5" w14:paraId="7CC3350C" w14:textId="77777777" w:rsidTr="004A28A9">
              <w:trPr>
                <w:trHeight w:val="20"/>
              </w:trPr>
              <w:tc>
                <w:tcPr>
                  <w:tcW w:w="4730" w:type="dxa"/>
                  <w:shd w:val="clear" w:color="auto" w:fill="F2F2F2"/>
                  <w:hideMark/>
                </w:tcPr>
                <w:p w14:paraId="1FBDA5CE" w14:textId="77777777" w:rsidR="00CC3615" w:rsidRPr="009804A5" w:rsidRDefault="00CC3615" w:rsidP="004A28A9">
                  <w:pPr>
                    <w:pStyle w:val="ComparatorSpecBoxSpacing"/>
                  </w:pPr>
                  <w:r w:rsidRPr="009804A5">
                    <w:t>BNF Paragraph</w:t>
                  </w:r>
                </w:p>
              </w:tc>
              <w:tc>
                <w:tcPr>
                  <w:tcW w:w="1984" w:type="dxa"/>
                  <w:shd w:val="clear" w:color="auto" w:fill="F2F2F2"/>
                  <w:noWrap/>
                  <w:hideMark/>
                </w:tcPr>
                <w:p w14:paraId="498E8CFA" w14:textId="77777777" w:rsidR="00CC3615" w:rsidRPr="009804A5" w:rsidRDefault="00CC3615" w:rsidP="004A28A9">
                  <w:pPr>
                    <w:pStyle w:val="ComparatorSpecBoxSpacing"/>
                  </w:pPr>
                  <w:r w:rsidRPr="009804A5">
                    <w:t>BNF Paragraph Code</w:t>
                  </w:r>
                </w:p>
              </w:tc>
            </w:tr>
            <w:tr w:rsidR="00CC3615" w:rsidRPr="00CC3615" w14:paraId="6D94F95A" w14:textId="77777777" w:rsidTr="004A28A9">
              <w:trPr>
                <w:trHeight w:val="20"/>
              </w:trPr>
              <w:tc>
                <w:tcPr>
                  <w:tcW w:w="4730" w:type="dxa"/>
                  <w:vAlign w:val="bottom"/>
                  <w:hideMark/>
                </w:tcPr>
                <w:p w14:paraId="67D71294" w14:textId="77777777" w:rsidR="00CC3615" w:rsidRPr="00CC3615" w:rsidRDefault="00CC3615" w:rsidP="004A28A9">
                  <w:pPr>
                    <w:pStyle w:val="ComparatorSpecBoxSpacing"/>
                  </w:pPr>
                  <w:r w:rsidRPr="00CC3615">
                    <w:t>Non-Steroidal Anti-Inflammatory Drugs</w:t>
                  </w:r>
                </w:p>
              </w:tc>
              <w:tc>
                <w:tcPr>
                  <w:tcW w:w="1984" w:type="dxa"/>
                  <w:noWrap/>
                  <w:vAlign w:val="bottom"/>
                  <w:hideMark/>
                </w:tcPr>
                <w:p w14:paraId="40F0B678" w14:textId="77777777" w:rsidR="00CC3615" w:rsidRPr="00CC3615" w:rsidRDefault="00CC3615" w:rsidP="004A28A9">
                  <w:pPr>
                    <w:pStyle w:val="ComparatorSpecBoxSpacing"/>
                  </w:pPr>
                  <w:r w:rsidRPr="00CC3615">
                    <w:t>100101</w:t>
                  </w:r>
                </w:p>
              </w:tc>
            </w:tr>
          </w:tbl>
          <w:p w14:paraId="2A0C4F77" w14:textId="77777777" w:rsidR="00CC3615" w:rsidRPr="009804A5" w:rsidRDefault="00CC3615" w:rsidP="006F3D2A">
            <w:pPr>
              <w:pStyle w:val="ComparatorSpecBoxBoldSpaced"/>
            </w:pPr>
            <w:r w:rsidRPr="009804A5">
              <w:t>Group 3: Oral anticoagulants</w:t>
            </w:r>
          </w:p>
          <w:tbl>
            <w:tblPr>
              <w:tblW w:w="6714" w:type="dxa"/>
              <w:tblLook w:val="04A0" w:firstRow="1" w:lastRow="0" w:firstColumn="1" w:lastColumn="0" w:noHBand="0" w:noVBand="1"/>
            </w:tblPr>
            <w:tblGrid>
              <w:gridCol w:w="4730"/>
              <w:gridCol w:w="1984"/>
            </w:tblGrid>
            <w:tr w:rsidR="00CC3615" w:rsidRPr="009804A5" w14:paraId="53DC21A8" w14:textId="77777777" w:rsidTr="00657DE1">
              <w:trPr>
                <w:trHeight w:val="20"/>
              </w:trPr>
              <w:tc>
                <w:tcPr>
                  <w:tcW w:w="4730"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355154A9" w14:textId="77777777" w:rsidR="00CC3615" w:rsidRPr="009804A5" w:rsidRDefault="00CC3615" w:rsidP="004A28A9">
                  <w:pPr>
                    <w:pStyle w:val="ComparatorSpecBoxNormal"/>
                  </w:pPr>
                  <w:r w:rsidRPr="009804A5">
                    <w:t>BNF Chemical Substance</w:t>
                  </w:r>
                </w:p>
              </w:tc>
              <w:tc>
                <w:tcPr>
                  <w:tcW w:w="1984" w:type="dxa"/>
                  <w:tcBorders>
                    <w:top w:val="single" w:sz="4" w:space="0" w:color="auto"/>
                    <w:left w:val="nil"/>
                    <w:bottom w:val="single" w:sz="4" w:space="0" w:color="auto"/>
                    <w:right w:val="single" w:sz="4" w:space="0" w:color="auto"/>
                  </w:tcBorders>
                  <w:shd w:val="clear" w:color="auto" w:fill="F2F2F2"/>
                  <w:vAlign w:val="bottom"/>
                  <w:hideMark/>
                </w:tcPr>
                <w:p w14:paraId="0C29955D" w14:textId="77777777" w:rsidR="00CC3615" w:rsidRPr="009804A5" w:rsidRDefault="00CC3615" w:rsidP="004A28A9">
                  <w:pPr>
                    <w:pStyle w:val="ComparatorSpecBoxNormal"/>
                  </w:pPr>
                  <w:r w:rsidRPr="009804A5">
                    <w:t xml:space="preserve">BNF Chemical </w:t>
                  </w:r>
                </w:p>
                <w:p w14:paraId="3253CC94" w14:textId="77777777" w:rsidR="00CC3615" w:rsidRPr="009804A5" w:rsidRDefault="00CC3615" w:rsidP="004A28A9">
                  <w:pPr>
                    <w:pStyle w:val="ComparatorSpecBoxNormal"/>
                  </w:pPr>
                  <w:r w:rsidRPr="009804A5">
                    <w:t>Substance Code</w:t>
                  </w:r>
                </w:p>
              </w:tc>
            </w:tr>
            <w:tr w:rsidR="00CC3615" w:rsidRPr="00CC3615" w14:paraId="3C4BE05B" w14:textId="77777777" w:rsidTr="00657DE1">
              <w:trPr>
                <w:trHeight w:val="20"/>
              </w:trPr>
              <w:tc>
                <w:tcPr>
                  <w:tcW w:w="4730" w:type="dxa"/>
                  <w:tcBorders>
                    <w:top w:val="nil"/>
                    <w:left w:val="single" w:sz="4" w:space="0" w:color="auto"/>
                    <w:bottom w:val="single" w:sz="4" w:space="0" w:color="auto"/>
                    <w:right w:val="single" w:sz="4" w:space="0" w:color="auto"/>
                  </w:tcBorders>
                  <w:noWrap/>
                  <w:vAlign w:val="bottom"/>
                  <w:hideMark/>
                </w:tcPr>
                <w:p w14:paraId="3F040658" w14:textId="77777777" w:rsidR="00CC3615" w:rsidRPr="00CC3615" w:rsidRDefault="00CC3615" w:rsidP="004A28A9">
                  <w:pPr>
                    <w:pStyle w:val="ComparatorSpecBoxNormal"/>
                  </w:pPr>
                  <w:proofErr w:type="spellStart"/>
                  <w:r w:rsidRPr="00CC3615">
                    <w:t>Acenocoumarol</w:t>
                  </w:r>
                  <w:proofErr w:type="spellEnd"/>
                </w:p>
              </w:tc>
              <w:tc>
                <w:tcPr>
                  <w:tcW w:w="1984" w:type="dxa"/>
                  <w:tcBorders>
                    <w:top w:val="nil"/>
                    <w:left w:val="nil"/>
                    <w:bottom w:val="single" w:sz="4" w:space="0" w:color="auto"/>
                    <w:right w:val="single" w:sz="4" w:space="0" w:color="auto"/>
                  </w:tcBorders>
                  <w:noWrap/>
                  <w:vAlign w:val="bottom"/>
                  <w:hideMark/>
                </w:tcPr>
                <w:p w14:paraId="18742F6B" w14:textId="77777777" w:rsidR="00CC3615" w:rsidRPr="00CC3615" w:rsidRDefault="00CC3615" w:rsidP="004A28A9">
                  <w:pPr>
                    <w:pStyle w:val="ComparatorSpecBoxNormal"/>
                  </w:pPr>
                  <w:r w:rsidRPr="00CC3615">
                    <w:t>0208020H0</w:t>
                  </w:r>
                </w:p>
              </w:tc>
            </w:tr>
            <w:tr w:rsidR="00CC3615" w:rsidRPr="00CC3615" w14:paraId="3CABEE5E" w14:textId="77777777" w:rsidTr="00657DE1">
              <w:trPr>
                <w:trHeight w:val="20"/>
              </w:trPr>
              <w:tc>
                <w:tcPr>
                  <w:tcW w:w="4730" w:type="dxa"/>
                  <w:tcBorders>
                    <w:top w:val="nil"/>
                    <w:left w:val="single" w:sz="4" w:space="0" w:color="auto"/>
                    <w:bottom w:val="single" w:sz="4" w:space="0" w:color="auto"/>
                    <w:right w:val="single" w:sz="4" w:space="0" w:color="auto"/>
                  </w:tcBorders>
                  <w:noWrap/>
                  <w:vAlign w:val="bottom"/>
                  <w:hideMark/>
                </w:tcPr>
                <w:p w14:paraId="45EADDA6" w14:textId="77777777" w:rsidR="00CC3615" w:rsidRPr="00CC3615" w:rsidRDefault="00CC3615" w:rsidP="004A28A9">
                  <w:pPr>
                    <w:pStyle w:val="ComparatorSpecBoxNormal"/>
                  </w:pPr>
                  <w:r w:rsidRPr="00CC3615">
                    <w:t>Apixaban</w:t>
                  </w:r>
                </w:p>
              </w:tc>
              <w:tc>
                <w:tcPr>
                  <w:tcW w:w="1984" w:type="dxa"/>
                  <w:tcBorders>
                    <w:top w:val="nil"/>
                    <w:left w:val="nil"/>
                    <w:bottom w:val="single" w:sz="4" w:space="0" w:color="auto"/>
                    <w:right w:val="single" w:sz="4" w:space="0" w:color="auto"/>
                  </w:tcBorders>
                  <w:noWrap/>
                  <w:vAlign w:val="bottom"/>
                  <w:hideMark/>
                </w:tcPr>
                <w:p w14:paraId="5E45F3EF" w14:textId="77777777" w:rsidR="00CC3615" w:rsidRPr="00CC3615" w:rsidRDefault="00CC3615" w:rsidP="004A28A9">
                  <w:pPr>
                    <w:pStyle w:val="ComparatorSpecBoxNormal"/>
                  </w:pPr>
                  <w:r w:rsidRPr="00CC3615">
                    <w:t>0208020Z0</w:t>
                  </w:r>
                </w:p>
              </w:tc>
            </w:tr>
            <w:tr w:rsidR="00CC3615" w:rsidRPr="00CC3615" w14:paraId="7055FAFF" w14:textId="77777777" w:rsidTr="00657DE1">
              <w:trPr>
                <w:trHeight w:val="20"/>
              </w:trPr>
              <w:tc>
                <w:tcPr>
                  <w:tcW w:w="4730" w:type="dxa"/>
                  <w:tcBorders>
                    <w:top w:val="nil"/>
                    <w:left w:val="single" w:sz="4" w:space="0" w:color="auto"/>
                    <w:bottom w:val="single" w:sz="4" w:space="0" w:color="auto"/>
                    <w:right w:val="single" w:sz="4" w:space="0" w:color="auto"/>
                  </w:tcBorders>
                  <w:noWrap/>
                  <w:vAlign w:val="bottom"/>
                  <w:hideMark/>
                </w:tcPr>
                <w:p w14:paraId="2AE45E1F" w14:textId="77777777" w:rsidR="00CC3615" w:rsidRPr="00CC3615" w:rsidRDefault="00CC3615" w:rsidP="004A28A9">
                  <w:pPr>
                    <w:pStyle w:val="ComparatorSpecBoxNormal"/>
                  </w:pPr>
                  <w:r w:rsidRPr="00CC3615">
                    <w:t>Dabigatran etexilate</w:t>
                  </w:r>
                </w:p>
              </w:tc>
              <w:tc>
                <w:tcPr>
                  <w:tcW w:w="1984" w:type="dxa"/>
                  <w:tcBorders>
                    <w:top w:val="nil"/>
                    <w:left w:val="nil"/>
                    <w:bottom w:val="single" w:sz="4" w:space="0" w:color="auto"/>
                    <w:right w:val="single" w:sz="4" w:space="0" w:color="auto"/>
                  </w:tcBorders>
                  <w:noWrap/>
                  <w:vAlign w:val="bottom"/>
                  <w:hideMark/>
                </w:tcPr>
                <w:p w14:paraId="15FB9A2A" w14:textId="77777777" w:rsidR="00CC3615" w:rsidRPr="00CC3615" w:rsidRDefault="00CC3615" w:rsidP="004A28A9">
                  <w:pPr>
                    <w:pStyle w:val="ComparatorSpecBoxNormal"/>
                  </w:pPr>
                  <w:r w:rsidRPr="00CC3615">
                    <w:t>0208020X0</w:t>
                  </w:r>
                </w:p>
              </w:tc>
            </w:tr>
            <w:tr w:rsidR="00CC3615" w:rsidRPr="00CC3615" w14:paraId="2ABB9AEC" w14:textId="77777777" w:rsidTr="00657DE1">
              <w:trPr>
                <w:trHeight w:val="20"/>
              </w:trPr>
              <w:tc>
                <w:tcPr>
                  <w:tcW w:w="4730" w:type="dxa"/>
                  <w:tcBorders>
                    <w:top w:val="nil"/>
                    <w:left w:val="single" w:sz="4" w:space="0" w:color="auto"/>
                    <w:bottom w:val="single" w:sz="4" w:space="0" w:color="auto"/>
                    <w:right w:val="single" w:sz="4" w:space="0" w:color="auto"/>
                  </w:tcBorders>
                  <w:noWrap/>
                  <w:vAlign w:val="bottom"/>
                  <w:hideMark/>
                </w:tcPr>
                <w:p w14:paraId="2D8AFC41" w14:textId="77777777" w:rsidR="00CC3615" w:rsidRPr="00CC3615" w:rsidRDefault="00CC3615" w:rsidP="004A28A9">
                  <w:pPr>
                    <w:pStyle w:val="ComparatorSpecBoxNormal"/>
                  </w:pPr>
                  <w:r w:rsidRPr="00CC3615">
                    <w:t>Edoxaban</w:t>
                  </w:r>
                </w:p>
              </w:tc>
              <w:tc>
                <w:tcPr>
                  <w:tcW w:w="1984" w:type="dxa"/>
                  <w:tcBorders>
                    <w:top w:val="nil"/>
                    <w:left w:val="nil"/>
                    <w:bottom w:val="single" w:sz="4" w:space="0" w:color="auto"/>
                    <w:right w:val="single" w:sz="4" w:space="0" w:color="auto"/>
                  </w:tcBorders>
                  <w:noWrap/>
                  <w:vAlign w:val="bottom"/>
                  <w:hideMark/>
                </w:tcPr>
                <w:p w14:paraId="47FC0794" w14:textId="77777777" w:rsidR="00CC3615" w:rsidRPr="00CC3615" w:rsidRDefault="00CC3615" w:rsidP="004A28A9">
                  <w:pPr>
                    <w:pStyle w:val="ComparatorSpecBoxNormal"/>
                  </w:pPr>
                  <w:r w:rsidRPr="00CC3615">
                    <w:t>0208020AA</w:t>
                  </w:r>
                </w:p>
              </w:tc>
            </w:tr>
            <w:tr w:rsidR="00CC3615" w:rsidRPr="00CC3615" w14:paraId="3E37F723" w14:textId="77777777" w:rsidTr="00657DE1">
              <w:trPr>
                <w:trHeight w:val="20"/>
              </w:trPr>
              <w:tc>
                <w:tcPr>
                  <w:tcW w:w="4730" w:type="dxa"/>
                  <w:tcBorders>
                    <w:top w:val="nil"/>
                    <w:left w:val="single" w:sz="4" w:space="0" w:color="auto"/>
                    <w:bottom w:val="single" w:sz="4" w:space="0" w:color="auto"/>
                    <w:right w:val="single" w:sz="4" w:space="0" w:color="auto"/>
                  </w:tcBorders>
                  <w:noWrap/>
                  <w:vAlign w:val="bottom"/>
                  <w:hideMark/>
                </w:tcPr>
                <w:p w14:paraId="7A33279F" w14:textId="77777777" w:rsidR="00CC3615" w:rsidRPr="00CC3615" w:rsidRDefault="00CC3615" w:rsidP="004A28A9">
                  <w:pPr>
                    <w:pStyle w:val="ComparatorSpecBoxNormal"/>
                  </w:pPr>
                  <w:r w:rsidRPr="00CC3615">
                    <w:t>Phenindione</w:t>
                  </w:r>
                </w:p>
              </w:tc>
              <w:tc>
                <w:tcPr>
                  <w:tcW w:w="1984" w:type="dxa"/>
                  <w:tcBorders>
                    <w:top w:val="nil"/>
                    <w:left w:val="nil"/>
                    <w:bottom w:val="single" w:sz="4" w:space="0" w:color="auto"/>
                    <w:right w:val="single" w:sz="4" w:space="0" w:color="auto"/>
                  </w:tcBorders>
                  <w:noWrap/>
                  <w:vAlign w:val="bottom"/>
                  <w:hideMark/>
                </w:tcPr>
                <w:p w14:paraId="17840170" w14:textId="77777777" w:rsidR="00CC3615" w:rsidRPr="00CC3615" w:rsidRDefault="00CC3615" w:rsidP="004A28A9">
                  <w:pPr>
                    <w:pStyle w:val="ComparatorSpecBoxNormal"/>
                  </w:pPr>
                  <w:r w:rsidRPr="00CC3615">
                    <w:t>0208020N0</w:t>
                  </w:r>
                </w:p>
              </w:tc>
            </w:tr>
            <w:tr w:rsidR="00CC3615" w:rsidRPr="00CC3615" w14:paraId="4BC89A87" w14:textId="77777777" w:rsidTr="00657DE1">
              <w:trPr>
                <w:trHeight w:val="20"/>
              </w:trPr>
              <w:tc>
                <w:tcPr>
                  <w:tcW w:w="4730" w:type="dxa"/>
                  <w:tcBorders>
                    <w:top w:val="nil"/>
                    <w:left w:val="single" w:sz="4" w:space="0" w:color="auto"/>
                    <w:bottom w:val="single" w:sz="4" w:space="0" w:color="auto"/>
                    <w:right w:val="single" w:sz="4" w:space="0" w:color="auto"/>
                  </w:tcBorders>
                  <w:noWrap/>
                  <w:vAlign w:val="bottom"/>
                  <w:hideMark/>
                </w:tcPr>
                <w:p w14:paraId="0410BE34" w14:textId="77777777" w:rsidR="00CC3615" w:rsidRPr="00CC3615" w:rsidRDefault="00CC3615" w:rsidP="004A28A9">
                  <w:pPr>
                    <w:pStyle w:val="ComparatorSpecBoxNormal"/>
                  </w:pPr>
                  <w:r w:rsidRPr="00CC3615">
                    <w:t>Rivaroxaban</w:t>
                  </w:r>
                </w:p>
              </w:tc>
              <w:tc>
                <w:tcPr>
                  <w:tcW w:w="1984" w:type="dxa"/>
                  <w:tcBorders>
                    <w:top w:val="nil"/>
                    <w:left w:val="nil"/>
                    <w:bottom w:val="single" w:sz="4" w:space="0" w:color="auto"/>
                    <w:right w:val="single" w:sz="4" w:space="0" w:color="auto"/>
                  </w:tcBorders>
                  <w:noWrap/>
                  <w:vAlign w:val="bottom"/>
                  <w:hideMark/>
                </w:tcPr>
                <w:p w14:paraId="115D851E" w14:textId="77777777" w:rsidR="00CC3615" w:rsidRPr="00CC3615" w:rsidRDefault="00CC3615" w:rsidP="004A28A9">
                  <w:pPr>
                    <w:pStyle w:val="ComparatorSpecBoxNormal"/>
                  </w:pPr>
                  <w:r w:rsidRPr="00CC3615">
                    <w:t>0208020Y0</w:t>
                  </w:r>
                </w:p>
              </w:tc>
            </w:tr>
            <w:tr w:rsidR="00CC3615" w:rsidRPr="00CC3615" w14:paraId="3AF79B21" w14:textId="77777777" w:rsidTr="00657DE1">
              <w:trPr>
                <w:trHeight w:val="20"/>
              </w:trPr>
              <w:tc>
                <w:tcPr>
                  <w:tcW w:w="4730" w:type="dxa"/>
                  <w:tcBorders>
                    <w:top w:val="nil"/>
                    <w:left w:val="single" w:sz="4" w:space="0" w:color="auto"/>
                    <w:bottom w:val="single" w:sz="4" w:space="0" w:color="auto"/>
                    <w:right w:val="single" w:sz="4" w:space="0" w:color="auto"/>
                  </w:tcBorders>
                  <w:noWrap/>
                  <w:vAlign w:val="bottom"/>
                  <w:hideMark/>
                </w:tcPr>
                <w:p w14:paraId="69DD0395" w14:textId="77777777" w:rsidR="00CC3615" w:rsidRPr="00CC3615" w:rsidRDefault="00CC3615" w:rsidP="004A28A9">
                  <w:pPr>
                    <w:pStyle w:val="ComparatorSpecBoxNormal"/>
                  </w:pPr>
                  <w:r w:rsidRPr="00CC3615">
                    <w:t>Warfarin sodium</w:t>
                  </w:r>
                </w:p>
              </w:tc>
              <w:tc>
                <w:tcPr>
                  <w:tcW w:w="1984" w:type="dxa"/>
                  <w:tcBorders>
                    <w:top w:val="nil"/>
                    <w:left w:val="nil"/>
                    <w:bottom w:val="single" w:sz="4" w:space="0" w:color="auto"/>
                    <w:right w:val="single" w:sz="4" w:space="0" w:color="auto"/>
                  </w:tcBorders>
                  <w:noWrap/>
                  <w:vAlign w:val="bottom"/>
                  <w:hideMark/>
                </w:tcPr>
                <w:p w14:paraId="5EDF6376" w14:textId="77777777" w:rsidR="00CC3615" w:rsidRPr="00CC3615" w:rsidRDefault="00CC3615" w:rsidP="004A28A9">
                  <w:pPr>
                    <w:pStyle w:val="ComparatorSpecBoxNormal"/>
                  </w:pPr>
                  <w:r w:rsidRPr="00CC3615">
                    <w:t>0208020V0</w:t>
                  </w:r>
                </w:p>
              </w:tc>
            </w:tr>
          </w:tbl>
          <w:p w14:paraId="7D333721" w14:textId="77777777" w:rsidR="00CC3615" w:rsidRPr="009804A5" w:rsidRDefault="00CC3615" w:rsidP="006F3D2A">
            <w:pPr>
              <w:pStyle w:val="ComparatorSpecBoxBoldSpaced"/>
            </w:pPr>
            <w:r w:rsidRPr="009804A5">
              <w:t>Group 4: Anti-platelet drugs</w:t>
            </w:r>
          </w:p>
          <w:tbl>
            <w:tblPr>
              <w:tblW w:w="6714" w:type="dxa"/>
              <w:tblLook w:val="04A0" w:firstRow="1" w:lastRow="0" w:firstColumn="1" w:lastColumn="0" w:noHBand="0" w:noVBand="1"/>
            </w:tblPr>
            <w:tblGrid>
              <w:gridCol w:w="4730"/>
              <w:gridCol w:w="1984"/>
            </w:tblGrid>
            <w:tr w:rsidR="00CC3615" w:rsidRPr="009804A5" w14:paraId="0679A142" w14:textId="77777777" w:rsidTr="0047739B">
              <w:trPr>
                <w:trHeight w:val="20"/>
              </w:trPr>
              <w:tc>
                <w:tcPr>
                  <w:tcW w:w="4730" w:type="dxa"/>
                  <w:tcBorders>
                    <w:top w:val="single" w:sz="4" w:space="0" w:color="auto"/>
                    <w:left w:val="single" w:sz="4" w:space="0" w:color="auto"/>
                    <w:bottom w:val="single" w:sz="4" w:space="0" w:color="auto"/>
                    <w:right w:val="single" w:sz="4" w:space="0" w:color="auto"/>
                  </w:tcBorders>
                  <w:shd w:val="clear" w:color="auto" w:fill="F2F2F2"/>
                  <w:noWrap/>
                  <w:hideMark/>
                </w:tcPr>
                <w:p w14:paraId="30D6E7F2" w14:textId="77777777" w:rsidR="00CC3615" w:rsidRPr="009804A5" w:rsidRDefault="00CC3615" w:rsidP="006149B5">
                  <w:pPr>
                    <w:pStyle w:val="ComparatorSubTableKeepTogether"/>
                  </w:pPr>
                  <w:r w:rsidRPr="009804A5">
                    <w:t>BNF Chemical Substance</w:t>
                  </w:r>
                </w:p>
              </w:tc>
              <w:tc>
                <w:tcPr>
                  <w:tcW w:w="1984" w:type="dxa"/>
                  <w:tcBorders>
                    <w:top w:val="single" w:sz="4" w:space="0" w:color="auto"/>
                    <w:left w:val="nil"/>
                    <w:bottom w:val="single" w:sz="4" w:space="0" w:color="auto"/>
                    <w:right w:val="single" w:sz="4" w:space="0" w:color="auto"/>
                  </w:tcBorders>
                  <w:shd w:val="clear" w:color="auto" w:fill="F2F2F2"/>
                  <w:noWrap/>
                  <w:hideMark/>
                </w:tcPr>
                <w:p w14:paraId="3F8D0B9A" w14:textId="77777777" w:rsidR="00CC3615" w:rsidRPr="009804A5" w:rsidRDefault="00CC3615" w:rsidP="006149B5">
                  <w:pPr>
                    <w:pStyle w:val="ComparatorSubTableKeepTogether"/>
                  </w:pPr>
                  <w:r w:rsidRPr="009804A5">
                    <w:t xml:space="preserve">BNF Chemical </w:t>
                  </w:r>
                </w:p>
                <w:p w14:paraId="2102E0DF" w14:textId="77777777" w:rsidR="00CC3615" w:rsidRPr="009804A5" w:rsidRDefault="00CC3615" w:rsidP="006149B5">
                  <w:pPr>
                    <w:pStyle w:val="ComparatorSubTableKeepTogether"/>
                  </w:pPr>
                  <w:r w:rsidRPr="009804A5">
                    <w:t>Substance Code</w:t>
                  </w:r>
                </w:p>
              </w:tc>
            </w:tr>
            <w:tr w:rsidR="00CC3615" w:rsidRPr="00CC3615" w14:paraId="78B6BA20" w14:textId="77777777" w:rsidTr="00657DE1">
              <w:trPr>
                <w:trHeight w:val="20"/>
              </w:trPr>
              <w:tc>
                <w:tcPr>
                  <w:tcW w:w="4730" w:type="dxa"/>
                  <w:tcBorders>
                    <w:top w:val="nil"/>
                    <w:left w:val="single" w:sz="4" w:space="0" w:color="auto"/>
                    <w:bottom w:val="single" w:sz="4" w:space="0" w:color="auto"/>
                    <w:right w:val="single" w:sz="4" w:space="0" w:color="auto"/>
                  </w:tcBorders>
                  <w:noWrap/>
                  <w:vAlign w:val="bottom"/>
                  <w:hideMark/>
                </w:tcPr>
                <w:p w14:paraId="032C1714" w14:textId="77777777" w:rsidR="00CC3615" w:rsidRPr="00CC3615" w:rsidRDefault="00CC3615" w:rsidP="006149B5">
                  <w:pPr>
                    <w:pStyle w:val="ComparatorSubTableKeepTogether"/>
                  </w:pPr>
                  <w:r w:rsidRPr="00CC3615">
                    <w:t>Aspirin</w:t>
                  </w:r>
                </w:p>
              </w:tc>
              <w:tc>
                <w:tcPr>
                  <w:tcW w:w="1984" w:type="dxa"/>
                  <w:tcBorders>
                    <w:top w:val="nil"/>
                    <w:left w:val="nil"/>
                    <w:bottom w:val="single" w:sz="4" w:space="0" w:color="auto"/>
                    <w:right w:val="single" w:sz="4" w:space="0" w:color="auto"/>
                  </w:tcBorders>
                  <w:noWrap/>
                  <w:vAlign w:val="bottom"/>
                  <w:hideMark/>
                </w:tcPr>
                <w:p w14:paraId="4D7E1349" w14:textId="77777777" w:rsidR="00CC3615" w:rsidRPr="00CC3615" w:rsidRDefault="00CC3615" w:rsidP="006149B5">
                  <w:pPr>
                    <w:pStyle w:val="ComparatorSubTableKeepTogether"/>
                  </w:pPr>
                  <w:r w:rsidRPr="00CC3615">
                    <w:t>0209000A0</w:t>
                  </w:r>
                </w:p>
              </w:tc>
            </w:tr>
            <w:tr w:rsidR="00CC3615" w:rsidRPr="00CC3615" w14:paraId="2B79F64C" w14:textId="77777777" w:rsidTr="00657DE1">
              <w:trPr>
                <w:trHeight w:val="20"/>
              </w:trPr>
              <w:tc>
                <w:tcPr>
                  <w:tcW w:w="4730" w:type="dxa"/>
                  <w:tcBorders>
                    <w:top w:val="nil"/>
                    <w:left w:val="single" w:sz="4" w:space="0" w:color="auto"/>
                    <w:bottom w:val="single" w:sz="4" w:space="0" w:color="auto"/>
                    <w:right w:val="single" w:sz="4" w:space="0" w:color="auto"/>
                  </w:tcBorders>
                  <w:noWrap/>
                  <w:vAlign w:val="bottom"/>
                  <w:hideMark/>
                </w:tcPr>
                <w:p w14:paraId="150F4FF8" w14:textId="77777777" w:rsidR="00CC3615" w:rsidRPr="00CC3615" w:rsidRDefault="00CC3615" w:rsidP="006149B5">
                  <w:pPr>
                    <w:pStyle w:val="ComparatorSubTableKeepTogether"/>
                  </w:pPr>
                  <w:r w:rsidRPr="00CC3615">
                    <w:t>Clopidogrel</w:t>
                  </w:r>
                </w:p>
              </w:tc>
              <w:tc>
                <w:tcPr>
                  <w:tcW w:w="1984" w:type="dxa"/>
                  <w:tcBorders>
                    <w:top w:val="nil"/>
                    <w:left w:val="nil"/>
                    <w:bottom w:val="single" w:sz="4" w:space="0" w:color="auto"/>
                    <w:right w:val="single" w:sz="4" w:space="0" w:color="auto"/>
                  </w:tcBorders>
                  <w:noWrap/>
                  <w:vAlign w:val="bottom"/>
                  <w:hideMark/>
                </w:tcPr>
                <w:p w14:paraId="077B97C4" w14:textId="77777777" w:rsidR="00CC3615" w:rsidRPr="00CC3615" w:rsidRDefault="00CC3615" w:rsidP="006149B5">
                  <w:pPr>
                    <w:pStyle w:val="ComparatorSubTableKeepTogether"/>
                  </w:pPr>
                  <w:r w:rsidRPr="00CC3615">
                    <w:t>0209000C0</w:t>
                  </w:r>
                </w:p>
              </w:tc>
            </w:tr>
            <w:tr w:rsidR="00CC3615" w:rsidRPr="00CC3615" w14:paraId="7AF0D751" w14:textId="77777777" w:rsidTr="00657DE1">
              <w:trPr>
                <w:trHeight w:val="20"/>
              </w:trPr>
              <w:tc>
                <w:tcPr>
                  <w:tcW w:w="4730" w:type="dxa"/>
                  <w:tcBorders>
                    <w:top w:val="nil"/>
                    <w:left w:val="single" w:sz="4" w:space="0" w:color="auto"/>
                    <w:bottom w:val="single" w:sz="4" w:space="0" w:color="auto"/>
                    <w:right w:val="single" w:sz="4" w:space="0" w:color="auto"/>
                  </w:tcBorders>
                  <w:noWrap/>
                  <w:vAlign w:val="bottom"/>
                  <w:hideMark/>
                </w:tcPr>
                <w:p w14:paraId="00EA8F04" w14:textId="77777777" w:rsidR="00CC3615" w:rsidRPr="00CC3615" w:rsidRDefault="00CC3615" w:rsidP="006149B5">
                  <w:pPr>
                    <w:pStyle w:val="ComparatorSubTableKeepTogether"/>
                  </w:pPr>
                  <w:r w:rsidRPr="00CC3615">
                    <w:lastRenderedPageBreak/>
                    <w:t>Dipyridamole</w:t>
                  </w:r>
                </w:p>
              </w:tc>
              <w:tc>
                <w:tcPr>
                  <w:tcW w:w="1984" w:type="dxa"/>
                  <w:tcBorders>
                    <w:top w:val="nil"/>
                    <w:left w:val="nil"/>
                    <w:bottom w:val="single" w:sz="4" w:space="0" w:color="auto"/>
                    <w:right w:val="single" w:sz="4" w:space="0" w:color="auto"/>
                  </w:tcBorders>
                  <w:noWrap/>
                  <w:vAlign w:val="bottom"/>
                  <w:hideMark/>
                </w:tcPr>
                <w:p w14:paraId="417D31EB" w14:textId="77777777" w:rsidR="00CC3615" w:rsidRPr="00CC3615" w:rsidRDefault="00CC3615" w:rsidP="006149B5">
                  <w:pPr>
                    <w:pStyle w:val="ComparatorSubTableKeepTogether"/>
                  </w:pPr>
                  <w:r w:rsidRPr="00CC3615">
                    <w:t>0209000L0</w:t>
                  </w:r>
                </w:p>
              </w:tc>
            </w:tr>
            <w:tr w:rsidR="00CC3615" w:rsidRPr="00CC3615" w14:paraId="51A91924" w14:textId="77777777" w:rsidTr="00657DE1">
              <w:trPr>
                <w:trHeight w:val="20"/>
              </w:trPr>
              <w:tc>
                <w:tcPr>
                  <w:tcW w:w="4730" w:type="dxa"/>
                  <w:tcBorders>
                    <w:top w:val="nil"/>
                    <w:left w:val="single" w:sz="4" w:space="0" w:color="auto"/>
                    <w:bottom w:val="single" w:sz="4" w:space="0" w:color="auto"/>
                    <w:right w:val="single" w:sz="4" w:space="0" w:color="auto"/>
                  </w:tcBorders>
                  <w:noWrap/>
                  <w:vAlign w:val="bottom"/>
                  <w:hideMark/>
                </w:tcPr>
                <w:p w14:paraId="048126A8" w14:textId="77777777" w:rsidR="00CC3615" w:rsidRPr="00CC3615" w:rsidRDefault="00CC3615" w:rsidP="006149B5">
                  <w:pPr>
                    <w:pStyle w:val="ComparatorSubTableKeepTogether"/>
                  </w:pPr>
                  <w:r w:rsidRPr="00CC3615">
                    <w:t>Dipyridamole and aspirin</w:t>
                  </w:r>
                </w:p>
              </w:tc>
              <w:tc>
                <w:tcPr>
                  <w:tcW w:w="1984" w:type="dxa"/>
                  <w:tcBorders>
                    <w:top w:val="nil"/>
                    <w:left w:val="nil"/>
                    <w:bottom w:val="single" w:sz="4" w:space="0" w:color="auto"/>
                    <w:right w:val="single" w:sz="4" w:space="0" w:color="auto"/>
                  </w:tcBorders>
                  <w:noWrap/>
                  <w:vAlign w:val="bottom"/>
                  <w:hideMark/>
                </w:tcPr>
                <w:p w14:paraId="69B4A19E" w14:textId="77777777" w:rsidR="00CC3615" w:rsidRPr="00CC3615" w:rsidRDefault="00CC3615" w:rsidP="006149B5">
                  <w:pPr>
                    <w:pStyle w:val="ComparatorSubTableKeepTogether"/>
                  </w:pPr>
                  <w:r w:rsidRPr="00CC3615">
                    <w:t>0209000V0</w:t>
                  </w:r>
                </w:p>
              </w:tc>
            </w:tr>
            <w:tr w:rsidR="00CC3615" w:rsidRPr="00CC3615" w14:paraId="6C3C615C" w14:textId="77777777" w:rsidTr="00657DE1">
              <w:trPr>
                <w:trHeight w:val="20"/>
              </w:trPr>
              <w:tc>
                <w:tcPr>
                  <w:tcW w:w="4730" w:type="dxa"/>
                  <w:tcBorders>
                    <w:top w:val="nil"/>
                    <w:left w:val="single" w:sz="4" w:space="0" w:color="auto"/>
                    <w:bottom w:val="single" w:sz="4" w:space="0" w:color="auto"/>
                    <w:right w:val="single" w:sz="4" w:space="0" w:color="auto"/>
                  </w:tcBorders>
                  <w:noWrap/>
                  <w:vAlign w:val="bottom"/>
                  <w:hideMark/>
                </w:tcPr>
                <w:p w14:paraId="5F3665C0" w14:textId="77777777" w:rsidR="00CC3615" w:rsidRPr="00CC3615" w:rsidRDefault="00CC3615" w:rsidP="006149B5">
                  <w:pPr>
                    <w:pStyle w:val="ComparatorSubTableKeepTogether"/>
                  </w:pPr>
                  <w:r w:rsidRPr="00CC3615">
                    <w:t>Prasugrel</w:t>
                  </w:r>
                </w:p>
              </w:tc>
              <w:tc>
                <w:tcPr>
                  <w:tcW w:w="1984" w:type="dxa"/>
                  <w:tcBorders>
                    <w:top w:val="nil"/>
                    <w:left w:val="nil"/>
                    <w:bottom w:val="single" w:sz="4" w:space="0" w:color="auto"/>
                    <w:right w:val="single" w:sz="4" w:space="0" w:color="auto"/>
                  </w:tcBorders>
                  <w:noWrap/>
                  <w:vAlign w:val="bottom"/>
                  <w:hideMark/>
                </w:tcPr>
                <w:p w14:paraId="44EA5143" w14:textId="77777777" w:rsidR="00CC3615" w:rsidRPr="00CC3615" w:rsidRDefault="00CC3615" w:rsidP="006149B5">
                  <w:pPr>
                    <w:pStyle w:val="ComparatorSubTableKeepTogether"/>
                  </w:pPr>
                  <w:r w:rsidRPr="00CC3615">
                    <w:t>0209000Y0</w:t>
                  </w:r>
                </w:p>
              </w:tc>
            </w:tr>
            <w:tr w:rsidR="00CC3615" w:rsidRPr="00CC3615" w14:paraId="6C1A2D09" w14:textId="77777777" w:rsidTr="00657DE1">
              <w:trPr>
                <w:trHeight w:val="20"/>
              </w:trPr>
              <w:tc>
                <w:tcPr>
                  <w:tcW w:w="4730" w:type="dxa"/>
                  <w:tcBorders>
                    <w:top w:val="nil"/>
                    <w:left w:val="single" w:sz="4" w:space="0" w:color="auto"/>
                    <w:bottom w:val="single" w:sz="4" w:space="0" w:color="auto"/>
                    <w:right w:val="single" w:sz="4" w:space="0" w:color="auto"/>
                  </w:tcBorders>
                  <w:noWrap/>
                  <w:vAlign w:val="bottom"/>
                  <w:hideMark/>
                </w:tcPr>
                <w:p w14:paraId="63700772" w14:textId="77777777" w:rsidR="00CC3615" w:rsidRPr="00CC3615" w:rsidRDefault="00CC3615" w:rsidP="006149B5">
                  <w:pPr>
                    <w:pStyle w:val="ComparatorSubTableKeepTogether"/>
                  </w:pPr>
                  <w:r w:rsidRPr="00CC3615">
                    <w:t>Ticagrelor</w:t>
                  </w:r>
                </w:p>
              </w:tc>
              <w:tc>
                <w:tcPr>
                  <w:tcW w:w="1984" w:type="dxa"/>
                  <w:tcBorders>
                    <w:top w:val="nil"/>
                    <w:left w:val="nil"/>
                    <w:bottom w:val="single" w:sz="4" w:space="0" w:color="auto"/>
                    <w:right w:val="single" w:sz="4" w:space="0" w:color="auto"/>
                  </w:tcBorders>
                  <w:noWrap/>
                  <w:vAlign w:val="bottom"/>
                  <w:hideMark/>
                </w:tcPr>
                <w:p w14:paraId="5BDA9886" w14:textId="77777777" w:rsidR="00CC3615" w:rsidRPr="00CC3615" w:rsidRDefault="00CC3615" w:rsidP="006149B5">
                  <w:pPr>
                    <w:pStyle w:val="ComparatorSubTableKeepTogether"/>
                  </w:pPr>
                  <w:r w:rsidRPr="00CC3615">
                    <w:t>0209000Z0</w:t>
                  </w:r>
                </w:p>
              </w:tc>
            </w:tr>
          </w:tbl>
          <w:p w14:paraId="54F5F8DC" w14:textId="77777777" w:rsidR="00CC3615" w:rsidRPr="009804A5" w:rsidRDefault="00CC3615" w:rsidP="006F3D2A">
            <w:pPr>
              <w:pStyle w:val="ComparatorSpecBoxBoldSpaced"/>
            </w:pPr>
            <w:r w:rsidRPr="009804A5">
              <w:t>Group 5: Other aspirin containing medicines</w:t>
            </w:r>
          </w:p>
          <w:tbl>
            <w:tblPr>
              <w:tblW w:w="6714" w:type="dxa"/>
              <w:tblLook w:val="04A0" w:firstRow="1" w:lastRow="0" w:firstColumn="1" w:lastColumn="0" w:noHBand="0" w:noVBand="1"/>
            </w:tblPr>
            <w:tblGrid>
              <w:gridCol w:w="4730"/>
              <w:gridCol w:w="1984"/>
            </w:tblGrid>
            <w:tr w:rsidR="00CC3615" w:rsidRPr="009804A5" w14:paraId="5376DFE9" w14:textId="77777777" w:rsidTr="004A28A9">
              <w:trPr>
                <w:trHeight w:val="20"/>
              </w:trPr>
              <w:tc>
                <w:tcPr>
                  <w:tcW w:w="4730" w:type="dxa"/>
                  <w:tcBorders>
                    <w:top w:val="single" w:sz="4" w:space="0" w:color="auto"/>
                    <w:left w:val="single" w:sz="4" w:space="0" w:color="auto"/>
                    <w:bottom w:val="single" w:sz="4" w:space="0" w:color="auto"/>
                    <w:right w:val="single" w:sz="4" w:space="0" w:color="auto"/>
                  </w:tcBorders>
                  <w:shd w:val="clear" w:color="auto" w:fill="F2F2F2"/>
                  <w:noWrap/>
                  <w:hideMark/>
                </w:tcPr>
                <w:p w14:paraId="7B5905B5" w14:textId="77777777" w:rsidR="00CC3615" w:rsidRPr="009804A5" w:rsidRDefault="00CC3615" w:rsidP="004A28A9">
                  <w:pPr>
                    <w:pStyle w:val="ComparatorSpecBoxNormal"/>
                  </w:pPr>
                  <w:r w:rsidRPr="009804A5">
                    <w:t>BNF Chemical Substance</w:t>
                  </w:r>
                </w:p>
              </w:tc>
              <w:tc>
                <w:tcPr>
                  <w:tcW w:w="1984" w:type="dxa"/>
                  <w:tcBorders>
                    <w:top w:val="single" w:sz="4" w:space="0" w:color="auto"/>
                    <w:left w:val="nil"/>
                    <w:bottom w:val="single" w:sz="4" w:space="0" w:color="auto"/>
                    <w:right w:val="single" w:sz="4" w:space="0" w:color="auto"/>
                  </w:tcBorders>
                  <w:shd w:val="clear" w:color="auto" w:fill="F2F2F2"/>
                  <w:noWrap/>
                  <w:hideMark/>
                </w:tcPr>
                <w:p w14:paraId="213CDF46" w14:textId="77777777" w:rsidR="00CC3615" w:rsidRPr="009804A5" w:rsidRDefault="00CC3615" w:rsidP="004A28A9">
                  <w:pPr>
                    <w:pStyle w:val="ComparatorSpecBoxNormal"/>
                  </w:pPr>
                  <w:r w:rsidRPr="009804A5">
                    <w:t xml:space="preserve">BNF Chemical </w:t>
                  </w:r>
                </w:p>
                <w:p w14:paraId="374E5746" w14:textId="77777777" w:rsidR="00CC3615" w:rsidRPr="009804A5" w:rsidRDefault="00CC3615" w:rsidP="004A28A9">
                  <w:pPr>
                    <w:pStyle w:val="ComparatorSpecBoxNormal"/>
                  </w:pPr>
                  <w:r w:rsidRPr="009804A5">
                    <w:t>Substance Code</w:t>
                  </w:r>
                </w:p>
              </w:tc>
            </w:tr>
            <w:tr w:rsidR="00CC3615" w:rsidRPr="00CC3615" w14:paraId="279C1D46" w14:textId="77777777" w:rsidTr="004A28A9">
              <w:trPr>
                <w:trHeight w:val="20"/>
              </w:trPr>
              <w:tc>
                <w:tcPr>
                  <w:tcW w:w="4730" w:type="dxa"/>
                  <w:tcBorders>
                    <w:top w:val="nil"/>
                    <w:left w:val="single" w:sz="4" w:space="0" w:color="auto"/>
                    <w:bottom w:val="single" w:sz="4" w:space="0" w:color="auto"/>
                    <w:right w:val="single" w:sz="4" w:space="0" w:color="auto"/>
                  </w:tcBorders>
                  <w:noWrap/>
                  <w:vAlign w:val="bottom"/>
                  <w:hideMark/>
                </w:tcPr>
                <w:p w14:paraId="1278D26D" w14:textId="77777777" w:rsidR="00CC3615" w:rsidRPr="00CC3615" w:rsidRDefault="00CC3615" w:rsidP="004A28A9">
                  <w:pPr>
                    <w:pStyle w:val="ComparatorSpecBoxNormal"/>
                  </w:pPr>
                  <w:r w:rsidRPr="00CC3615">
                    <w:t>Aspirin</w:t>
                  </w:r>
                </w:p>
              </w:tc>
              <w:tc>
                <w:tcPr>
                  <w:tcW w:w="1984" w:type="dxa"/>
                  <w:tcBorders>
                    <w:top w:val="nil"/>
                    <w:left w:val="nil"/>
                    <w:bottom w:val="single" w:sz="4" w:space="0" w:color="auto"/>
                    <w:right w:val="single" w:sz="4" w:space="0" w:color="auto"/>
                  </w:tcBorders>
                  <w:noWrap/>
                  <w:vAlign w:val="bottom"/>
                  <w:hideMark/>
                </w:tcPr>
                <w:p w14:paraId="402D5ED6" w14:textId="77777777" w:rsidR="00CC3615" w:rsidRPr="00CC3615" w:rsidRDefault="00CC3615" w:rsidP="004A28A9">
                  <w:pPr>
                    <w:pStyle w:val="ComparatorSpecBoxNormal"/>
                  </w:pPr>
                  <w:r w:rsidRPr="00CC3615">
                    <w:t>0407010B0</w:t>
                  </w:r>
                </w:p>
              </w:tc>
            </w:tr>
            <w:tr w:rsidR="00CC3615" w:rsidRPr="00CC3615" w14:paraId="0645DB25" w14:textId="77777777" w:rsidTr="004A28A9">
              <w:trPr>
                <w:trHeight w:val="20"/>
              </w:trPr>
              <w:tc>
                <w:tcPr>
                  <w:tcW w:w="4730" w:type="dxa"/>
                  <w:tcBorders>
                    <w:top w:val="nil"/>
                    <w:left w:val="single" w:sz="4" w:space="0" w:color="auto"/>
                    <w:bottom w:val="single" w:sz="4" w:space="0" w:color="auto"/>
                    <w:right w:val="single" w:sz="4" w:space="0" w:color="auto"/>
                  </w:tcBorders>
                  <w:noWrap/>
                  <w:vAlign w:val="bottom"/>
                  <w:hideMark/>
                </w:tcPr>
                <w:p w14:paraId="2B1BBEA1" w14:textId="77777777" w:rsidR="00CC3615" w:rsidRPr="00CC3615" w:rsidRDefault="00CC3615" w:rsidP="004A28A9">
                  <w:pPr>
                    <w:pStyle w:val="ComparatorSpecBoxNormal"/>
                  </w:pPr>
                  <w:r w:rsidRPr="00CC3615">
                    <w:t>Aspirin and caffeine</w:t>
                  </w:r>
                </w:p>
              </w:tc>
              <w:tc>
                <w:tcPr>
                  <w:tcW w:w="1984" w:type="dxa"/>
                  <w:tcBorders>
                    <w:top w:val="nil"/>
                    <w:left w:val="nil"/>
                    <w:bottom w:val="single" w:sz="4" w:space="0" w:color="auto"/>
                    <w:right w:val="single" w:sz="4" w:space="0" w:color="auto"/>
                  </w:tcBorders>
                  <w:noWrap/>
                  <w:vAlign w:val="bottom"/>
                  <w:hideMark/>
                </w:tcPr>
                <w:p w14:paraId="626CE2CE" w14:textId="77777777" w:rsidR="00CC3615" w:rsidRPr="00CC3615" w:rsidRDefault="00CC3615" w:rsidP="004A28A9">
                  <w:pPr>
                    <w:pStyle w:val="ComparatorSpecBoxNormal"/>
                  </w:pPr>
                  <w:r w:rsidRPr="00CC3615">
                    <w:t>0407010AA</w:t>
                  </w:r>
                </w:p>
              </w:tc>
            </w:tr>
            <w:tr w:rsidR="00CC3615" w:rsidRPr="00CC3615" w14:paraId="3767E7E4" w14:textId="77777777" w:rsidTr="004A28A9">
              <w:trPr>
                <w:trHeight w:val="20"/>
              </w:trPr>
              <w:tc>
                <w:tcPr>
                  <w:tcW w:w="4730" w:type="dxa"/>
                  <w:tcBorders>
                    <w:top w:val="nil"/>
                    <w:left w:val="single" w:sz="4" w:space="0" w:color="auto"/>
                    <w:bottom w:val="single" w:sz="4" w:space="0" w:color="auto"/>
                    <w:right w:val="single" w:sz="4" w:space="0" w:color="auto"/>
                  </w:tcBorders>
                  <w:noWrap/>
                  <w:vAlign w:val="bottom"/>
                  <w:hideMark/>
                </w:tcPr>
                <w:p w14:paraId="40F4D9E8" w14:textId="77777777" w:rsidR="00CC3615" w:rsidRPr="00CC3615" w:rsidRDefault="00CC3615" w:rsidP="004A28A9">
                  <w:pPr>
                    <w:pStyle w:val="ComparatorSpecBoxNormal"/>
                  </w:pPr>
                  <w:r w:rsidRPr="00CC3615">
                    <w:t>Aspirin and papaveretum</w:t>
                  </w:r>
                </w:p>
              </w:tc>
              <w:tc>
                <w:tcPr>
                  <w:tcW w:w="1984" w:type="dxa"/>
                  <w:tcBorders>
                    <w:top w:val="nil"/>
                    <w:left w:val="nil"/>
                    <w:bottom w:val="single" w:sz="4" w:space="0" w:color="auto"/>
                    <w:right w:val="single" w:sz="4" w:space="0" w:color="auto"/>
                  </w:tcBorders>
                  <w:noWrap/>
                  <w:vAlign w:val="bottom"/>
                  <w:hideMark/>
                </w:tcPr>
                <w:p w14:paraId="0C586D5B" w14:textId="77777777" w:rsidR="00CC3615" w:rsidRPr="00CC3615" w:rsidRDefault="00CC3615" w:rsidP="004A28A9">
                  <w:pPr>
                    <w:pStyle w:val="ComparatorSpecBoxNormal"/>
                  </w:pPr>
                  <w:r w:rsidRPr="00CC3615">
                    <w:t>0407010A0</w:t>
                  </w:r>
                </w:p>
              </w:tc>
            </w:tr>
            <w:tr w:rsidR="00CC3615" w:rsidRPr="00CC3615" w14:paraId="27DAFC98" w14:textId="77777777" w:rsidTr="004A28A9">
              <w:trPr>
                <w:trHeight w:val="20"/>
              </w:trPr>
              <w:tc>
                <w:tcPr>
                  <w:tcW w:w="4730" w:type="dxa"/>
                  <w:tcBorders>
                    <w:top w:val="nil"/>
                    <w:left w:val="single" w:sz="4" w:space="0" w:color="auto"/>
                    <w:bottom w:val="single" w:sz="4" w:space="0" w:color="auto"/>
                    <w:right w:val="single" w:sz="4" w:space="0" w:color="auto"/>
                  </w:tcBorders>
                  <w:noWrap/>
                  <w:vAlign w:val="bottom"/>
                  <w:hideMark/>
                </w:tcPr>
                <w:p w14:paraId="2837F9A2" w14:textId="77777777" w:rsidR="00CC3615" w:rsidRPr="00CC3615" w:rsidRDefault="00CC3615" w:rsidP="004A28A9">
                  <w:pPr>
                    <w:pStyle w:val="ComparatorSpecBoxNormal"/>
                  </w:pPr>
                  <w:r w:rsidRPr="00CC3615">
                    <w:t>Aspirin and paracetamol</w:t>
                  </w:r>
                </w:p>
              </w:tc>
              <w:tc>
                <w:tcPr>
                  <w:tcW w:w="1984" w:type="dxa"/>
                  <w:tcBorders>
                    <w:top w:val="nil"/>
                    <w:left w:val="nil"/>
                    <w:bottom w:val="single" w:sz="4" w:space="0" w:color="auto"/>
                    <w:right w:val="single" w:sz="4" w:space="0" w:color="auto"/>
                  </w:tcBorders>
                  <w:noWrap/>
                  <w:vAlign w:val="bottom"/>
                  <w:hideMark/>
                </w:tcPr>
                <w:p w14:paraId="06709399" w14:textId="77777777" w:rsidR="00CC3615" w:rsidRPr="00CC3615" w:rsidRDefault="00CC3615" w:rsidP="004A28A9">
                  <w:pPr>
                    <w:pStyle w:val="ComparatorSpecBoxNormal"/>
                  </w:pPr>
                  <w:r w:rsidRPr="00CC3615">
                    <w:t>0407010S0</w:t>
                  </w:r>
                </w:p>
              </w:tc>
            </w:tr>
            <w:tr w:rsidR="00CC3615" w:rsidRPr="00CC3615" w14:paraId="1B812CDF" w14:textId="77777777" w:rsidTr="004A28A9">
              <w:trPr>
                <w:trHeight w:val="20"/>
              </w:trPr>
              <w:tc>
                <w:tcPr>
                  <w:tcW w:w="4730" w:type="dxa"/>
                  <w:tcBorders>
                    <w:top w:val="nil"/>
                    <w:left w:val="single" w:sz="4" w:space="0" w:color="auto"/>
                    <w:bottom w:val="single" w:sz="4" w:space="0" w:color="auto"/>
                    <w:right w:val="single" w:sz="4" w:space="0" w:color="auto"/>
                  </w:tcBorders>
                  <w:noWrap/>
                  <w:vAlign w:val="bottom"/>
                  <w:hideMark/>
                </w:tcPr>
                <w:p w14:paraId="17192CE9" w14:textId="77777777" w:rsidR="00CC3615" w:rsidRPr="00CC3615" w:rsidRDefault="00CC3615" w:rsidP="004A28A9">
                  <w:pPr>
                    <w:pStyle w:val="ComparatorSpecBoxNormal"/>
                  </w:pPr>
                  <w:r w:rsidRPr="00CC3615">
                    <w:t>Aspirin combined preparations</w:t>
                  </w:r>
                </w:p>
              </w:tc>
              <w:tc>
                <w:tcPr>
                  <w:tcW w:w="1984" w:type="dxa"/>
                  <w:tcBorders>
                    <w:top w:val="nil"/>
                    <w:left w:val="nil"/>
                    <w:bottom w:val="single" w:sz="4" w:space="0" w:color="auto"/>
                    <w:right w:val="single" w:sz="4" w:space="0" w:color="auto"/>
                  </w:tcBorders>
                  <w:noWrap/>
                  <w:vAlign w:val="bottom"/>
                  <w:hideMark/>
                </w:tcPr>
                <w:p w14:paraId="3BDCAA61" w14:textId="77777777" w:rsidR="00CC3615" w:rsidRPr="00CC3615" w:rsidRDefault="00CC3615" w:rsidP="004A28A9">
                  <w:pPr>
                    <w:pStyle w:val="ComparatorSpecBoxNormal"/>
                  </w:pPr>
                  <w:r w:rsidRPr="00CC3615">
                    <w:t>0407010W0</w:t>
                  </w:r>
                </w:p>
              </w:tc>
            </w:tr>
            <w:tr w:rsidR="00CC3615" w:rsidRPr="00CC3615" w14:paraId="1B272A15" w14:textId="77777777" w:rsidTr="006149B5">
              <w:trPr>
                <w:trHeight w:val="20"/>
              </w:trPr>
              <w:tc>
                <w:tcPr>
                  <w:tcW w:w="4730" w:type="dxa"/>
                  <w:tcBorders>
                    <w:top w:val="nil"/>
                    <w:left w:val="single" w:sz="4" w:space="0" w:color="auto"/>
                    <w:bottom w:val="single" w:sz="4" w:space="0" w:color="auto"/>
                    <w:right w:val="single" w:sz="4" w:space="0" w:color="auto"/>
                  </w:tcBorders>
                  <w:noWrap/>
                  <w:vAlign w:val="bottom"/>
                  <w:hideMark/>
                </w:tcPr>
                <w:p w14:paraId="45A3347D" w14:textId="77777777" w:rsidR="00CC3615" w:rsidRPr="00CC3615" w:rsidRDefault="00CC3615" w:rsidP="004A28A9">
                  <w:pPr>
                    <w:pStyle w:val="ComparatorSpecBoxNormal"/>
                  </w:pPr>
                  <w:r w:rsidRPr="00CC3615">
                    <w:t>Bisoprolol fumarate/aspirin</w:t>
                  </w:r>
                </w:p>
              </w:tc>
              <w:tc>
                <w:tcPr>
                  <w:tcW w:w="1984" w:type="dxa"/>
                  <w:tcBorders>
                    <w:top w:val="nil"/>
                    <w:left w:val="nil"/>
                    <w:bottom w:val="single" w:sz="4" w:space="0" w:color="auto"/>
                    <w:right w:val="single" w:sz="4" w:space="0" w:color="auto"/>
                  </w:tcBorders>
                  <w:noWrap/>
                  <w:vAlign w:val="bottom"/>
                  <w:hideMark/>
                </w:tcPr>
                <w:p w14:paraId="21217235" w14:textId="77777777" w:rsidR="00CC3615" w:rsidRPr="00CC3615" w:rsidRDefault="00CC3615" w:rsidP="004A28A9">
                  <w:pPr>
                    <w:pStyle w:val="ComparatorSpecBoxNormal"/>
                  </w:pPr>
                  <w:r w:rsidRPr="00CC3615">
                    <w:t>0204000AC</w:t>
                  </w:r>
                </w:p>
              </w:tc>
            </w:tr>
            <w:tr w:rsidR="00CC3615" w:rsidRPr="00CC3615" w14:paraId="7D61F742" w14:textId="77777777" w:rsidTr="006149B5">
              <w:trPr>
                <w:trHeight w:val="20"/>
              </w:trPr>
              <w:tc>
                <w:tcPr>
                  <w:tcW w:w="4730" w:type="dxa"/>
                  <w:tcBorders>
                    <w:top w:val="single" w:sz="4" w:space="0" w:color="auto"/>
                    <w:left w:val="single" w:sz="4" w:space="0" w:color="auto"/>
                    <w:bottom w:val="single" w:sz="4" w:space="0" w:color="auto"/>
                    <w:right w:val="single" w:sz="4" w:space="0" w:color="auto"/>
                  </w:tcBorders>
                  <w:noWrap/>
                  <w:vAlign w:val="bottom"/>
                  <w:hideMark/>
                </w:tcPr>
                <w:p w14:paraId="48861E67" w14:textId="77777777" w:rsidR="00CC3615" w:rsidRPr="00CC3615" w:rsidRDefault="00CC3615" w:rsidP="004A28A9">
                  <w:pPr>
                    <w:pStyle w:val="ComparatorSpecBoxNormal"/>
                  </w:pPr>
                  <w:r w:rsidRPr="00CC3615">
                    <w:t>Co-codaprin (Codeine phosphate/aspirin)</w:t>
                  </w:r>
                </w:p>
              </w:tc>
              <w:tc>
                <w:tcPr>
                  <w:tcW w:w="1984" w:type="dxa"/>
                  <w:tcBorders>
                    <w:top w:val="single" w:sz="4" w:space="0" w:color="auto"/>
                    <w:left w:val="nil"/>
                    <w:bottom w:val="single" w:sz="4" w:space="0" w:color="auto"/>
                    <w:right w:val="single" w:sz="4" w:space="0" w:color="auto"/>
                  </w:tcBorders>
                  <w:noWrap/>
                  <w:vAlign w:val="bottom"/>
                  <w:hideMark/>
                </w:tcPr>
                <w:p w14:paraId="5C4926CA" w14:textId="77777777" w:rsidR="00CC3615" w:rsidRPr="00CC3615" w:rsidRDefault="00CC3615" w:rsidP="004A28A9">
                  <w:pPr>
                    <w:pStyle w:val="ComparatorSpecBoxNormal"/>
                  </w:pPr>
                  <w:r w:rsidRPr="00CC3615">
                    <w:t>0407010M0</w:t>
                  </w:r>
                </w:p>
              </w:tc>
            </w:tr>
            <w:tr w:rsidR="00CC3615" w:rsidRPr="00CC3615" w14:paraId="365860E3" w14:textId="77777777" w:rsidTr="006149B5">
              <w:trPr>
                <w:trHeight w:val="20"/>
              </w:trPr>
              <w:tc>
                <w:tcPr>
                  <w:tcW w:w="4730" w:type="dxa"/>
                  <w:tcBorders>
                    <w:top w:val="single" w:sz="4" w:space="0" w:color="auto"/>
                    <w:left w:val="single" w:sz="4" w:space="0" w:color="auto"/>
                    <w:bottom w:val="single" w:sz="4" w:space="0" w:color="auto"/>
                    <w:right w:val="single" w:sz="4" w:space="0" w:color="auto"/>
                  </w:tcBorders>
                  <w:noWrap/>
                  <w:vAlign w:val="bottom"/>
                  <w:hideMark/>
                </w:tcPr>
                <w:p w14:paraId="3257A40D" w14:textId="77777777" w:rsidR="00CC3615" w:rsidRPr="00CC3615" w:rsidRDefault="00CC3615" w:rsidP="004A28A9">
                  <w:pPr>
                    <w:pStyle w:val="ComparatorSpecBoxNormal"/>
                  </w:pPr>
                  <w:r w:rsidRPr="00CC3615">
                    <w:t>Isosorbide mononitrate with aspirin</w:t>
                  </w:r>
                </w:p>
              </w:tc>
              <w:tc>
                <w:tcPr>
                  <w:tcW w:w="1984" w:type="dxa"/>
                  <w:tcBorders>
                    <w:top w:val="single" w:sz="4" w:space="0" w:color="auto"/>
                    <w:left w:val="nil"/>
                    <w:bottom w:val="single" w:sz="4" w:space="0" w:color="auto"/>
                    <w:right w:val="single" w:sz="4" w:space="0" w:color="auto"/>
                  </w:tcBorders>
                  <w:noWrap/>
                  <w:vAlign w:val="bottom"/>
                  <w:hideMark/>
                </w:tcPr>
                <w:p w14:paraId="673D50F9" w14:textId="77777777" w:rsidR="00CC3615" w:rsidRPr="00CC3615" w:rsidRDefault="00CC3615" w:rsidP="004A28A9">
                  <w:pPr>
                    <w:pStyle w:val="ComparatorSpecBoxNormal"/>
                  </w:pPr>
                  <w:r w:rsidRPr="00CC3615">
                    <w:t>0206010W0</w:t>
                  </w:r>
                </w:p>
              </w:tc>
            </w:tr>
          </w:tbl>
          <w:p w14:paraId="5EFF993D" w14:textId="77777777" w:rsidR="00CC3615" w:rsidRPr="00CC3615" w:rsidRDefault="00CC3615" w:rsidP="001D3131">
            <w:pPr>
              <w:pStyle w:val="NHSFormatting"/>
            </w:pPr>
          </w:p>
        </w:tc>
      </w:tr>
      <w:tr w:rsidR="00CC3615" w:rsidRPr="00CC3615" w14:paraId="523701EA" w14:textId="77777777" w:rsidTr="00200848">
        <w:tc>
          <w:tcPr>
            <w:tcW w:w="1027" w:type="dxa"/>
            <w:tcBorders>
              <w:top w:val="single" w:sz="4" w:space="0" w:color="auto"/>
              <w:left w:val="single" w:sz="4" w:space="0" w:color="auto"/>
              <w:bottom w:val="single" w:sz="4" w:space="0" w:color="auto"/>
              <w:right w:val="single" w:sz="4" w:space="0" w:color="auto"/>
            </w:tcBorders>
            <w:shd w:val="clear" w:color="auto" w:fill="D9D9D9"/>
          </w:tcPr>
          <w:p w14:paraId="2BA68788" w14:textId="41844629" w:rsidR="00CC3615" w:rsidRPr="00CC3615" w:rsidRDefault="003C2F80" w:rsidP="009437ED">
            <w:pPr>
              <w:pStyle w:val="ComparatorSPecBoxBold"/>
            </w:pPr>
            <w:r>
              <w:lastRenderedPageBreak/>
              <w:t>1.4</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EAA2654" w14:textId="77777777" w:rsidR="00CC3615" w:rsidRPr="00CC3615" w:rsidRDefault="00CC3615" w:rsidP="009437ED">
            <w:pPr>
              <w:pStyle w:val="ComparatorSPecBoxBold"/>
            </w:pPr>
            <w:r w:rsidRPr="00CC3615">
              <w:t xml:space="preserve">Denominator </w:t>
            </w:r>
          </w:p>
        </w:tc>
        <w:tc>
          <w:tcPr>
            <w:tcW w:w="7006" w:type="dxa"/>
            <w:tcBorders>
              <w:top w:val="single" w:sz="4" w:space="0" w:color="auto"/>
              <w:left w:val="single" w:sz="4" w:space="0" w:color="auto"/>
              <w:bottom w:val="single" w:sz="4" w:space="0" w:color="auto"/>
              <w:right w:val="single" w:sz="4" w:space="0" w:color="auto"/>
            </w:tcBorders>
            <w:hideMark/>
          </w:tcPr>
          <w:p w14:paraId="508D27A7" w14:textId="77777777" w:rsidR="00CC3615" w:rsidRPr="00CC3615" w:rsidRDefault="00CC3615" w:rsidP="006149B5">
            <w:pPr>
              <w:pStyle w:val="ComparatorSpecBoxSpacing"/>
            </w:pPr>
            <w:r w:rsidRPr="00CC3615">
              <w:t xml:space="preserve">Number of patients (all ages, aged 17 or under, 18 to 24, 25 to 34, 35 to 44, 45 to 54, 55 to 64, 65 to 74, 75 to 84 and 85 or over) prescribed a SSRI or SNRI (group 1) in the same reporting period. </w:t>
            </w:r>
          </w:p>
        </w:tc>
      </w:tr>
      <w:tr w:rsidR="00CC3615" w:rsidRPr="00CC3615" w14:paraId="03549DF1" w14:textId="77777777" w:rsidTr="00200848">
        <w:tc>
          <w:tcPr>
            <w:tcW w:w="9483" w:type="dxa"/>
            <w:gridSpan w:val="3"/>
            <w:tcBorders>
              <w:top w:val="single" w:sz="4" w:space="0" w:color="auto"/>
              <w:left w:val="single" w:sz="4" w:space="0" w:color="auto"/>
              <w:bottom w:val="single" w:sz="4" w:space="0" w:color="auto"/>
              <w:right w:val="single" w:sz="4" w:space="0" w:color="auto"/>
            </w:tcBorders>
            <w:shd w:val="clear" w:color="auto" w:fill="D9D9D9"/>
          </w:tcPr>
          <w:p w14:paraId="23515C74" w14:textId="77777777" w:rsidR="00CC3615" w:rsidRPr="00CC3615" w:rsidRDefault="00CC3615" w:rsidP="009437ED">
            <w:pPr>
              <w:pStyle w:val="ComparatorSPecBoxBold"/>
            </w:pPr>
            <w:r w:rsidRPr="009C0562">
              <w:t>Section 2: Rationale</w:t>
            </w:r>
          </w:p>
        </w:tc>
      </w:tr>
      <w:tr w:rsidR="00CC3615" w:rsidRPr="00CC3615" w14:paraId="5868C286" w14:textId="77777777" w:rsidTr="00200848">
        <w:tc>
          <w:tcPr>
            <w:tcW w:w="1027" w:type="dxa"/>
            <w:tcBorders>
              <w:top w:val="single" w:sz="4" w:space="0" w:color="auto"/>
              <w:left w:val="single" w:sz="4" w:space="0" w:color="auto"/>
              <w:bottom w:val="single" w:sz="4" w:space="0" w:color="auto"/>
              <w:right w:val="single" w:sz="4" w:space="0" w:color="auto"/>
            </w:tcBorders>
            <w:shd w:val="clear" w:color="auto" w:fill="D9D9D9"/>
          </w:tcPr>
          <w:p w14:paraId="603BEB2F" w14:textId="58A11D0E" w:rsidR="00CC3615" w:rsidRPr="00CC3615" w:rsidRDefault="003C2F80" w:rsidP="009437ED">
            <w:pPr>
              <w:pStyle w:val="ComparatorSPecBoxBold"/>
            </w:pPr>
            <w:r>
              <w:t>2.1</w:t>
            </w:r>
          </w:p>
        </w:tc>
        <w:tc>
          <w:tcPr>
            <w:tcW w:w="1450" w:type="dxa"/>
            <w:tcBorders>
              <w:top w:val="single" w:sz="4" w:space="0" w:color="auto"/>
              <w:left w:val="single" w:sz="4" w:space="0" w:color="auto"/>
              <w:bottom w:val="single" w:sz="4" w:space="0" w:color="auto"/>
              <w:right w:val="single" w:sz="4" w:space="0" w:color="auto"/>
            </w:tcBorders>
            <w:shd w:val="clear" w:color="auto" w:fill="D9D9D9"/>
          </w:tcPr>
          <w:p w14:paraId="75BA5299" w14:textId="77777777" w:rsidR="00CC3615" w:rsidRPr="00CC3615" w:rsidRDefault="00CC3615" w:rsidP="009437ED">
            <w:pPr>
              <w:pStyle w:val="ComparatorSPecBoxBold"/>
            </w:pPr>
            <w:r w:rsidRPr="00CC3615">
              <w:t>Rationale / Comments</w:t>
            </w:r>
          </w:p>
          <w:p w14:paraId="07FFB757" w14:textId="77777777" w:rsidR="00CC3615" w:rsidRPr="00CC3615" w:rsidRDefault="00CC3615" w:rsidP="009437ED">
            <w:pPr>
              <w:pStyle w:val="ComparatorSPecBoxBold"/>
            </w:pPr>
          </w:p>
        </w:tc>
        <w:tc>
          <w:tcPr>
            <w:tcW w:w="7006" w:type="dxa"/>
            <w:tcBorders>
              <w:top w:val="single" w:sz="4" w:space="0" w:color="auto"/>
              <w:left w:val="single" w:sz="4" w:space="0" w:color="auto"/>
              <w:bottom w:val="single" w:sz="4" w:space="0" w:color="auto"/>
              <w:right w:val="single" w:sz="4" w:space="0" w:color="auto"/>
            </w:tcBorders>
          </w:tcPr>
          <w:p w14:paraId="78292C8A" w14:textId="77777777" w:rsidR="00CC3615" w:rsidRPr="00CC3615" w:rsidRDefault="00CC3615" w:rsidP="006149B5">
            <w:pPr>
              <w:pStyle w:val="ComparatorSpecBoxSpacing"/>
            </w:pPr>
            <w:r w:rsidRPr="00CC3615">
              <w:t xml:space="preserve">SSRIs have been shown to inhibit reuptake of serotonin in platelets, impairing platelet aggregation. A wide variety of studies have examined increased bleeding risk with the use of SSRIs alone or in combination with other agents which increases risk. Although fewer studies examining the effects of SNRIs on bleeding risk exist, it is logical to expect SNRIs to affect bleeding risk to some extent. </w:t>
            </w:r>
          </w:p>
          <w:p w14:paraId="06E86334" w14:textId="77777777" w:rsidR="00CC3615" w:rsidRPr="00CC3615" w:rsidRDefault="00CC3615" w:rsidP="006149B5">
            <w:pPr>
              <w:pStyle w:val="ComparatorSpecBoxSpacing"/>
            </w:pPr>
            <w:r w:rsidRPr="00CC3615">
              <w:t xml:space="preserve">BNF advises “caution with concomitant use of drugs that increase risk of bleeding” </w:t>
            </w:r>
          </w:p>
          <w:p w14:paraId="57E9FC04" w14:textId="77777777" w:rsidR="00CC3615" w:rsidRPr="00CC3615" w:rsidRDefault="00CC3615" w:rsidP="006149B5">
            <w:pPr>
              <w:pStyle w:val="ComparatorSpecBoxSpacing"/>
            </w:pPr>
            <w:r w:rsidRPr="00CC3615">
              <w:t xml:space="preserve">Corticosteroids have been excluded from the comparator. Whilst it is acknowledged that they may increase the risk of bleeding it is also recognised that prescribing may be acute or intermittent. Due to the time lag in the data, including corticosteroids in the comparator would result in the inclusion of some patients who are not currently prescribed corticosteroids. A method of including corticosteroids will be explored with a view to possibly including in a future comparator. </w:t>
            </w:r>
          </w:p>
          <w:p w14:paraId="39D7FA83" w14:textId="77777777" w:rsidR="00CC3615" w:rsidRPr="00CC3615" w:rsidRDefault="00CC3615" w:rsidP="006149B5">
            <w:pPr>
              <w:pStyle w:val="ComparatorSpecBoxSpacing"/>
            </w:pPr>
            <w:r w:rsidRPr="00CC3615">
              <w:t xml:space="preserve">By considering patients prescribed a SSRI or SNRI and concurrently prescribed 2, 3 or 4 (or more) unique medicines (chemical substances from groups 2, 3, 4 and 5) there is a possibility that two (or more) unique medicines may be from the same grouping. </w:t>
            </w:r>
          </w:p>
          <w:p w14:paraId="2DB23BF9" w14:textId="77777777" w:rsidR="00CC3615" w:rsidRPr="00CC3615" w:rsidRDefault="00CC3615" w:rsidP="006149B5">
            <w:pPr>
              <w:pStyle w:val="ComparatorSpecBoxSpacing"/>
            </w:pPr>
            <w:r w:rsidRPr="00CC3615">
              <w:t>Clinically this is a justifiable possibility within group 4 e.g. dipyridamole and aspirin</w:t>
            </w:r>
          </w:p>
          <w:p w14:paraId="29B384C4" w14:textId="17AFA2A4" w:rsidR="00CC3615" w:rsidRPr="00CC3615" w:rsidRDefault="00CC3615" w:rsidP="006149B5">
            <w:pPr>
              <w:pStyle w:val="ComparatorSpecBoxSpacing"/>
            </w:pPr>
            <w:r w:rsidRPr="00CC3615">
              <w:t>However statistically there is the potential for an anomaly in that dipyridamole &amp; aspirin (combined) will be counted as one medicine whereas dipyridamole and aspirin prescribed separately will be counted as two medicines.</w:t>
            </w:r>
            <w:r w:rsidR="009F0D7B">
              <w:t xml:space="preserve">  </w:t>
            </w:r>
            <w:r w:rsidRPr="00CC3615">
              <w:t xml:space="preserve"> </w:t>
            </w:r>
          </w:p>
          <w:p w14:paraId="66F92DB7" w14:textId="252A7F27" w:rsidR="00CC3615" w:rsidRPr="00CC3615" w:rsidRDefault="00CC3615" w:rsidP="006149B5">
            <w:pPr>
              <w:pStyle w:val="ComparatorSpecBoxSpacing"/>
            </w:pPr>
            <w:r w:rsidRPr="00CC3615">
              <w:t>Practically patients may reach the threshold for inclusion because medicines were switched during the reporting period. E.g. switch from naproxen to ibuprofen will be counted as two medicines when most likely they were only taking one NSAID.</w:t>
            </w:r>
            <w:r w:rsidR="009F0D7B">
              <w:t xml:space="preserve"> </w:t>
            </w:r>
            <w:r w:rsidRPr="00CC3615">
              <w:t xml:space="preserve"> </w:t>
            </w:r>
          </w:p>
          <w:p w14:paraId="005BAF82" w14:textId="77777777" w:rsidR="00CC3615" w:rsidRPr="009C0562" w:rsidRDefault="00CC3615" w:rsidP="006149B5">
            <w:pPr>
              <w:pStyle w:val="ComparatorSpecBoxSpacing"/>
            </w:pPr>
          </w:p>
        </w:tc>
      </w:tr>
    </w:tbl>
    <w:p w14:paraId="45FB86A4" w14:textId="77777777" w:rsidR="001974D8" w:rsidRDefault="00CD58DC" w:rsidP="001D3131">
      <w:pPr>
        <w:pStyle w:val="Heading1"/>
      </w:pPr>
      <w:r>
        <w:br w:type="page"/>
      </w:r>
      <w:bookmarkStart w:id="95" w:name="_Toc473297139"/>
      <w:bookmarkStart w:id="96" w:name="_Toc473635672"/>
      <w:bookmarkStart w:id="97" w:name="_Toc473636494"/>
      <w:bookmarkStart w:id="98" w:name="_Toc474398593"/>
      <w:bookmarkStart w:id="99" w:name="_Toc475027492"/>
      <w:bookmarkStart w:id="100" w:name="_Toc234231969"/>
      <w:r w:rsidR="000E1505">
        <w:lastRenderedPageBreak/>
        <w:t>Re</w:t>
      </w:r>
      <w:r w:rsidR="001974D8" w:rsidRPr="00AA754C">
        <w:t>ferences</w:t>
      </w:r>
      <w:bookmarkEnd w:id="95"/>
      <w:bookmarkEnd w:id="96"/>
      <w:bookmarkEnd w:id="97"/>
      <w:bookmarkEnd w:id="98"/>
      <w:bookmarkEnd w:id="99"/>
      <w:bookmarkEnd w:id="100"/>
    </w:p>
    <w:p w14:paraId="2558FD85" w14:textId="113991E9" w:rsidR="00272242" w:rsidRPr="009437ED" w:rsidRDefault="00272242" w:rsidP="009437ED">
      <w:r w:rsidRPr="009437ED">
        <w:t xml:space="preserve">1. </w:t>
      </w:r>
      <w:proofErr w:type="spellStart"/>
      <w:r w:rsidRPr="009437ED">
        <w:t>Pirmohamed</w:t>
      </w:r>
      <w:proofErr w:type="spellEnd"/>
      <w:r w:rsidRPr="009437ED">
        <w:t xml:space="preserve"> M </w:t>
      </w:r>
      <w:r w:rsidR="005C1DCA" w:rsidRPr="009437ED">
        <w:t>et al.</w:t>
      </w:r>
      <w:r w:rsidRPr="009437ED">
        <w:t xml:space="preserve"> A</w:t>
      </w:r>
      <w:r w:rsidR="00BA0B63" w:rsidRPr="009437ED">
        <w:t>d</w:t>
      </w:r>
      <w:r w:rsidRPr="009437ED">
        <w:t>vers</w:t>
      </w:r>
      <w:r w:rsidR="00BA0B63" w:rsidRPr="009437ED">
        <w:t>e</w:t>
      </w:r>
      <w:r w:rsidRPr="009437ED">
        <w:t xml:space="preserve"> drug reactions as a cause of admission to hospital; prospective analysis of 18,820 patients</w:t>
      </w:r>
      <w:r w:rsidR="00BA0B63" w:rsidRPr="009437ED">
        <w:t>.</w:t>
      </w:r>
      <w:r w:rsidRPr="009437ED">
        <w:t xml:space="preserve"> BMJ </w:t>
      </w:r>
      <w:proofErr w:type="gramStart"/>
      <w:r w:rsidRPr="009437ED">
        <w:t>2004;329:15</w:t>
      </w:r>
      <w:proofErr w:type="gramEnd"/>
      <w:r w:rsidRPr="009437ED">
        <w:t>-19</w:t>
      </w:r>
      <w:r w:rsidR="00BA0B63" w:rsidRPr="009437ED">
        <w:t xml:space="preserve"> </w:t>
      </w:r>
      <w:hyperlink r:id="rId28" w:history="1">
        <w:r w:rsidR="00BA0B63" w:rsidRPr="009437ED">
          <w:rPr>
            <w:rStyle w:val="Hyperlink"/>
          </w:rPr>
          <w:t>https://dx.doi.org/10.1136/bmj.329.7456.15</w:t>
        </w:r>
      </w:hyperlink>
      <w:r w:rsidR="00BA0B63" w:rsidRPr="009437ED">
        <w:t xml:space="preserve"> </w:t>
      </w:r>
    </w:p>
    <w:p w14:paraId="62028AB7" w14:textId="33C5E797" w:rsidR="00861196" w:rsidRPr="009437ED" w:rsidRDefault="00272242" w:rsidP="009437ED">
      <w:r w:rsidRPr="009437ED">
        <w:t>2. Payne et al</w:t>
      </w:r>
      <w:r w:rsidR="00BA0B63" w:rsidRPr="009437ED">
        <w:t>.</w:t>
      </w:r>
      <w:r w:rsidR="009F0D7B">
        <w:t xml:space="preserve"> </w:t>
      </w:r>
      <w:r w:rsidR="00BA0B63" w:rsidRPr="009437ED">
        <w:t>Is</w:t>
      </w:r>
      <w:r w:rsidRPr="009437ED">
        <w:t xml:space="preserve"> polypharmacy always hazardous? A retrospective cohort analysis using linked electronic health records from primary and secondary care. BJ Clin Pharmacology 2014; 77:1073-1082</w:t>
      </w:r>
      <w:r w:rsidR="009F0D7B">
        <w:t xml:space="preserve"> </w:t>
      </w:r>
      <w:hyperlink r:id="rId29" w:history="1">
        <w:r w:rsidR="00861196" w:rsidRPr="009437ED">
          <w:rPr>
            <w:rStyle w:val="Hyperlink"/>
          </w:rPr>
          <w:t>http://dx.doi.org/10.1111/bcp.12292</w:t>
        </w:r>
      </w:hyperlink>
      <w:r w:rsidR="00861196" w:rsidRPr="009437ED">
        <w:t xml:space="preserve"> </w:t>
      </w:r>
    </w:p>
    <w:p w14:paraId="16907F8D" w14:textId="56BDC7B4" w:rsidR="00960075" w:rsidRPr="009437ED" w:rsidRDefault="00272242" w:rsidP="009437ED">
      <w:r w:rsidRPr="009437ED">
        <w:t>3. Duncan R Petty, Arnold G Zermansky and David P Alldred</w:t>
      </w:r>
      <w:r w:rsidR="005C1DCA" w:rsidRPr="009437ED">
        <w:t>.</w:t>
      </w:r>
      <w:r w:rsidRPr="009437ED">
        <w:t xml:space="preserve"> The scale of repeat prescribing – time for an update BMC Health Services Research BMC series 2014</w:t>
      </w:r>
      <w:r w:rsidR="001C2393" w:rsidRPr="009437ED">
        <w:t xml:space="preserve"> </w:t>
      </w:r>
      <w:r w:rsidRPr="009437ED">
        <w:t>14:76</w:t>
      </w:r>
      <w:r w:rsidR="00BA0B63" w:rsidRPr="009437ED">
        <w:t xml:space="preserve"> </w:t>
      </w:r>
      <w:hyperlink r:id="rId30" w:history="1">
        <w:r w:rsidR="00861196" w:rsidRPr="009437ED">
          <w:rPr>
            <w:rStyle w:val="Hyperlink"/>
          </w:rPr>
          <w:t>http://dx.doi.org/10.1186/1472-6963-14-76</w:t>
        </w:r>
      </w:hyperlink>
      <w:r w:rsidR="009F0D7B">
        <w:t xml:space="preserve"> </w:t>
      </w:r>
      <w:r w:rsidR="00861196" w:rsidRPr="009437ED">
        <w:t xml:space="preserve"> </w:t>
      </w:r>
      <w:r w:rsidRPr="009437ED">
        <w:t>Published: 19 February 2014</w:t>
      </w:r>
      <w:r w:rsidR="001C2393" w:rsidRPr="009437ED">
        <w:t xml:space="preserve"> </w:t>
      </w:r>
    </w:p>
    <w:p w14:paraId="4079FB5F" w14:textId="13175898" w:rsidR="00960075" w:rsidRPr="009437ED" w:rsidRDefault="00960075" w:rsidP="009437ED">
      <w:r w:rsidRPr="009437ED">
        <w:t xml:space="preserve">4. </w:t>
      </w:r>
      <w:hyperlink r:id="rId31" w:history="1">
        <w:r w:rsidRPr="009437ED">
          <w:rPr>
            <w:rStyle w:val="Hyperlink"/>
          </w:rPr>
          <w:t>https://www.england.nhs.uk/rightcare/</w:t>
        </w:r>
      </w:hyperlink>
    </w:p>
    <w:p w14:paraId="10374409" w14:textId="253877F2" w:rsidR="001974D8" w:rsidRPr="009437ED" w:rsidRDefault="00272242" w:rsidP="009437ED">
      <w:r w:rsidRPr="009437ED">
        <w:t>5</w:t>
      </w:r>
      <w:r w:rsidR="001974D8" w:rsidRPr="009437ED">
        <w:t>. The Kings Fund Polypharm</w:t>
      </w:r>
      <w:r w:rsidR="001C2393" w:rsidRPr="009437ED">
        <w:t>acy and Medicines Optimisation; Making it safe and sound</w:t>
      </w:r>
      <w:r w:rsidR="00861196" w:rsidRPr="009437ED">
        <w:t>.</w:t>
      </w:r>
      <w:r w:rsidR="009F0D7B">
        <w:t xml:space="preserve"> </w:t>
      </w:r>
      <w:r w:rsidR="001C2393" w:rsidRPr="009437ED">
        <w:t>First published 2013 by The King’s Fund</w:t>
      </w:r>
      <w:r w:rsidR="009F0D7B">
        <w:t xml:space="preserve"> </w:t>
      </w:r>
      <w:r w:rsidR="001C2393" w:rsidRPr="009437ED">
        <w:t xml:space="preserve">ISBN: 978 1 909029 18 7 </w:t>
      </w:r>
    </w:p>
    <w:p w14:paraId="4A6A8822" w14:textId="22F20F91" w:rsidR="005370E6" w:rsidRPr="009437ED" w:rsidRDefault="005370E6" w:rsidP="009437ED">
      <w:r w:rsidRPr="009437ED">
        <w:t>6. NHS Digital Prescriptions dispensed in the commun</w:t>
      </w:r>
      <w:r w:rsidR="00137421" w:rsidRPr="009437ED">
        <w:t>ity, England 2005-15, July 2016</w:t>
      </w:r>
      <w:r w:rsidR="00806439">
        <w:t xml:space="preserve"> </w:t>
      </w:r>
      <w:r w:rsidR="009803C4">
        <w:t xml:space="preserve"> </w:t>
      </w:r>
      <w:hyperlink r:id="rId32" w:history="1">
        <w:r w:rsidR="009803C4" w:rsidRPr="00814CC4">
          <w:rPr>
            <w:rStyle w:val="Hyperlink"/>
          </w:rPr>
          <w:t>https://digital.nhs.uk/data-and-information/publications/statistical/prescriptions-dispensed-in-the-community</w:t>
        </w:r>
      </w:hyperlink>
      <w:r w:rsidR="009803C4">
        <w:t xml:space="preserve"> </w:t>
      </w:r>
    </w:p>
    <w:p w14:paraId="73F5704B" w14:textId="6BA78A75" w:rsidR="001C2393" w:rsidRPr="009437ED" w:rsidRDefault="005370E6" w:rsidP="009437ED">
      <w:r w:rsidRPr="009437ED">
        <w:t>7</w:t>
      </w:r>
      <w:r w:rsidR="00F62420" w:rsidRPr="009437ED">
        <w:t xml:space="preserve">. </w:t>
      </w:r>
      <w:proofErr w:type="spellStart"/>
      <w:r w:rsidR="00F62420" w:rsidRPr="009437ED">
        <w:t>Sumukadas</w:t>
      </w:r>
      <w:proofErr w:type="spellEnd"/>
      <w:r w:rsidR="00F62420" w:rsidRPr="009437ED">
        <w:t xml:space="preserve"> D et al Temporal trends in anticholinergic medication prescription in older people; repeated </w:t>
      </w:r>
      <w:proofErr w:type="gramStart"/>
      <w:r w:rsidR="00F62420" w:rsidRPr="009437ED">
        <w:t>cross sectional</w:t>
      </w:r>
      <w:proofErr w:type="gramEnd"/>
      <w:r w:rsidR="00F62420" w:rsidRPr="009437ED">
        <w:t xml:space="preserve"> analysis of older population prescribing analysis.</w:t>
      </w:r>
      <w:r w:rsidR="001C2393" w:rsidRPr="009437ED">
        <w:t xml:space="preserve"> 014 Jul;43(4):515-21. </w:t>
      </w:r>
      <w:hyperlink r:id="rId33" w:history="1">
        <w:r w:rsidR="001C2393" w:rsidRPr="009437ED">
          <w:rPr>
            <w:rStyle w:val="Hyperlink"/>
          </w:rPr>
          <w:t>https://doi.org/10.1093/ageing/aft199</w:t>
        </w:r>
      </w:hyperlink>
      <w:r w:rsidR="001C2393" w:rsidRPr="009437ED">
        <w:t xml:space="preserve"> . </w:t>
      </w:r>
    </w:p>
    <w:p w14:paraId="29E1D553" w14:textId="77777777" w:rsidR="00C93395" w:rsidRDefault="00E91A20" w:rsidP="001D3131">
      <w:pPr>
        <w:pStyle w:val="Heading1Appendix"/>
      </w:pPr>
      <w:r>
        <w:br w:type="page"/>
      </w:r>
      <w:bookmarkStart w:id="101" w:name="_Toc473297140"/>
      <w:bookmarkStart w:id="102" w:name="_Toc473635673"/>
      <w:bookmarkStart w:id="103" w:name="_Toc473636495"/>
      <w:bookmarkStart w:id="104" w:name="_Toc474398594"/>
      <w:bookmarkStart w:id="105" w:name="Appendix1"/>
      <w:bookmarkStart w:id="106" w:name="_Ref200038657"/>
      <w:bookmarkStart w:id="107" w:name="_Ref200038679"/>
      <w:bookmarkStart w:id="108" w:name="_Toc475027493"/>
      <w:bookmarkStart w:id="109" w:name="_Toc234231970"/>
      <w:r w:rsidR="00406527">
        <w:lastRenderedPageBreak/>
        <w:t xml:space="preserve">: </w:t>
      </w:r>
      <w:r w:rsidR="00B7655B" w:rsidRPr="008A139B">
        <w:t xml:space="preserve">Polypharmacy </w:t>
      </w:r>
      <w:r w:rsidR="00B7655B" w:rsidRPr="000C2037">
        <w:t>Prescribing</w:t>
      </w:r>
      <w:r w:rsidR="00B7655B" w:rsidRPr="008A139B">
        <w:t xml:space="preserve"> </w:t>
      </w:r>
      <w:r w:rsidR="00B7655B" w:rsidRPr="00BF6DC1">
        <w:t>Comparator</w:t>
      </w:r>
      <w:bookmarkEnd w:id="101"/>
      <w:bookmarkEnd w:id="102"/>
      <w:bookmarkEnd w:id="103"/>
      <w:bookmarkEnd w:id="104"/>
      <w:r w:rsidR="00CC0BC6" w:rsidRPr="00BF6DC1">
        <w:t>s</w:t>
      </w:r>
      <w:r w:rsidR="00B7655B" w:rsidRPr="002B7232">
        <w:t xml:space="preserve"> </w:t>
      </w:r>
      <w:bookmarkStart w:id="110" w:name="_Toc473636496"/>
      <w:bookmarkStart w:id="111" w:name="_Toc473636927"/>
      <w:bookmarkStart w:id="112" w:name="_Toc474398595"/>
      <w:bookmarkEnd w:id="105"/>
      <w:r w:rsidR="00BF6DC1">
        <w:t>- working group</w:t>
      </w:r>
      <w:bookmarkEnd w:id="106"/>
      <w:bookmarkEnd w:id="107"/>
      <w:bookmarkEnd w:id="109"/>
    </w:p>
    <w:p w14:paraId="37C4923F" w14:textId="77777777" w:rsidR="00865C9F" w:rsidRPr="00BF6DC1" w:rsidRDefault="000A6ADA" w:rsidP="001D3131">
      <w:pPr>
        <w:pStyle w:val="Heading3"/>
      </w:pPr>
      <w:r w:rsidRPr="00BF6DC1">
        <w:t xml:space="preserve">Original </w:t>
      </w:r>
      <w:r w:rsidR="00416955" w:rsidRPr="00BF6DC1">
        <w:t>W</w:t>
      </w:r>
      <w:r w:rsidR="00B7655B" w:rsidRPr="00BF6DC1">
        <w:t>orking group</w:t>
      </w:r>
      <w:bookmarkEnd w:id="110"/>
      <w:bookmarkEnd w:id="111"/>
      <w:bookmarkEnd w:id="112"/>
      <w:r w:rsidR="00E300D0" w:rsidRPr="00BF6DC1">
        <w:t>:</w:t>
      </w:r>
      <w:bookmarkEnd w:id="108"/>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96"/>
      </w:tblGrid>
      <w:tr w:rsidR="00200848" w:rsidRPr="00865C9F" w14:paraId="1B0FEBF8" w14:textId="77777777" w:rsidTr="00200848">
        <w:trPr>
          <w:trHeight w:val="283"/>
        </w:trPr>
        <w:tc>
          <w:tcPr>
            <w:tcW w:w="2269" w:type="dxa"/>
            <w:shd w:val="clear" w:color="auto" w:fill="D9D9D9"/>
            <w:vAlign w:val="center"/>
            <w:hideMark/>
          </w:tcPr>
          <w:p w14:paraId="0B2B3F73" w14:textId="77777777" w:rsidR="00865C9F" w:rsidRPr="007C0CAD" w:rsidRDefault="00865C9F" w:rsidP="00200848">
            <w:pPr>
              <w:pStyle w:val="ComparatorSPecBoxBold"/>
              <w:rPr>
                <w:lang w:eastAsia="en-GB"/>
              </w:rPr>
            </w:pPr>
            <w:r w:rsidRPr="00200848">
              <w:rPr>
                <w:lang w:val="en-US" w:eastAsia="en-GB"/>
              </w:rPr>
              <w:t>Name</w:t>
            </w:r>
          </w:p>
        </w:tc>
        <w:tc>
          <w:tcPr>
            <w:tcW w:w="7796" w:type="dxa"/>
            <w:shd w:val="clear" w:color="auto" w:fill="D9D9D9"/>
            <w:vAlign w:val="center"/>
            <w:hideMark/>
          </w:tcPr>
          <w:p w14:paraId="152DD9F9" w14:textId="4821D71F" w:rsidR="00865C9F" w:rsidRPr="007C0CAD" w:rsidRDefault="00865C9F" w:rsidP="00200848">
            <w:pPr>
              <w:pStyle w:val="ComparatorSPecBoxBold"/>
              <w:rPr>
                <w:lang w:eastAsia="en-GB"/>
              </w:rPr>
            </w:pPr>
            <w:r w:rsidRPr="00200848">
              <w:rPr>
                <w:lang w:val="en-US" w:eastAsia="en-GB"/>
              </w:rPr>
              <w:t>Role</w:t>
            </w:r>
            <w:r w:rsidR="003C2F80" w:rsidRPr="00200848">
              <w:rPr>
                <w:lang w:val="en-US" w:eastAsia="en-GB"/>
              </w:rPr>
              <w:t xml:space="preserve"> and </w:t>
            </w:r>
            <w:proofErr w:type="spellStart"/>
            <w:r w:rsidRPr="00200848">
              <w:rPr>
                <w:lang w:val="en-US" w:eastAsia="en-GB"/>
              </w:rPr>
              <w:t>Organisation</w:t>
            </w:r>
            <w:proofErr w:type="spellEnd"/>
          </w:p>
        </w:tc>
      </w:tr>
      <w:tr w:rsidR="00200848" w:rsidRPr="00865C9F" w14:paraId="05ABC3C6" w14:textId="77777777" w:rsidTr="00200848">
        <w:trPr>
          <w:trHeight w:val="283"/>
        </w:trPr>
        <w:tc>
          <w:tcPr>
            <w:tcW w:w="2269" w:type="dxa"/>
            <w:shd w:val="clear" w:color="auto" w:fill="D9D9D9"/>
            <w:vAlign w:val="center"/>
            <w:hideMark/>
          </w:tcPr>
          <w:p w14:paraId="4CDC39A6" w14:textId="77777777" w:rsidR="00865C9F" w:rsidRPr="007C0CAD" w:rsidRDefault="00865C9F" w:rsidP="00200848">
            <w:pPr>
              <w:pStyle w:val="ComparatorSPecBoxBold"/>
              <w:rPr>
                <w:lang w:eastAsia="en-GB"/>
              </w:rPr>
            </w:pPr>
            <w:r w:rsidRPr="00200848">
              <w:rPr>
                <w:lang w:val="en-US" w:eastAsia="en-GB"/>
              </w:rPr>
              <w:t>Clare Howard</w:t>
            </w:r>
          </w:p>
        </w:tc>
        <w:tc>
          <w:tcPr>
            <w:tcW w:w="7796" w:type="dxa"/>
            <w:vAlign w:val="center"/>
            <w:hideMark/>
          </w:tcPr>
          <w:p w14:paraId="379C63C1" w14:textId="77777777" w:rsidR="00865C9F" w:rsidRPr="007C0CAD" w:rsidRDefault="00865C9F" w:rsidP="00200848">
            <w:pPr>
              <w:pStyle w:val="ComparatorSpecBoxNormal"/>
              <w:rPr>
                <w:lang w:eastAsia="en-GB"/>
              </w:rPr>
            </w:pPr>
            <w:r w:rsidRPr="00200848">
              <w:rPr>
                <w:lang w:val="en-US" w:eastAsia="en-GB"/>
              </w:rPr>
              <w:t xml:space="preserve">Clinical Lead, Medicines </w:t>
            </w:r>
            <w:proofErr w:type="spellStart"/>
            <w:r w:rsidRPr="00200848">
              <w:rPr>
                <w:lang w:val="en-US" w:eastAsia="en-GB"/>
              </w:rPr>
              <w:t>Optimisation</w:t>
            </w:r>
            <w:proofErr w:type="spellEnd"/>
            <w:r w:rsidRPr="00200848">
              <w:rPr>
                <w:lang w:val="en-US" w:eastAsia="en-GB"/>
              </w:rPr>
              <w:t>, Wessex Academic Health Science Network (Chair)</w:t>
            </w:r>
          </w:p>
        </w:tc>
      </w:tr>
      <w:tr w:rsidR="00200848" w:rsidRPr="00865C9F" w14:paraId="77630ED0" w14:textId="77777777" w:rsidTr="00200848">
        <w:trPr>
          <w:trHeight w:val="283"/>
        </w:trPr>
        <w:tc>
          <w:tcPr>
            <w:tcW w:w="2269" w:type="dxa"/>
            <w:shd w:val="clear" w:color="auto" w:fill="D9D9D9"/>
            <w:vAlign w:val="center"/>
            <w:hideMark/>
          </w:tcPr>
          <w:p w14:paraId="2982428C" w14:textId="77777777" w:rsidR="00865C9F" w:rsidRPr="007C0CAD" w:rsidRDefault="00865C9F" w:rsidP="00200848">
            <w:pPr>
              <w:pStyle w:val="ComparatorSPecBoxBold"/>
              <w:rPr>
                <w:lang w:eastAsia="en-GB"/>
              </w:rPr>
            </w:pPr>
            <w:r w:rsidRPr="00200848">
              <w:rPr>
                <w:lang w:val="en-US" w:eastAsia="en-GB"/>
              </w:rPr>
              <w:t>Graham Mitchell</w:t>
            </w:r>
          </w:p>
        </w:tc>
        <w:tc>
          <w:tcPr>
            <w:tcW w:w="7796" w:type="dxa"/>
            <w:vAlign w:val="center"/>
            <w:hideMark/>
          </w:tcPr>
          <w:p w14:paraId="053FB082" w14:textId="77777777" w:rsidR="00865C9F" w:rsidRPr="007C0CAD" w:rsidRDefault="00865C9F" w:rsidP="00200848">
            <w:pPr>
              <w:pStyle w:val="ComparatorSpecBoxNormal"/>
              <w:rPr>
                <w:lang w:eastAsia="en-GB"/>
              </w:rPr>
            </w:pPr>
            <w:r w:rsidRPr="00200848">
              <w:rPr>
                <w:lang w:val="en-US" w:eastAsia="en-GB"/>
              </w:rPr>
              <w:t>Information Services Manager, NHS Business Service Authority</w:t>
            </w:r>
          </w:p>
        </w:tc>
      </w:tr>
      <w:tr w:rsidR="00200848" w:rsidRPr="00865C9F" w14:paraId="1E48C9DF" w14:textId="77777777" w:rsidTr="00200848">
        <w:trPr>
          <w:trHeight w:val="283"/>
        </w:trPr>
        <w:tc>
          <w:tcPr>
            <w:tcW w:w="2269" w:type="dxa"/>
            <w:shd w:val="clear" w:color="auto" w:fill="D9D9D9"/>
            <w:vAlign w:val="center"/>
            <w:hideMark/>
          </w:tcPr>
          <w:p w14:paraId="2E3C4C7B" w14:textId="77777777" w:rsidR="00865C9F" w:rsidRPr="007C0CAD" w:rsidRDefault="00865C9F" w:rsidP="00200848">
            <w:pPr>
              <w:pStyle w:val="ComparatorSPecBoxBold"/>
              <w:rPr>
                <w:lang w:eastAsia="en-GB"/>
              </w:rPr>
            </w:pPr>
            <w:r w:rsidRPr="00200848">
              <w:rPr>
                <w:lang w:val="en-US" w:eastAsia="en-GB"/>
              </w:rPr>
              <w:t>Paul Brown</w:t>
            </w:r>
          </w:p>
        </w:tc>
        <w:tc>
          <w:tcPr>
            <w:tcW w:w="7796" w:type="dxa"/>
            <w:vAlign w:val="center"/>
            <w:hideMark/>
          </w:tcPr>
          <w:p w14:paraId="5A4EDB88" w14:textId="77777777" w:rsidR="00865C9F" w:rsidRPr="007C0CAD" w:rsidRDefault="00865C9F" w:rsidP="00200848">
            <w:pPr>
              <w:pStyle w:val="ComparatorSpecBoxNormal"/>
              <w:rPr>
                <w:lang w:eastAsia="en-GB"/>
              </w:rPr>
            </w:pPr>
            <w:r w:rsidRPr="00200848">
              <w:rPr>
                <w:lang w:val="en-US" w:eastAsia="en-GB"/>
              </w:rPr>
              <w:t>Senior Pharmaceutical Adviser, NHS Digital</w:t>
            </w:r>
          </w:p>
        </w:tc>
      </w:tr>
      <w:tr w:rsidR="00200848" w:rsidRPr="00865C9F" w14:paraId="6109D5D1" w14:textId="77777777" w:rsidTr="00200848">
        <w:trPr>
          <w:trHeight w:val="283"/>
        </w:trPr>
        <w:tc>
          <w:tcPr>
            <w:tcW w:w="2269" w:type="dxa"/>
            <w:shd w:val="clear" w:color="auto" w:fill="D9D9D9"/>
            <w:vAlign w:val="center"/>
            <w:hideMark/>
          </w:tcPr>
          <w:p w14:paraId="69754534" w14:textId="77777777" w:rsidR="00865C9F" w:rsidRPr="007C0CAD" w:rsidRDefault="00865C9F" w:rsidP="00200848">
            <w:pPr>
              <w:pStyle w:val="ComparatorSPecBoxBold"/>
              <w:rPr>
                <w:lang w:eastAsia="en-GB"/>
              </w:rPr>
            </w:pPr>
            <w:r w:rsidRPr="00200848">
              <w:rPr>
                <w:lang w:val="en-US" w:eastAsia="en-GB"/>
              </w:rPr>
              <w:t>Neil Watson</w:t>
            </w:r>
          </w:p>
        </w:tc>
        <w:tc>
          <w:tcPr>
            <w:tcW w:w="7796" w:type="dxa"/>
            <w:vAlign w:val="center"/>
            <w:hideMark/>
          </w:tcPr>
          <w:p w14:paraId="52ECC9E2" w14:textId="77777777" w:rsidR="00865C9F" w:rsidRPr="007C0CAD" w:rsidRDefault="00865C9F" w:rsidP="00200848">
            <w:pPr>
              <w:pStyle w:val="ComparatorSpecBoxNormal"/>
              <w:rPr>
                <w:lang w:eastAsia="en-GB"/>
              </w:rPr>
            </w:pPr>
            <w:r w:rsidRPr="00200848">
              <w:rPr>
                <w:lang w:val="en-US" w:eastAsia="en-GB"/>
              </w:rPr>
              <w:t>Clinical Director of Pharmacy and Medicines Management, Newcastle Hospitals NHS Foundation Trust</w:t>
            </w:r>
          </w:p>
        </w:tc>
      </w:tr>
      <w:tr w:rsidR="00200848" w:rsidRPr="00865C9F" w14:paraId="249537A1" w14:textId="77777777" w:rsidTr="00200848">
        <w:trPr>
          <w:trHeight w:val="283"/>
        </w:trPr>
        <w:tc>
          <w:tcPr>
            <w:tcW w:w="2269" w:type="dxa"/>
            <w:shd w:val="clear" w:color="auto" w:fill="D9D9D9"/>
            <w:vAlign w:val="center"/>
            <w:hideMark/>
          </w:tcPr>
          <w:p w14:paraId="515C9049" w14:textId="77777777" w:rsidR="00865C9F" w:rsidRPr="007C0CAD" w:rsidRDefault="00865C9F" w:rsidP="00200848">
            <w:pPr>
              <w:pStyle w:val="ComparatorSPecBoxBold"/>
              <w:rPr>
                <w:lang w:eastAsia="en-GB"/>
              </w:rPr>
            </w:pPr>
            <w:r w:rsidRPr="00200848">
              <w:rPr>
                <w:lang w:val="en-US" w:eastAsia="en-GB"/>
              </w:rPr>
              <w:t>Vicki Rowse</w:t>
            </w:r>
          </w:p>
        </w:tc>
        <w:tc>
          <w:tcPr>
            <w:tcW w:w="7796" w:type="dxa"/>
            <w:vAlign w:val="center"/>
            <w:hideMark/>
          </w:tcPr>
          <w:p w14:paraId="671826CB" w14:textId="77777777" w:rsidR="00865C9F" w:rsidRPr="007C0CAD" w:rsidRDefault="00865C9F" w:rsidP="00200848">
            <w:pPr>
              <w:pStyle w:val="ComparatorSpecBoxNormal"/>
              <w:rPr>
                <w:lang w:eastAsia="en-GB"/>
              </w:rPr>
            </w:pPr>
            <w:proofErr w:type="spellStart"/>
            <w:r w:rsidRPr="00200848">
              <w:rPr>
                <w:lang w:val="en-US" w:eastAsia="en-GB"/>
              </w:rPr>
              <w:t>Programme</w:t>
            </w:r>
            <w:proofErr w:type="spellEnd"/>
            <w:r w:rsidRPr="00200848">
              <w:rPr>
                <w:lang w:val="en-US" w:eastAsia="en-GB"/>
              </w:rPr>
              <w:t xml:space="preserve"> Lead, Medicines </w:t>
            </w:r>
            <w:proofErr w:type="spellStart"/>
            <w:r w:rsidRPr="00200848">
              <w:rPr>
                <w:lang w:val="en-US" w:eastAsia="en-GB"/>
              </w:rPr>
              <w:t>Optimisation</w:t>
            </w:r>
            <w:proofErr w:type="spellEnd"/>
            <w:r w:rsidRPr="00200848">
              <w:rPr>
                <w:lang w:val="en-US" w:eastAsia="en-GB"/>
              </w:rPr>
              <w:t xml:space="preserve"> Wessex Academic Health Science Network</w:t>
            </w:r>
          </w:p>
        </w:tc>
      </w:tr>
      <w:tr w:rsidR="00200848" w:rsidRPr="00865C9F" w14:paraId="63687F0F" w14:textId="77777777" w:rsidTr="00200848">
        <w:trPr>
          <w:trHeight w:val="283"/>
        </w:trPr>
        <w:tc>
          <w:tcPr>
            <w:tcW w:w="2269" w:type="dxa"/>
            <w:shd w:val="clear" w:color="auto" w:fill="D9D9D9"/>
            <w:vAlign w:val="center"/>
            <w:hideMark/>
          </w:tcPr>
          <w:p w14:paraId="0B83D4F6" w14:textId="77777777" w:rsidR="00865C9F" w:rsidRPr="007C0CAD" w:rsidRDefault="00865C9F" w:rsidP="00200848">
            <w:pPr>
              <w:pStyle w:val="ComparatorSPecBoxBold"/>
              <w:rPr>
                <w:lang w:eastAsia="en-GB"/>
              </w:rPr>
            </w:pPr>
            <w:r w:rsidRPr="00200848">
              <w:rPr>
                <w:lang w:val="en-US" w:eastAsia="en-GB"/>
              </w:rPr>
              <w:t>Julia Blagburn</w:t>
            </w:r>
          </w:p>
        </w:tc>
        <w:tc>
          <w:tcPr>
            <w:tcW w:w="7796" w:type="dxa"/>
            <w:vAlign w:val="center"/>
            <w:hideMark/>
          </w:tcPr>
          <w:p w14:paraId="5B8DA10E" w14:textId="77777777" w:rsidR="00865C9F" w:rsidRPr="007C0CAD" w:rsidRDefault="00865C9F" w:rsidP="00200848">
            <w:pPr>
              <w:pStyle w:val="ComparatorSpecBoxNormal"/>
              <w:rPr>
                <w:lang w:eastAsia="en-GB"/>
              </w:rPr>
            </w:pPr>
            <w:r w:rsidRPr="00200848">
              <w:rPr>
                <w:lang w:val="en-US" w:eastAsia="en-GB"/>
              </w:rPr>
              <w:t>Senior Lead Clinical Pharmacist for Older People's Medicine and Community Health, Newcastle Hospitals NHS Foundation Trust.</w:t>
            </w:r>
          </w:p>
        </w:tc>
      </w:tr>
      <w:tr w:rsidR="00200848" w:rsidRPr="00865C9F" w14:paraId="5536DC30" w14:textId="77777777" w:rsidTr="00200848">
        <w:trPr>
          <w:trHeight w:val="283"/>
        </w:trPr>
        <w:tc>
          <w:tcPr>
            <w:tcW w:w="2269" w:type="dxa"/>
            <w:shd w:val="clear" w:color="auto" w:fill="D9D9D9"/>
            <w:vAlign w:val="center"/>
            <w:hideMark/>
          </w:tcPr>
          <w:p w14:paraId="3ADF4EA5" w14:textId="77777777" w:rsidR="00865C9F" w:rsidRPr="007C0CAD" w:rsidRDefault="00865C9F" w:rsidP="00200848">
            <w:pPr>
              <w:pStyle w:val="ComparatorSPecBoxBold"/>
              <w:rPr>
                <w:lang w:eastAsia="en-GB"/>
              </w:rPr>
            </w:pPr>
            <w:r w:rsidRPr="00200848">
              <w:rPr>
                <w:lang w:val="en-US" w:eastAsia="en-GB"/>
              </w:rPr>
              <w:t>Michelle Trevett</w:t>
            </w:r>
          </w:p>
        </w:tc>
        <w:tc>
          <w:tcPr>
            <w:tcW w:w="7796" w:type="dxa"/>
            <w:vAlign w:val="center"/>
            <w:hideMark/>
          </w:tcPr>
          <w:p w14:paraId="23D8F4DF" w14:textId="77777777" w:rsidR="00865C9F" w:rsidRPr="007C0CAD" w:rsidRDefault="00865C9F" w:rsidP="00200848">
            <w:pPr>
              <w:pStyle w:val="ComparatorSpecBoxNormal"/>
              <w:rPr>
                <w:lang w:eastAsia="en-GB"/>
              </w:rPr>
            </w:pPr>
            <w:r w:rsidRPr="00200848">
              <w:rPr>
                <w:lang w:val="en-US" w:eastAsia="en-GB"/>
              </w:rPr>
              <w:t>Senior Pharmacist NHS Dorset Clinical Commissioning Group</w:t>
            </w:r>
          </w:p>
        </w:tc>
      </w:tr>
      <w:tr w:rsidR="00200848" w:rsidRPr="00865C9F" w14:paraId="5C772597" w14:textId="77777777" w:rsidTr="00200848">
        <w:trPr>
          <w:trHeight w:val="283"/>
        </w:trPr>
        <w:tc>
          <w:tcPr>
            <w:tcW w:w="2269" w:type="dxa"/>
            <w:shd w:val="clear" w:color="auto" w:fill="D9D9D9"/>
            <w:vAlign w:val="center"/>
            <w:hideMark/>
          </w:tcPr>
          <w:p w14:paraId="34A9FAB9" w14:textId="77777777" w:rsidR="00865C9F" w:rsidRPr="007C0CAD" w:rsidRDefault="00865C9F" w:rsidP="00200848">
            <w:pPr>
              <w:pStyle w:val="ComparatorSPecBoxBold"/>
              <w:rPr>
                <w:lang w:eastAsia="en-GB"/>
              </w:rPr>
            </w:pPr>
            <w:r w:rsidRPr="00200848">
              <w:rPr>
                <w:lang w:val="en-US" w:eastAsia="en-GB"/>
              </w:rPr>
              <w:t>Dr Paul Mason</w:t>
            </w:r>
          </w:p>
        </w:tc>
        <w:tc>
          <w:tcPr>
            <w:tcW w:w="7796" w:type="dxa"/>
            <w:vAlign w:val="center"/>
            <w:hideMark/>
          </w:tcPr>
          <w:p w14:paraId="78046A83" w14:textId="77777777" w:rsidR="00865C9F" w:rsidRPr="007C0CAD" w:rsidRDefault="00865C9F" w:rsidP="00200848">
            <w:pPr>
              <w:pStyle w:val="ComparatorSpecBoxNormal"/>
              <w:rPr>
                <w:lang w:eastAsia="en-GB"/>
              </w:rPr>
            </w:pPr>
            <w:r w:rsidRPr="00200848">
              <w:rPr>
                <w:lang w:val="en-US" w:eastAsia="en-GB"/>
              </w:rPr>
              <w:t>GP and Prescribing Lead NHS Dorset Clinical Commissioning Group</w:t>
            </w:r>
          </w:p>
        </w:tc>
      </w:tr>
      <w:tr w:rsidR="00200848" w:rsidRPr="00865C9F" w14:paraId="7A367552" w14:textId="77777777" w:rsidTr="00200848">
        <w:trPr>
          <w:trHeight w:val="283"/>
        </w:trPr>
        <w:tc>
          <w:tcPr>
            <w:tcW w:w="2269" w:type="dxa"/>
            <w:shd w:val="clear" w:color="auto" w:fill="D9D9D9"/>
            <w:vAlign w:val="center"/>
            <w:hideMark/>
          </w:tcPr>
          <w:p w14:paraId="61E9F163" w14:textId="77777777" w:rsidR="00865C9F" w:rsidRPr="007C0CAD" w:rsidRDefault="00865C9F" w:rsidP="00200848">
            <w:pPr>
              <w:pStyle w:val="ComparatorSPecBoxBold"/>
              <w:rPr>
                <w:lang w:eastAsia="en-GB"/>
              </w:rPr>
            </w:pPr>
            <w:r w:rsidRPr="00200848">
              <w:rPr>
                <w:lang w:val="en-US" w:eastAsia="en-GB"/>
              </w:rPr>
              <w:t>Dr Lawrence Brad</w:t>
            </w:r>
          </w:p>
        </w:tc>
        <w:tc>
          <w:tcPr>
            <w:tcW w:w="7796" w:type="dxa"/>
            <w:vAlign w:val="center"/>
            <w:hideMark/>
          </w:tcPr>
          <w:p w14:paraId="66DE5381" w14:textId="77777777" w:rsidR="00865C9F" w:rsidRPr="007C0CAD" w:rsidRDefault="00865C9F" w:rsidP="00200848">
            <w:pPr>
              <w:pStyle w:val="ComparatorSpecBoxNormal"/>
              <w:rPr>
                <w:lang w:eastAsia="en-GB"/>
              </w:rPr>
            </w:pPr>
            <w:r w:rsidRPr="00200848">
              <w:rPr>
                <w:lang w:val="en-US" w:eastAsia="en-GB"/>
              </w:rPr>
              <w:t>GP and RCGP Lead</w:t>
            </w:r>
            <w:r w:rsidR="00E94D5C" w:rsidRPr="00200848">
              <w:rPr>
                <w:lang w:val="en-US" w:eastAsia="en-GB"/>
              </w:rPr>
              <w:t xml:space="preserve"> for clinical pharmacists in GP practices</w:t>
            </w:r>
          </w:p>
        </w:tc>
      </w:tr>
      <w:tr w:rsidR="00200848" w:rsidRPr="00865C9F" w14:paraId="2F59BDAF" w14:textId="77777777" w:rsidTr="00200848">
        <w:trPr>
          <w:trHeight w:val="283"/>
        </w:trPr>
        <w:tc>
          <w:tcPr>
            <w:tcW w:w="2269" w:type="dxa"/>
            <w:shd w:val="clear" w:color="auto" w:fill="D9D9D9"/>
            <w:vAlign w:val="center"/>
            <w:hideMark/>
          </w:tcPr>
          <w:p w14:paraId="163FB57D" w14:textId="77777777" w:rsidR="00865C9F" w:rsidRPr="007C0CAD" w:rsidRDefault="00865C9F" w:rsidP="00200848">
            <w:pPr>
              <w:pStyle w:val="ComparatorSPecBoxBold"/>
              <w:rPr>
                <w:lang w:eastAsia="en-GB"/>
              </w:rPr>
            </w:pPr>
            <w:r w:rsidRPr="00200848">
              <w:rPr>
                <w:lang w:val="en-US" w:eastAsia="en-GB"/>
              </w:rPr>
              <w:t>Dr Simon Flack</w:t>
            </w:r>
          </w:p>
        </w:tc>
        <w:tc>
          <w:tcPr>
            <w:tcW w:w="7796" w:type="dxa"/>
            <w:vAlign w:val="center"/>
            <w:hideMark/>
          </w:tcPr>
          <w:p w14:paraId="25224910" w14:textId="77777777" w:rsidR="00865C9F" w:rsidRPr="007C0CAD" w:rsidRDefault="00865C9F" w:rsidP="00200848">
            <w:pPr>
              <w:pStyle w:val="ComparatorSpecBoxNormal"/>
              <w:rPr>
                <w:lang w:eastAsia="en-GB"/>
              </w:rPr>
            </w:pPr>
            <w:r w:rsidRPr="00200848">
              <w:rPr>
                <w:lang w:val="en-US" w:eastAsia="en-GB"/>
              </w:rPr>
              <w:t>GP and Locality Lead NHS Dorset Clinical Commissioning Group</w:t>
            </w:r>
          </w:p>
        </w:tc>
      </w:tr>
      <w:tr w:rsidR="00200848" w:rsidRPr="00865C9F" w14:paraId="1B7C6802" w14:textId="77777777" w:rsidTr="00200848">
        <w:trPr>
          <w:trHeight w:val="283"/>
        </w:trPr>
        <w:tc>
          <w:tcPr>
            <w:tcW w:w="2269" w:type="dxa"/>
            <w:shd w:val="clear" w:color="auto" w:fill="D9D9D9"/>
            <w:vAlign w:val="center"/>
            <w:hideMark/>
          </w:tcPr>
          <w:p w14:paraId="20CEB85F" w14:textId="77777777" w:rsidR="00865C9F" w:rsidRPr="007C0CAD" w:rsidRDefault="00865C9F" w:rsidP="00200848">
            <w:pPr>
              <w:pStyle w:val="ComparatorSPecBoxBold"/>
              <w:rPr>
                <w:lang w:eastAsia="en-GB"/>
              </w:rPr>
            </w:pPr>
            <w:r w:rsidRPr="00200848">
              <w:rPr>
                <w:lang w:val="en-US" w:eastAsia="en-GB"/>
              </w:rPr>
              <w:t>Simon Cooper</w:t>
            </w:r>
          </w:p>
        </w:tc>
        <w:tc>
          <w:tcPr>
            <w:tcW w:w="7796" w:type="dxa"/>
            <w:vAlign w:val="center"/>
            <w:hideMark/>
          </w:tcPr>
          <w:p w14:paraId="3583C72A" w14:textId="77777777" w:rsidR="00865C9F" w:rsidRPr="007C0CAD" w:rsidRDefault="00865C9F" w:rsidP="00200848">
            <w:pPr>
              <w:pStyle w:val="ComparatorSpecBoxNormal"/>
              <w:rPr>
                <w:lang w:eastAsia="en-GB"/>
              </w:rPr>
            </w:pPr>
            <w:r w:rsidRPr="00200848">
              <w:rPr>
                <w:lang w:val="en-US" w:eastAsia="en-GB"/>
              </w:rPr>
              <w:t>Head of Prescribing Support Portsmouth Clinical Commissioning Group</w:t>
            </w:r>
          </w:p>
        </w:tc>
      </w:tr>
      <w:tr w:rsidR="00200848" w:rsidRPr="00865C9F" w14:paraId="43981E31" w14:textId="77777777" w:rsidTr="00200848">
        <w:trPr>
          <w:trHeight w:val="283"/>
        </w:trPr>
        <w:tc>
          <w:tcPr>
            <w:tcW w:w="2269" w:type="dxa"/>
            <w:shd w:val="clear" w:color="auto" w:fill="D9D9D9"/>
            <w:vAlign w:val="center"/>
            <w:hideMark/>
          </w:tcPr>
          <w:p w14:paraId="0EAECEB9" w14:textId="77777777" w:rsidR="00865C9F" w:rsidRPr="007C0CAD" w:rsidRDefault="00865C9F" w:rsidP="00200848">
            <w:pPr>
              <w:pStyle w:val="ComparatorSPecBoxBold"/>
              <w:rPr>
                <w:lang w:eastAsia="en-GB"/>
              </w:rPr>
            </w:pPr>
            <w:r w:rsidRPr="00200848">
              <w:rPr>
                <w:lang w:val="en-US" w:eastAsia="en-GB"/>
              </w:rPr>
              <w:t>Katie Griffiths</w:t>
            </w:r>
          </w:p>
        </w:tc>
        <w:tc>
          <w:tcPr>
            <w:tcW w:w="7796" w:type="dxa"/>
            <w:vAlign w:val="center"/>
            <w:hideMark/>
          </w:tcPr>
          <w:p w14:paraId="633D594F" w14:textId="77777777" w:rsidR="00865C9F" w:rsidRPr="007C0CAD" w:rsidRDefault="00865C9F" w:rsidP="00200848">
            <w:pPr>
              <w:pStyle w:val="ComparatorSpecBoxNormal"/>
              <w:rPr>
                <w:lang w:eastAsia="en-GB"/>
              </w:rPr>
            </w:pPr>
            <w:r w:rsidRPr="00200848">
              <w:rPr>
                <w:lang w:val="en-US" w:eastAsia="en-GB"/>
              </w:rPr>
              <w:t xml:space="preserve">Medicines Safety Officer Dorset Healthcare </w:t>
            </w:r>
            <w:r w:rsidR="002F28C0" w:rsidRPr="00200848">
              <w:rPr>
                <w:lang w:val="en-US" w:eastAsia="en-GB"/>
              </w:rPr>
              <w:t xml:space="preserve">University </w:t>
            </w:r>
            <w:r w:rsidRPr="00200848">
              <w:rPr>
                <w:lang w:val="en-US" w:eastAsia="en-GB"/>
              </w:rPr>
              <w:t>NHS FT</w:t>
            </w:r>
          </w:p>
        </w:tc>
      </w:tr>
      <w:tr w:rsidR="00200848" w:rsidRPr="00865C9F" w14:paraId="324A3A02" w14:textId="77777777" w:rsidTr="00200848">
        <w:trPr>
          <w:trHeight w:val="283"/>
        </w:trPr>
        <w:tc>
          <w:tcPr>
            <w:tcW w:w="2269" w:type="dxa"/>
            <w:shd w:val="clear" w:color="auto" w:fill="D9D9D9"/>
            <w:vAlign w:val="center"/>
            <w:hideMark/>
          </w:tcPr>
          <w:p w14:paraId="3DCB0642" w14:textId="77777777" w:rsidR="00865C9F" w:rsidRPr="007C0CAD" w:rsidRDefault="00865C9F" w:rsidP="00200848">
            <w:pPr>
              <w:pStyle w:val="ComparatorSPecBoxBold"/>
              <w:rPr>
                <w:lang w:eastAsia="en-GB"/>
              </w:rPr>
            </w:pPr>
            <w:r w:rsidRPr="00200848">
              <w:rPr>
                <w:lang w:val="en-US" w:eastAsia="en-GB"/>
              </w:rPr>
              <w:t>Catherine Armstrong</w:t>
            </w:r>
          </w:p>
        </w:tc>
        <w:tc>
          <w:tcPr>
            <w:tcW w:w="7796" w:type="dxa"/>
            <w:vAlign w:val="center"/>
            <w:hideMark/>
          </w:tcPr>
          <w:p w14:paraId="30BBDE41" w14:textId="77777777" w:rsidR="00865C9F" w:rsidRPr="007C0CAD" w:rsidRDefault="00865C9F" w:rsidP="00200848">
            <w:pPr>
              <w:pStyle w:val="ComparatorSpecBoxNormal"/>
              <w:rPr>
                <w:lang w:eastAsia="en-GB"/>
              </w:rPr>
            </w:pPr>
            <w:r w:rsidRPr="00200848">
              <w:rPr>
                <w:lang w:val="en-US" w:eastAsia="en-GB"/>
              </w:rPr>
              <w:t xml:space="preserve">Lead Pharmacist – </w:t>
            </w:r>
            <w:proofErr w:type="spellStart"/>
            <w:r w:rsidRPr="00200848">
              <w:rPr>
                <w:lang w:val="en-US" w:eastAsia="en-GB"/>
              </w:rPr>
              <w:t>Pharmicus</w:t>
            </w:r>
            <w:proofErr w:type="spellEnd"/>
            <w:r w:rsidRPr="00200848">
              <w:rPr>
                <w:lang w:val="en-US" w:eastAsia="en-GB"/>
              </w:rPr>
              <w:t>, English Pharmacy Board Royal Pharmaceutical Society</w:t>
            </w:r>
          </w:p>
        </w:tc>
      </w:tr>
      <w:tr w:rsidR="00200848" w:rsidRPr="00865C9F" w14:paraId="5088A58A" w14:textId="77777777" w:rsidTr="00200848">
        <w:trPr>
          <w:trHeight w:val="283"/>
        </w:trPr>
        <w:tc>
          <w:tcPr>
            <w:tcW w:w="2269" w:type="dxa"/>
            <w:shd w:val="clear" w:color="auto" w:fill="D9D9D9"/>
            <w:vAlign w:val="center"/>
            <w:hideMark/>
          </w:tcPr>
          <w:p w14:paraId="64A022C2" w14:textId="77777777" w:rsidR="00865C9F" w:rsidRPr="007C0CAD" w:rsidRDefault="00865C9F" w:rsidP="00200848">
            <w:pPr>
              <w:pStyle w:val="ComparatorSPecBoxBold"/>
              <w:rPr>
                <w:lang w:eastAsia="en-GB"/>
              </w:rPr>
            </w:pPr>
            <w:r w:rsidRPr="00200848">
              <w:rPr>
                <w:lang w:val="en-US" w:eastAsia="en-GB"/>
              </w:rPr>
              <w:t>Helen Kennedy</w:t>
            </w:r>
          </w:p>
        </w:tc>
        <w:tc>
          <w:tcPr>
            <w:tcW w:w="7796" w:type="dxa"/>
            <w:vAlign w:val="center"/>
            <w:hideMark/>
          </w:tcPr>
          <w:p w14:paraId="6E6269FB" w14:textId="77777777" w:rsidR="00865C9F" w:rsidRPr="007C0CAD" w:rsidRDefault="00865C9F" w:rsidP="00200848">
            <w:pPr>
              <w:pStyle w:val="ComparatorSpecBoxNormal"/>
              <w:rPr>
                <w:lang w:eastAsia="en-GB"/>
              </w:rPr>
            </w:pPr>
            <w:r w:rsidRPr="00200848">
              <w:rPr>
                <w:lang w:val="en-US" w:eastAsia="en-GB"/>
              </w:rPr>
              <w:t>Prescribing Analyst, Dorset Clinical Commissioning Group</w:t>
            </w:r>
          </w:p>
        </w:tc>
      </w:tr>
      <w:tr w:rsidR="00200848" w:rsidRPr="00865C9F" w14:paraId="03179541" w14:textId="77777777" w:rsidTr="00200848">
        <w:trPr>
          <w:trHeight w:val="283"/>
        </w:trPr>
        <w:tc>
          <w:tcPr>
            <w:tcW w:w="2269" w:type="dxa"/>
            <w:shd w:val="clear" w:color="auto" w:fill="D9D9D9"/>
            <w:vAlign w:val="center"/>
          </w:tcPr>
          <w:p w14:paraId="25437394" w14:textId="77777777" w:rsidR="00EF0F82" w:rsidRPr="00200848" w:rsidRDefault="00EF0F82" w:rsidP="00200848">
            <w:pPr>
              <w:pStyle w:val="ComparatorSPecBoxBold"/>
              <w:rPr>
                <w:lang w:val="en-US" w:eastAsia="en-GB"/>
              </w:rPr>
            </w:pPr>
            <w:r w:rsidRPr="00200848">
              <w:rPr>
                <w:lang w:val="en-US" w:eastAsia="en-GB"/>
              </w:rPr>
              <w:t>Jacqueline Johnson</w:t>
            </w:r>
          </w:p>
        </w:tc>
        <w:tc>
          <w:tcPr>
            <w:tcW w:w="7796" w:type="dxa"/>
            <w:vAlign w:val="center"/>
          </w:tcPr>
          <w:p w14:paraId="27B5C371" w14:textId="77777777" w:rsidR="00EF0F82" w:rsidRPr="00200848" w:rsidRDefault="00EF0F82" w:rsidP="00200848">
            <w:pPr>
              <w:pStyle w:val="ComparatorSpecBoxNormal"/>
              <w:rPr>
                <w:lang w:val="en-US" w:eastAsia="en-GB"/>
              </w:rPr>
            </w:pPr>
            <w:r w:rsidRPr="00200848">
              <w:rPr>
                <w:lang w:val="en-US" w:eastAsia="en-GB"/>
              </w:rPr>
              <w:t>Data Analyst, NHS Business Service Authority</w:t>
            </w:r>
          </w:p>
        </w:tc>
      </w:tr>
    </w:tbl>
    <w:p w14:paraId="4879AE6B" w14:textId="77777777" w:rsidR="007C0CAD" w:rsidRPr="00BF6DC1" w:rsidRDefault="007C0CAD" w:rsidP="001D3131">
      <w:pPr>
        <w:pStyle w:val="Heading3"/>
      </w:pPr>
      <w:bookmarkStart w:id="113" w:name="_Toc473636497"/>
      <w:bookmarkStart w:id="114" w:name="_Toc473636928"/>
      <w:bookmarkStart w:id="115" w:name="_Toc474398596"/>
      <w:bookmarkStart w:id="116" w:name="_Toc475027494"/>
      <w:r w:rsidRPr="00BF6DC1">
        <w:rPr>
          <w:rFonts w:eastAsia="Calibri"/>
        </w:rPr>
        <w:t>Expert input provided by</w:t>
      </w:r>
      <w:bookmarkEnd w:id="113"/>
      <w:bookmarkEnd w:id="114"/>
      <w:bookmarkEnd w:id="115"/>
      <w:bookmarkEnd w:id="116"/>
      <w:r w:rsidRPr="00BF6DC1">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96"/>
      </w:tblGrid>
      <w:tr w:rsidR="00200848" w:rsidRPr="00865C9F" w14:paraId="3A564ACD" w14:textId="77777777" w:rsidTr="00200848">
        <w:trPr>
          <w:trHeight w:val="283"/>
        </w:trPr>
        <w:tc>
          <w:tcPr>
            <w:tcW w:w="2269" w:type="dxa"/>
            <w:shd w:val="clear" w:color="auto" w:fill="D9D9D9"/>
            <w:vAlign w:val="center"/>
            <w:hideMark/>
          </w:tcPr>
          <w:p w14:paraId="7F251543" w14:textId="77777777" w:rsidR="007C0CAD" w:rsidRPr="003B36E1" w:rsidRDefault="007C0CAD" w:rsidP="00200848">
            <w:pPr>
              <w:pStyle w:val="ComparatorSPecBoxBold"/>
              <w:rPr>
                <w:lang w:eastAsia="en-GB"/>
              </w:rPr>
            </w:pPr>
            <w:r w:rsidRPr="00200848">
              <w:rPr>
                <w:lang w:val="en-US" w:eastAsia="en-GB"/>
              </w:rPr>
              <w:t>Name</w:t>
            </w:r>
          </w:p>
        </w:tc>
        <w:tc>
          <w:tcPr>
            <w:tcW w:w="7796" w:type="dxa"/>
            <w:shd w:val="clear" w:color="auto" w:fill="D9D9D9"/>
            <w:vAlign w:val="center"/>
            <w:hideMark/>
          </w:tcPr>
          <w:p w14:paraId="4CAD95BD" w14:textId="0823E86E" w:rsidR="007C0CAD" w:rsidRPr="003B36E1" w:rsidRDefault="007C0CAD" w:rsidP="00200848">
            <w:pPr>
              <w:pStyle w:val="ComparatorSPecBoxBold"/>
              <w:rPr>
                <w:lang w:eastAsia="en-GB"/>
              </w:rPr>
            </w:pPr>
            <w:r w:rsidRPr="00200848">
              <w:rPr>
                <w:lang w:val="en-US" w:eastAsia="en-GB"/>
              </w:rPr>
              <w:t>Role</w:t>
            </w:r>
            <w:r w:rsidR="003C2F80" w:rsidRPr="00200848">
              <w:rPr>
                <w:lang w:val="en-US" w:eastAsia="en-GB"/>
              </w:rPr>
              <w:t xml:space="preserve"> and </w:t>
            </w:r>
            <w:proofErr w:type="spellStart"/>
            <w:r w:rsidRPr="00200848">
              <w:rPr>
                <w:lang w:val="en-US" w:eastAsia="en-GB"/>
              </w:rPr>
              <w:t>Organisation</w:t>
            </w:r>
            <w:proofErr w:type="spellEnd"/>
          </w:p>
        </w:tc>
      </w:tr>
      <w:tr w:rsidR="00200848" w:rsidRPr="00865C9F" w14:paraId="502D77CD" w14:textId="77777777" w:rsidTr="00200848">
        <w:trPr>
          <w:trHeight w:val="283"/>
        </w:trPr>
        <w:tc>
          <w:tcPr>
            <w:tcW w:w="2269" w:type="dxa"/>
            <w:shd w:val="clear" w:color="auto" w:fill="D9D9D9"/>
            <w:vAlign w:val="center"/>
          </w:tcPr>
          <w:p w14:paraId="1B807DD5" w14:textId="64987ACE" w:rsidR="007C0CAD" w:rsidRPr="003B36E1" w:rsidRDefault="007C0CAD" w:rsidP="00200848">
            <w:pPr>
              <w:pStyle w:val="ComparatorSPecBoxBold"/>
              <w:rPr>
                <w:lang w:eastAsia="en-GB"/>
              </w:rPr>
            </w:pPr>
            <w:r w:rsidRPr="003B36E1">
              <w:rPr>
                <w:lang w:eastAsia="en-GB"/>
              </w:rPr>
              <w:t>Nina</w:t>
            </w:r>
            <w:r w:rsidR="003C2F80">
              <w:rPr>
                <w:lang w:eastAsia="en-GB"/>
              </w:rPr>
              <w:t xml:space="preserve"> </w:t>
            </w:r>
            <w:r w:rsidRPr="003B36E1">
              <w:rPr>
                <w:lang w:eastAsia="en-GB"/>
              </w:rPr>
              <w:t>Barnett</w:t>
            </w:r>
          </w:p>
        </w:tc>
        <w:tc>
          <w:tcPr>
            <w:tcW w:w="7796" w:type="dxa"/>
            <w:vAlign w:val="center"/>
          </w:tcPr>
          <w:p w14:paraId="2B680250" w14:textId="77777777" w:rsidR="007C0CAD" w:rsidRPr="003B36E1" w:rsidRDefault="007C0CAD" w:rsidP="00200848">
            <w:pPr>
              <w:pStyle w:val="ComparatorSpecBoxNormal"/>
              <w:rPr>
                <w:lang w:eastAsia="en-GB"/>
              </w:rPr>
            </w:pPr>
            <w:r w:rsidRPr="00200848">
              <w:rPr>
                <w:lang w:val="en-US"/>
              </w:rPr>
              <w:t xml:space="preserve">Consultant Pharmacist and Pharmacy Adviser for Older People West London Hospitals Trust and Pharmacy Adviser for Older People for East &amp; </w:t>
            </w:r>
            <w:proofErr w:type="gramStart"/>
            <w:r w:rsidRPr="00200848">
              <w:rPr>
                <w:lang w:val="en-US"/>
              </w:rPr>
              <w:t>South East</w:t>
            </w:r>
            <w:proofErr w:type="gramEnd"/>
            <w:r w:rsidRPr="00200848">
              <w:rPr>
                <w:lang w:val="en-US"/>
              </w:rPr>
              <w:t xml:space="preserve"> England Specialist Pharmacy Services </w:t>
            </w:r>
          </w:p>
        </w:tc>
      </w:tr>
      <w:tr w:rsidR="00200848" w:rsidRPr="00865C9F" w14:paraId="71CD9455" w14:textId="77777777" w:rsidTr="00200848">
        <w:trPr>
          <w:trHeight w:val="283"/>
        </w:trPr>
        <w:tc>
          <w:tcPr>
            <w:tcW w:w="2269" w:type="dxa"/>
            <w:shd w:val="clear" w:color="auto" w:fill="D9D9D9"/>
            <w:vAlign w:val="center"/>
          </w:tcPr>
          <w:p w14:paraId="7B59CAE9" w14:textId="77777777" w:rsidR="007C0CAD" w:rsidRPr="003B36E1" w:rsidRDefault="007C0CAD" w:rsidP="00200848">
            <w:pPr>
              <w:pStyle w:val="ComparatorSPecBoxBold"/>
              <w:rPr>
                <w:lang w:eastAsia="en-GB"/>
              </w:rPr>
            </w:pPr>
            <w:r w:rsidRPr="003B36E1">
              <w:rPr>
                <w:lang w:eastAsia="en-GB"/>
              </w:rPr>
              <w:t xml:space="preserve">Dr Suren </w:t>
            </w:r>
            <w:proofErr w:type="spellStart"/>
            <w:r w:rsidRPr="003B36E1">
              <w:rPr>
                <w:lang w:eastAsia="en-GB"/>
              </w:rPr>
              <w:t>Kanagsundaram</w:t>
            </w:r>
            <w:proofErr w:type="spellEnd"/>
          </w:p>
        </w:tc>
        <w:tc>
          <w:tcPr>
            <w:tcW w:w="7796" w:type="dxa"/>
            <w:vAlign w:val="center"/>
          </w:tcPr>
          <w:p w14:paraId="3ECA4BE0" w14:textId="77777777" w:rsidR="007C0CAD" w:rsidRPr="003B36E1" w:rsidRDefault="007C0CAD" w:rsidP="00200848">
            <w:pPr>
              <w:pStyle w:val="ComparatorSpecBoxNormal"/>
              <w:rPr>
                <w:lang w:eastAsia="en-GB"/>
              </w:rPr>
            </w:pPr>
            <w:r w:rsidRPr="00200848">
              <w:rPr>
                <w:lang w:val="en-US"/>
              </w:rPr>
              <w:t>Consultant Nephrologist NUHT</w:t>
            </w:r>
          </w:p>
        </w:tc>
      </w:tr>
      <w:tr w:rsidR="00200848" w:rsidRPr="00865C9F" w14:paraId="587BCB48" w14:textId="77777777" w:rsidTr="00200848">
        <w:trPr>
          <w:trHeight w:val="283"/>
        </w:trPr>
        <w:tc>
          <w:tcPr>
            <w:tcW w:w="2269" w:type="dxa"/>
            <w:shd w:val="clear" w:color="auto" w:fill="D9D9D9"/>
            <w:vAlign w:val="center"/>
          </w:tcPr>
          <w:p w14:paraId="76C0776A" w14:textId="77777777" w:rsidR="007C0CAD" w:rsidRPr="003B36E1" w:rsidRDefault="007C0CAD" w:rsidP="00200848">
            <w:pPr>
              <w:pStyle w:val="ComparatorSPecBoxBold"/>
              <w:rPr>
                <w:lang w:eastAsia="en-GB"/>
              </w:rPr>
            </w:pPr>
            <w:r w:rsidRPr="003B36E1">
              <w:rPr>
                <w:lang w:eastAsia="en-GB"/>
              </w:rPr>
              <w:t>Sotiris Antoniou</w:t>
            </w:r>
          </w:p>
        </w:tc>
        <w:tc>
          <w:tcPr>
            <w:tcW w:w="7796" w:type="dxa"/>
            <w:vAlign w:val="center"/>
          </w:tcPr>
          <w:p w14:paraId="50B20522" w14:textId="77777777" w:rsidR="007C0CAD" w:rsidRPr="003B36E1" w:rsidRDefault="007C0CAD" w:rsidP="00200848">
            <w:pPr>
              <w:pStyle w:val="ComparatorSpecBoxNormal"/>
              <w:rPr>
                <w:lang w:eastAsia="en-GB"/>
              </w:rPr>
            </w:pPr>
            <w:r w:rsidRPr="003B36E1">
              <w:rPr>
                <w:lang w:eastAsia="en-GB"/>
              </w:rPr>
              <w:t>Consultant Pharmacist, Cardiovascular Medicine, Barts Health NHS Trust</w:t>
            </w:r>
          </w:p>
        </w:tc>
      </w:tr>
      <w:tr w:rsidR="00200848" w:rsidRPr="00865C9F" w14:paraId="52AB2975" w14:textId="77777777" w:rsidTr="00200848">
        <w:trPr>
          <w:trHeight w:val="283"/>
        </w:trPr>
        <w:tc>
          <w:tcPr>
            <w:tcW w:w="2269" w:type="dxa"/>
            <w:shd w:val="clear" w:color="auto" w:fill="D9D9D9"/>
            <w:vAlign w:val="center"/>
          </w:tcPr>
          <w:p w14:paraId="20327282" w14:textId="77777777" w:rsidR="007C0CAD" w:rsidRPr="003B36E1" w:rsidRDefault="007C0CAD" w:rsidP="00200848">
            <w:pPr>
              <w:pStyle w:val="ComparatorSPecBoxBold"/>
              <w:rPr>
                <w:lang w:eastAsia="en-GB"/>
              </w:rPr>
            </w:pPr>
            <w:r w:rsidRPr="003B36E1">
              <w:rPr>
                <w:lang w:eastAsia="en-GB"/>
              </w:rPr>
              <w:t>Helen Williams</w:t>
            </w:r>
          </w:p>
        </w:tc>
        <w:tc>
          <w:tcPr>
            <w:tcW w:w="7796" w:type="dxa"/>
            <w:vAlign w:val="center"/>
          </w:tcPr>
          <w:p w14:paraId="4A5FA78A" w14:textId="77777777" w:rsidR="007C0CAD" w:rsidRPr="003B36E1" w:rsidRDefault="007C0CAD" w:rsidP="00200848">
            <w:pPr>
              <w:pStyle w:val="ComparatorSpecBoxNormal"/>
              <w:rPr>
                <w:lang w:eastAsia="en-GB"/>
              </w:rPr>
            </w:pPr>
            <w:r w:rsidRPr="00200848">
              <w:rPr>
                <w:lang w:val="en-US"/>
              </w:rPr>
              <w:t>Consultant Pharmacist Cardiovascular Medicine</w:t>
            </w:r>
          </w:p>
        </w:tc>
      </w:tr>
      <w:tr w:rsidR="00200848" w:rsidRPr="00865C9F" w14:paraId="3FB6F8B6" w14:textId="77777777" w:rsidTr="00200848">
        <w:trPr>
          <w:trHeight w:val="283"/>
        </w:trPr>
        <w:tc>
          <w:tcPr>
            <w:tcW w:w="2269" w:type="dxa"/>
            <w:shd w:val="clear" w:color="auto" w:fill="D9D9D9"/>
            <w:vAlign w:val="center"/>
          </w:tcPr>
          <w:p w14:paraId="0B623C8F" w14:textId="77777777" w:rsidR="007C0CAD" w:rsidRPr="003B36E1" w:rsidRDefault="007C0CAD" w:rsidP="00200848">
            <w:pPr>
              <w:pStyle w:val="ComparatorSPecBoxBold"/>
              <w:rPr>
                <w:lang w:eastAsia="en-GB"/>
              </w:rPr>
            </w:pPr>
            <w:r w:rsidRPr="003B36E1">
              <w:rPr>
                <w:lang w:eastAsia="en-GB"/>
              </w:rPr>
              <w:t>Sharon Gordon</w:t>
            </w:r>
          </w:p>
        </w:tc>
        <w:tc>
          <w:tcPr>
            <w:tcW w:w="7796" w:type="dxa"/>
            <w:vAlign w:val="center"/>
          </w:tcPr>
          <w:p w14:paraId="52B9DF43" w14:textId="77777777" w:rsidR="007C0CAD" w:rsidRPr="003B36E1" w:rsidRDefault="007C0CAD" w:rsidP="00200848">
            <w:pPr>
              <w:pStyle w:val="ComparatorSpecBoxNormal"/>
              <w:rPr>
                <w:lang w:eastAsia="en-GB"/>
              </w:rPr>
            </w:pPr>
            <w:r w:rsidRPr="00200848">
              <w:rPr>
                <w:lang w:val="en-US"/>
              </w:rPr>
              <w:t xml:space="preserve">Wessex AHSN Clinical Lead AF </w:t>
            </w:r>
            <w:proofErr w:type="spellStart"/>
            <w:r w:rsidRPr="00200848">
              <w:rPr>
                <w:lang w:val="en-US"/>
              </w:rPr>
              <w:t>Programme</w:t>
            </w:r>
            <w:proofErr w:type="spellEnd"/>
          </w:p>
        </w:tc>
      </w:tr>
    </w:tbl>
    <w:p w14:paraId="5E0F430A" w14:textId="14109D82" w:rsidR="00460B48" w:rsidRDefault="004E3E0C" w:rsidP="00D0010A">
      <w:pPr>
        <w:pStyle w:val="Heading1Appendix"/>
      </w:pPr>
      <w:bookmarkStart w:id="117" w:name="Appendix2"/>
      <w:bookmarkStart w:id="118" w:name="_Toc473297141"/>
      <w:bookmarkStart w:id="119" w:name="_Toc473635674"/>
      <w:bookmarkStart w:id="120" w:name="_Toc473636498"/>
      <w:bookmarkStart w:id="121" w:name="_Toc474398597"/>
      <w:bookmarkStart w:id="122" w:name="_Toc475027495"/>
      <w:r>
        <w:br w:type="page"/>
      </w:r>
      <w:bookmarkStart w:id="123" w:name="_Ref208830547"/>
      <w:bookmarkStart w:id="124" w:name="_Toc234231971"/>
      <w:bookmarkEnd w:id="117"/>
      <w:bookmarkEnd w:id="118"/>
      <w:bookmarkEnd w:id="119"/>
      <w:bookmarkEnd w:id="120"/>
      <w:bookmarkEnd w:id="121"/>
      <w:bookmarkEnd w:id="122"/>
      <w:r w:rsidR="00460B48">
        <w:lastRenderedPageBreak/>
        <w:t>: Summary of evidence for anticholinergic burden classification</w:t>
      </w:r>
      <w:bookmarkEnd w:id="123"/>
      <w:bookmarkEnd w:id="124"/>
    </w:p>
    <w:p w14:paraId="68B716FC" w14:textId="6753B62D" w:rsidR="00460B48" w:rsidRDefault="000D2033" w:rsidP="000D2033">
      <w:r>
        <w:object w:dxaOrig="1517" w:dyaOrig="985" w14:anchorId="1180C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8.6pt" o:ole="">
            <v:imagedata r:id="rId34" o:title=""/>
          </v:shape>
          <o:OLEObject Type="Embed" ProgID="Excel.Sheet.12" ShapeID="_x0000_i1025" DrawAspect="Icon" ObjectID="_1844844742" r:id="rId35"/>
        </w:object>
      </w:r>
    </w:p>
    <w:p w14:paraId="12CBD069" w14:textId="4AE8BFB4" w:rsidR="009804A5" w:rsidRDefault="003255D2" w:rsidP="00D0010A">
      <w:pPr>
        <w:pStyle w:val="Heading1Appendix"/>
      </w:pPr>
      <w:bookmarkStart w:id="125" w:name="_Ref208830593"/>
      <w:bookmarkStart w:id="126" w:name="_Toc234231972"/>
      <w:r>
        <w:t xml:space="preserve">: </w:t>
      </w:r>
      <w:r w:rsidRPr="003255D2">
        <w:t>Medicines with moderate to high anticholinergic burden</w:t>
      </w:r>
      <w:bookmarkEnd w:id="125"/>
      <w:bookmarkEnd w:id="126"/>
    </w:p>
    <w:p w14:paraId="7877C1E0" w14:textId="501DE336" w:rsidR="000D2033" w:rsidRDefault="000D2033" w:rsidP="000D2033">
      <w:r>
        <w:object w:dxaOrig="1517" w:dyaOrig="985" w14:anchorId="25A266E2">
          <v:shape id="_x0000_i1026" type="#_x0000_t75" style="width:75.6pt;height:48.6pt" o:ole="">
            <v:imagedata r:id="rId36" o:title=""/>
          </v:shape>
          <o:OLEObject Type="Embed" ProgID="Excel.SheetMacroEnabled.12" ShapeID="_x0000_i1026" DrawAspect="Icon" ObjectID="_1844844743" r:id="rId37"/>
        </w:object>
      </w:r>
    </w:p>
    <w:p w14:paraId="02810772" w14:textId="02FE4C89" w:rsidR="00D56F7D" w:rsidRDefault="00406527" w:rsidP="00D0010A">
      <w:pPr>
        <w:pStyle w:val="Heading1Appendix"/>
      </w:pPr>
      <w:bookmarkStart w:id="127" w:name="_Ref200033726"/>
      <w:bookmarkStart w:id="128" w:name="_Toc234231973"/>
      <w:r>
        <w:rPr>
          <w:noProof/>
          <w:lang w:eastAsia="en-GB"/>
        </w:rPr>
        <w:t xml:space="preserve">: </w:t>
      </w:r>
      <w:r w:rsidR="00D56F7D" w:rsidRPr="008B43C8">
        <w:t>Medicines with low to moderate anticholinergic burden</w:t>
      </w:r>
      <w:bookmarkEnd w:id="127"/>
      <w:bookmarkEnd w:id="128"/>
      <w:r w:rsidR="00D56F7D" w:rsidRPr="008B43C8">
        <w:t xml:space="preserve"> </w:t>
      </w:r>
    </w:p>
    <w:p w14:paraId="30BBF1CF" w14:textId="09D09995" w:rsidR="00D16106" w:rsidRDefault="000D2033" w:rsidP="000D2033">
      <w:pPr>
        <w:rPr>
          <w:noProof/>
          <w:lang w:eastAsia="en-GB"/>
        </w:rPr>
      </w:pPr>
      <w:r>
        <w:rPr>
          <w:noProof/>
          <w:lang w:eastAsia="en-GB"/>
        </w:rPr>
        <w:object w:dxaOrig="1517" w:dyaOrig="985" w14:anchorId="22A096B0">
          <v:shape id="_x0000_i1027" type="#_x0000_t75" style="width:75.6pt;height:48.6pt" o:ole="">
            <v:imagedata r:id="rId38" o:title=""/>
          </v:shape>
          <o:OLEObject Type="Embed" ProgID="Excel.SheetMacroEnabled.12" ShapeID="_x0000_i1027" DrawAspect="Icon" ObjectID="_1844844744" r:id="rId39"/>
        </w:object>
      </w:r>
    </w:p>
    <w:p w14:paraId="35385FFA" w14:textId="70CAD345" w:rsidR="00D16106" w:rsidRPr="006B0F9D" w:rsidRDefault="00406527" w:rsidP="00D0010A">
      <w:pPr>
        <w:pStyle w:val="Heading1Appendix"/>
      </w:pPr>
      <w:bookmarkStart w:id="129" w:name="_Ref200038894"/>
      <w:bookmarkStart w:id="130" w:name="_Toc234231974"/>
      <w:r>
        <w:rPr>
          <w:noProof/>
          <w:lang w:eastAsia="en-GB"/>
        </w:rPr>
        <w:t xml:space="preserve">: </w:t>
      </w:r>
      <w:r w:rsidR="00D16106">
        <w:t>Analgesic medicines</w:t>
      </w:r>
      <w:bookmarkEnd w:id="129"/>
      <w:bookmarkEnd w:id="130"/>
    </w:p>
    <w:p w14:paraId="68E489F7" w14:textId="3866A558" w:rsidR="00DC173C" w:rsidRDefault="009F0D7B" w:rsidP="000D2033">
      <w:pPr>
        <w:rPr>
          <w:noProof/>
          <w:lang w:eastAsia="en-GB"/>
        </w:rPr>
      </w:pPr>
      <w:r>
        <w:rPr>
          <w:noProof/>
          <w:lang w:eastAsia="en-GB"/>
        </w:rPr>
        <w:object w:dxaOrig="1264" w:dyaOrig="821" w14:anchorId="7E4DC137">
          <v:shape id="_x0000_i1028" type="#_x0000_t75" style="width:63pt;height:40.8pt" o:ole="">
            <v:imagedata r:id="rId40" o:title=""/>
          </v:shape>
          <o:OLEObject Type="Embed" ProgID="Excel.SheetMacroEnabled.12" ShapeID="_x0000_i1028" DrawAspect="Icon" ObjectID="_1844844745" r:id="rId41"/>
        </w:object>
      </w:r>
    </w:p>
    <w:p w14:paraId="228DC7F6" w14:textId="3018046B" w:rsidR="002B2F2D" w:rsidRDefault="00406527" w:rsidP="00D0010A">
      <w:pPr>
        <w:pStyle w:val="Heading1Appendix"/>
        <w:rPr>
          <w:noProof/>
          <w:lang w:eastAsia="en-GB"/>
        </w:rPr>
      </w:pPr>
      <w:bookmarkStart w:id="131" w:name="_Ref208832149"/>
      <w:bookmarkStart w:id="132" w:name="_Toc234231975"/>
      <w:r>
        <w:rPr>
          <w:noProof/>
          <w:lang w:eastAsia="en-GB"/>
        </w:rPr>
        <w:t xml:space="preserve">: </w:t>
      </w:r>
      <w:r w:rsidR="002B2F2D">
        <w:rPr>
          <w:noProof/>
          <w:lang w:eastAsia="en-GB"/>
        </w:rPr>
        <w:t>Medicines used in the hypotension indicator</w:t>
      </w:r>
      <w:bookmarkEnd w:id="131"/>
      <w:bookmarkEnd w:id="132"/>
    </w:p>
    <w:p w14:paraId="46BE4EE6" w14:textId="1BF9B10F" w:rsidR="002B2F2D" w:rsidRPr="00D16106" w:rsidRDefault="009F0D7B" w:rsidP="001D3131">
      <w:pPr>
        <w:rPr>
          <w:noProof/>
          <w:lang w:eastAsia="en-GB"/>
        </w:rPr>
      </w:pPr>
      <w:r>
        <w:rPr>
          <w:noProof/>
          <w:lang w:eastAsia="en-GB"/>
        </w:rPr>
        <w:object w:dxaOrig="1264" w:dyaOrig="821" w14:anchorId="6BCC393B">
          <v:shape id="_x0000_i1029" type="#_x0000_t75" style="width:63pt;height:40.8pt" o:ole="">
            <v:imagedata r:id="rId42" o:title=""/>
          </v:shape>
          <o:OLEObject Type="Embed" ProgID="Excel.SheetMacroEnabled.12" ShapeID="_x0000_i1029" DrawAspect="Icon" ObjectID="_1844844746" r:id="rId43"/>
        </w:object>
      </w:r>
    </w:p>
    <w:sectPr w:rsidR="002B2F2D" w:rsidRPr="00D16106" w:rsidSect="00D60D38">
      <w:footerReference w:type="default" r:id="rId44"/>
      <w:headerReference w:type="first" r:id="rId45"/>
      <w:footerReference w:type="first" r:id="rId46"/>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A02F" w14:textId="77777777" w:rsidR="00222649" w:rsidRDefault="00222649" w:rsidP="001D3131">
      <w:r>
        <w:separator/>
      </w:r>
    </w:p>
  </w:endnote>
  <w:endnote w:type="continuationSeparator" w:id="0">
    <w:p w14:paraId="19F6C697" w14:textId="77777777" w:rsidR="00222649" w:rsidRDefault="00222649" w:rsidP="0057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4A9D" w14:textId="13F5456F" w:rsidR="001C494E" w:rsidRDefault="001C494E" w:rsidP="001D3131">
    <w:r>
      <w:t>V</w:t>
    </w:r>
    <w:r w:rsidR="00D60D38">
      <w:t>2</w:t>
    </w:r>
    <w:r>
      <w:t>.0</w:t>
    </w:r>
    <w:r w:rsidR="00D60D38">
      <w:t>.0</w:t>
    </w:r>
    <w:r>
      <w:tab/>
    </w:r>
    <w:r>
      <w:tab/>
    </w:r>
    <w:r>
      <w:tab/>
    </w:r>
    <w:r>
      <w:tab/>
      <w:t xml:space="preserve">Page </w:t>
    </w:r>
    <w:r>
      <w:rPr>
        <w:b/>
        <w:bCs/>
        <w:szCs w:val="24"/>
      </w:rPr>
      <w:fldChar w:fldCharType="begin"/>
    </w:r>
    <w:r>
      <w:rPr>
        <w:b/>
        <w:bCs/>
      </w:rPr>
      <w:instrText xml:space="preserve"> PAGE </w:instrText>
    </w:r>
    <w:r>
      <w:rPr>
        <w:b/>
        <w:bCs/>
        <w:szCs w:val="24"/>
      </w:rPr>
      <w:fldChar w:fldCharType="separate"/>
    </w:r>
    <w:r w:rsidR="00D26B6D">
      <w:rPr>
        <w:b/>
        <w:bCs/>
        <w:noProof/>
      </w:rPr>
      <w:t>23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26B6D">
      <w:rPr>
        <w:b/>
        <w:bCs/>
        <w:noProof/>
      </w:rPr>
      <w:t>23</w:t>
    </w:r>
    <w:r>
      <w:rPr>
        <w:b/>
        <w:bCs/>
        <w:szCs w:val="24"/>
      </w:rPr>
      <w:fldChar w:fldCharType="end"/>
    </w:r>
    <w:r w:rsidRPr="00382508">
      <w:rPr>
        <w:sz w:val="20"/>
        <w:szCs w:val="20"/>
      </w:rPr>
      <w:t xml:space="preserve"> </w:t>
    </w:r>
    <w:r>
      <w:rPr>
        <w:sz w:val="20"/>
        <w:szCs w:val="20"/>
      </w:rPr>
      <w:tab/>
    </w:r>
    <w:r>
      <w:rPr>
        <w:sz w:val="20"/>
        <w:szCs w:val="20"/>
      </w:rPr>
      <w:tab/>
    </w:r>
    <w:r>
      <w:rPr>
        <w:sz w:val="20"/>
        <w:szCs w:val="20"/>
      </w:rPr>
      <w:tab/>
    </w:r>
    <w:r>
      <w:rPr>
        <w:sz w:val="20"/>
        <w:szCs w:val="20"/>
      </w:rPr>
      <w:tab/>
    </w:r>
    <w:r w:rsidR="00F55BE7">
      <w:rPr>
        <w:sz w:val="20"/>
        <w:szCs w:val="20"/>
      </w:rPr>
      <w:t>NHSBSA Copyright 20</w:t>
    </w:r>
    <w:r w:rsidR="00D60D38">
      <w:rPr>
        <w:sz w:val="20"/>
        <w:szCs w:val="20"/>
      </w:rPr>
      <w:t>2</w:t>
    </w:r>
    <w:r w:rsidR="009803C4">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C5D4" w14:textId="26773BB0" w:rsidR="0003771F" w:rsidRPr="0003771F" w:rsidRDefault="001C494E" w:rsidP="001D3131">
    <w:pPr>
      <w:rPr>
        <w:sz w:val="20"/>
        <w:szCs w:val="20"/>
      </w:rPr>
    </w:pPr>
    <w:r>
      <w:t>V</w:t>
    </w:r>
    <w:r w:rsidR="00D60D38">
      <w:t>2</w:t>
    </w:r>
    <w:r>
      <w:t>.</w:t>
    </w:r>
    <w:r w:rsidR="0003771F">
      <w:t>2</w:t>
    </w:r>
    <w:r w:rsidR="00D60D38">
      <w:t>.0</w:t>
    </w:r>
    <w:r>
      <w:tab/>
    </w:r>
    <w:r>
      <w:tab/>
    </w:r>
    <w:r>
      <w:tab/>
    </w:r>
    <w:r>
      <w:tab/>
      <w:t xml:space="preserve">Page </w:t>
    </w:r>
    <w:r>
      <w:rPr>
        <w:b/>
        <w:bCs/>
        <w:szCs w:val="24"/>
      </w:rPr>
      <w:fldChar w:fldCharType="begin"/>
    </w:r>
    <w:r>
      <w:rPr>
        <w:b/>
        <w:bCs/>
      </w:rPr>
      <w:instrText xml:space="preserve"> PAGE </w:instrText>
    </w:r>
    <w:r>
      <w:rPr>
        <w:b/>
        <w:bCs/>
        <w:szCs w:val="24"/>
      </w:rPr>
      <w:fldChar w:fldCharType="separate"/>
    </w:r>
    <w:r w:rsidR="00D26B6D">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26B6D">
      <w:rPr>
        <w:b/>
        <w:bCs/>
        <w:noProof/>
      </w:rPr>
      <w:t>23</w:t>
    </w:r>
    <w:r>
      <w:rPr>
        <w:b/>
        <w:bCs/>
        <w:szCs w:val="24"/>
      </w:rPr>
      <w:fldChar w:fldCharType="end"/>
    </w:r>
    <w:r>
      <w:rPr>
        <w:b/>
        <w:bCs/>
        <w:szCs w:val="24"/>
      </w:rPr>
      <w:t xml:space="preserve"> </w:t>
    </w:r>
    <w:r>
      <w:rPr>
        <w:b/>
        <w:bCs/>
        <w:szCs w:val="24"/>
      </w:rPr>
      <w:tab/>
    </w:r>
    <w:r>
      <w:rPr>
        <w:b/>
        <w:bCs/>
        <w:szCs w:val="24"/>
      </w:rPr>
      <w:tab/>
    </w:r>
    <w:r>
      <w:rPr>
        <w:b/>
        <w:bCs/>
        <w:szCs w:val="24"/>
      </w:rPr>
      <w:tab/>
    </w:r>
    <w:r>
      <w:rPr>
        <w:b/>
        <w:bCs/>
        <w:szCs w:val="24"/>
      </w:rPr>
      <w:tab/>
    </w:r>
    <w:r w:rsidR="00F55BE7">
      <w:rPr>
        <w:sz w:val="20"/>
        <w:szCs w:val="20"/>
      </w:rPr>
      <w:t>NHSBSA Copyright 20</w:t>
    </w:r>
    <w:r w:rsidR="00D60D38">
      <w:rPr>
        <w:sz w:val="20"/>
        <w:szCs w:val="20"/>
      </w:rPr>
      <w:t>2</w:t>
    </w:r>
    <w:r w:rsidR="0003771F">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3B92" w14:textId="77777777" w:rsidR="00222649" w:rsidRDefault="00222649" w:rsidP="001D3131">
      <w:r>
        <w:separator/>
      </w:r>
    </w:p>
  </w:footnote>
  <w:footnote w:type="continuationSeparator" w:id="0">
    <w:p w14:paraId="0B42A31F" w14:textId="77777777" w:rsidR="00222649" w:rsidRDefault="00222649" w:rsidP="001D3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6121" w14:textId="1451F82F" w:rsidR="001C494E" w:rsidRDefault="00000000" w:rsidP="001D3131">
    <w:pPr>
      <w:pStyle w:val="Header"/>
    </w:pPr>
    <w:r>
      <w:rPr>
        <w:noProof/>
      </w:rPr>
      <w:pict w14:anchorId="451A5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margin-left:-56.7pt;margin-top:0;width:595.25pt;height:121.5pt;z-index:-1;visibility:visible;mso-wrap-edited:f" wrapcoords="-27 0 -27 21481 21600 21481 21600 0 -27 0">
          <v:imagedata r:id="rId1" o:title=""/>
          <w10:wrap type="tight"/>
        </v:shape>
      </w:pict>
    </w:r>
    <w:r w:rsidR="003B54E9" w:rsidRPr="003B54E9">
      <w:rPr>
        <w:noProof/>
      </w:rPr>
      <w:t xml:space="preserve"> </w:t>
    </w:r>
    <w:r>
      <w:rPr>
        <w:rFonts w:ascii="Helvetica" w:hAnsi="Helvetica" w:cs="Helvetica"/>
        <w:noProof/>
        <w:szCs w:val="24"/>
        <w:lang w:val="en-US"/>
      </w:rPr>
      <w:pict w14:anchorId="0E97236A">
        <v:shape id="_x0000_i1030" type="#_x0000_t75" style="width:117pt;height:65.4pt;visibility:visible" o:ole="">
          <v:imagedata r:id="rId2" o:title=""/>
        </v:shape>
      </w:pict>
    </w:r>
  </w:p>
  <w:p w14:paraId="48DE0741" w14:textId="77777777" w:rsidR="001C494E" w:rsidRDefault="001C494E" w:rsidP="00572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12EF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60EEB"/>
    <w:multiLevelType w:val="hybridMultilevel"/>
    <w:tmpl w:val="79EA9AB2"/>
    <w:lvl w:ilvl="0" w:tplc="45B6B0B4">
      <w:numFmt w:val="bullet"/>
      <w:lvlText w:val=""/>
      <w:lvlJc w:val="left"/>
      <w:pPr>
        <w:ind w:left="720" w:hanging="360"/>
      </w:pPr>
      <w:rPr>
        <w:rFonts w:ascii="Symbol" w:eastAsia="Apto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2297D"/>
    <w:multiLevelType w:val="hybridMultilevel"/>
    <w:tmpl w:val="203AD1A6"/>
    <w:lvl w:ilvl="0" w:tplc="7A1882FA">
      <w:start w:val="1"/>
      <w:numFmt w:val="bullet"/>
      <w:lvlText w:val="•"/>
      <w:lvlJc w:val="left"/>
      <w:pPr>
        <w:tabs>
          <w:tab w:val="num" w:pos="720"/>
        </w:tabs>
        <w:ind w:left="720" w:hanging="360"/>
      </w:pPr>
      <w:rPr>
        <w:rFonts w:ascii="Arial" w:hAnsi="Arial" w:hint="default"/>
      </w:rPr>
    </w:lvl>
    <w:lvl w:ilvl="1" w:tplc="307C658E">
      <w:numFmt w:val="none"/>
      <w:lvlText w:val=""/>
      <w:lvlJc w:val="left"/>
      <w:pPr>
        <w:tabs>
          <w:tab w:val="num" w:pos="360"/>
        </w:tabs>
      </w:pPr>
    </w:lvl>
    <w:lvl w:ilvl="2" w:tplc="93549EBA" w:tentative="1">
      <w:start w:val="1"/>
      <w:numFmt w:val="bullet"/>
      <w:lvlText w:val="•"/>
      <w:lvlJc w:val="left"/>
      <w:pPr>
        <w:tabs>
          <w:tab w:val="num" w:pos="2160"/>
        </w:tabs>
        <w:ind w:left="2160" w:hanging="360"/>
      </w:pPr>
      <w:rPr>
        <w:rFonts w:ascii="Arial" w:hAnsi="Arial" w:hint="default"/>
      </w:rPr>
    </w:lvl>
    <w:lvl w:ilvl="3" w:tplc="DFE86D8E" w:tentative="1">
      <w:start w:val="1"/>
      <w:numFmt w:val="bullet"/>
      <w:lvlText w:val="•"/>
      <w:lvlJc w:val="left"/>
      <w:pPr>
        <w:tabs>
          <w:tab w:val="num" w:pos="2880"/>
        </w:tabs>
        <w:ind w:left="2880" w:hanging="360"/>
      </w:pPr>
      <w:rPr>
        <w:rFonts w:ascii="Arial" w:hAnsi="Arial" w:hint="default"/>
      </w:rPr>
    </w:lvl>
    <w:lvl w:ilvl="4" w:tplc="4BF8DE62" w:tentative="1">
      <w:start w:val="1"/>
      <w:numFmt w:val="bullet"/>
      <w:lvlText w:val="•"/>
      <w:lvlJc w:val="left"/>
      <w:pPr>
        <w:tabs>
          <w:tab w:val="num" w:pos="3600"/>
        </w:tabs>
        <w:ind w:left="3600" w:hanging="360"/>
      </w:pPr>
      <w:rPr>
        <w:rFonts w:ascii="Arial" w:hAnsi="Arial" w:hint="default"/>
      </w:rPr>
    </w:lvl>
    <w:lvl w:ilvl="5" w:tplc="0A8A9C0E" w:tentative="1">
      <w:start w:val="1"/>
      <w:numFmt w:val="bullet"/>
      <w:lvlText w:val="•"/>
      <w:lvlJc w:val="left"/>
      <w:pPr>
        <w:tabs>
          <w:tab w:val="num" w:pos="4320"/>
        </w:tabs>
        <w:ind w:left="4320" w:hanging="360"/>
      </w:pPr>
      <w:rPr>
        <w:rFonts w:ascii="Arial" w:hAnsi="Arial" w:hint="default"/>
      </w:rPr>
    </w:lvl>
    <w:lvl w:ilvl="6" w:tplc="4EACA196" w:tentative="1">
      <w:start w:val="1"/>
      <w:numFmt w:val="bullet"/>
      <w:lvlText w:val="•"/>
      <w:lvlJc w:val="left"/>
      <w:pPr>
        <w:tabs>
          <w:tab w:val="num" w:pos="5040"/>
        </w:tabs>
        <w:ind w:left="5040" w:hanging="360"/>
      </w:pPr>
      <w:rPr>
        <w:rFonts w:ascii="Arial" w:hAnsi="Arial" w:hint="default"/>
      </w:rPr>
    </w:lvl>
    <w:lvl w:ilvl="7" w:tplc="9EB8A61C" w:tentative="1">
      <w:start w:val="1"/>
      <w:numFmt w:val="bullet"/>
      <w:lvlText w:val="•"/>
      <w:lvlJc w:val="left"/>
      <w:pPr>
        <w:tabs>
          <w:tab w:val="num" w:pos="5760"/>
        </w:tabs>
        <w:ind w:left="5760" w:hanging="360"/>
      </w:pPr>
      <w:rPr>
        <w:rFonts w:ascii="Arial" w:hAnsi="Arial" w:hint="default"/>
      </w:rPr>
    </w:lvl>
    <w:lvl w:ilvl="8" w:tplc="FAECFC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D520D9"/>
    <w:multiLevelType w:val="hybridMultilevel"/>
    <w:tmpl w:val="8AEC0D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1681C"/>
    <w:multiLevelType w:val="hybridMultilevel"/>
    <w:tmpl w:val="861EA2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35717"/>
    <w:multiLevelType w:val="hybridMultilevel"/>
    <w:tmpl w:val="BB30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F368A"/>
    <w:multiLevelType w:val="hybridMultilevel"/>
    <w:tmpl w:val="19788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E1308"/>
    <w:multiLevelType w:val="hybridMultilevel"/>
    <w:tmpl w:val="66BE09D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E461F7D"/>
    <w:multiLevelType w:val="hybridMultilevel"/>
    <w:tmpl w:val="58DC7522"/>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1AC00C2"/>
    <w:multiLevelType w:val="hybridMultilevel"/>
    <w:tmpl w:val="98AA1C9C"/>
    <w:lvl w:ilvl="0" w:tplc="BFBAC896">
      <w:start w:val="1"/>
      <w:numFmt w:val="decimal"/>
      <w:pStyle w:val="Heading1Appendix"/>
      <w:lvlText w:val="Appendix %1"/>
      <w:lvlJc w:val="left"/>
      <w:pPr>
        <w:ind w:left="815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8F5030"/>
    <w:multiLevelType w:val="hybridMultilevel"/>
    <w:tmpl w:val="EA4E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B54BF"/>
    <w:multiLevelType w:val="hybridMultilevel"/>
    <w:tmpl w:val="5168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F6F78"/>
    <w:multiLevelType w:val="hybridMultilevel"/>
    <w:tmpl w:val="3632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BE0341"/>
    <w:multiLevelType w:val="hybridMultilevel"/>
    <w:tmpl w:val="163A1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28561E"/>
    <w:multiLevelType w:val="hybridMultilevel"/>
    <w:tmpl w:val="FDB0EC3E"/>
    <w:lvl w:ilvl="0" w:tplc="BDA2728C">
      <w:start w:val="1"/>
      <w:numFmt w:val="lowerLetter"/>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5A4F5433"/>
    <w:multiLevelType w:val="hybridMultilevel"/>
    <w:tmpl w:val="0474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358C7"/>
    <w:multiLevelType w:val="hybridMultilevel"/>
    <w:tmpl w:val="3D2E7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5E1E3F"/>
    <w:multiLevelType w:val="hybridMultilevel"/>
    <w:tmpl w:val="32CC3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34E4F"/>
    <w:multiLevelType w:val="hybridMultilevel"/>
    <w:tmpl w:val="AD24BE9C"/>
    <w:lvl w:ilvl="0" w:tplc="071CFFCC">
      <w:start w:val="1"/>
      <w:numFmt w:val="bullet"/>
      <w:pStyle w:val="ListParaCompress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AB38D9"/>
    <w:multiLevelType w:val="hybridMultilevel"/>
    <w:tmpl w:val="4A004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EC67C3"/>
    <w:multiLevelType w:val="hybridMultilevel"/>
    <w:tmpl w:val="C3808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1F628A6"/>
    <w:multiLevelType w:val="hybridMultilevel"/>
    <w:tmpl w:val="6F2A1A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C74101"/>
    <w:multiLevelType w:val="hybridMultilevel"/>
    <w:tmpl w:val="CDD4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988881">
    <w:abstractNumId w:val="12"/>
  </w:num>
  <w:num w:numId="2" w16cid:durableId="1375152927">
    <w:abstractNumId w:val="0"/>
  </w:num>
  <w:num w:numId="3" w16cid:durableId="226258405">
    <w:abstractNumId w:val="3"/>
  </w:num>
  <w:num w:numId="4" w16cid:durableId="736241064">
    <w:abstractNumId w:val="11"/>
  </w:num>
  <w:num w:numId="5" w16cid:durableId="1655990014">
    <w:abstractNumId w:val="1"/>
  </w:num>
  <w:num w:numId="6" w16cid:durableId="2064330797">
    <w:abstractNumId w:val="18"/>
  </w:num>
  <w:num w:numId="7" w16cid:durableId="1525749516">
    <w:abstractNumId w:val="19"/>
  </w:num>
  <w:num w:numId="8" w16cid:durableId="1544172825">
    <w:abstractNumId w:val="23"/>
  </w:num>
  <w:num w:numId="9" w16cid:durableId="789402425">
    <w:abstractNumId w:val="14"/>
  </w:num>
  <w:num w:numId="10" w16cid:durableId="101072844">
    <w:abstractNumId w:val="7"/>
  </w:num>
  <w:num w:numId="11" w16cid:durableId="609707044">
    <w:abstractNumId w:val="21"/>
  </w:num>
  <w:num w:numId="12" w16cid:durableId="335159937">
    <w:abstractNumId w:val="6"/>
  </w:num>
  <w:num w:numId="13" w16cid:durableId="1623800009">
    <w:abstractNumId w:val="13"/>
  </w:num>
  <w:num w:numId="14" w16cid:durableId="643197934">
    <w:abstractNumId w:val="16"/>
  </w:num>
  <w:num w:numId="15" w16cid:durableId="1562212903">
    <w:abstractNumId w:val="4"/>
  </w:num>
  <w:num w:numId="16" w16cid:durableId="89201569">
    <w:abstractNumId w:val="5"/>
  </w:num>
  <w:num w:numId="17" w16cid:durableId="713818664">
    <w:abstractNumId w:val="9"/>
    <w:lvlOverride w:ilvl="0">
      <w:startOverride w:val="1"/>
    </w:lvlOverride>
    <w:lvlOverride w:ilvl="1"/>
    <w:lvlOverride w:ilvl="2"/>
    <w:lvlOverride w:ilvl="3"/>
    <w:lvlOverride w:ilvl="4"/>
    <w:lvlOverride w:ilvl="5"/>
    <w:lvlOverride w:ilvl="6"/>
    <w:lvlOverride w:ilvl="7"/>
    <w:lvlOverride w:ilvl="8"/>
  </w:num>
  <w:num w:numId="18" w16cid:durableId="1422528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40083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4816198">
    <w:abstractNumId w:val="22"/>
  </w:num>
  <w:num w:numId="21" w16cid:durableId="1078594831">
    <w:abstractNumId w:val="17"/>
  </w:num>
  <w:num w:numId="22" w16cid:durableId="804657818">
    <w:abstractNumId w:val="2"/>
  </w:num>
  <w:num w:numId="23" w16cid:durableId="1086271185">
    <w:abstractNumId w:val="20"/>
  </w:num>
  <w:num w:numId="24" w16cid:durableId="983461801">
    <w:abstractNumId w:val="10"/>
  </w:num>
  <w:num w:numId="25" w16cid:durableId="1699548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2984"/>
    <w:rsid w:val="00000491"/>
    <w:rsid w:val="00000C87"/>
    <w:rsid w:val="00003630"/>
    <w:rsid w:val="000054F5"/>
    <w:rsid w:val="00015B6D"/>
    <w:rsid w:val="0001604D"/>
    <w:rsid w:val="00017956"/>
    <w:rsid w:val="00017C08"/>
    <w:rsid w:val="00020033"/>
    <w:rsid w:val="000225AA"/>
    <w:rsid w:val="000351A4"/>
    <w:rsid w:val="00036AB8"/>
    <w:rsid w:val="0003771F"/>
    <w:rsid w:val="00040A19"/>
    <w:rsid w:val="000414BE"/>
    <w:rsid w:val="000431C9"/>
    <w:rsid w:val="00043D9C"/>
    <w:rsid w:val="00046E1C"/>
    <w:rsid w:val="0005350C"/>
    <w:rsid w:val="00057649"/>
    <w:rsid w:val="00057C6E"/>
    <w:rsid w:val="000630F0"/>
    <w:rsid w:val="00071D61"/>
    <w:rsid w:val="00072A76"/>
    <w:rsid w:val="0007597E"/>
    <w:rsid w:val="000826DF"/>
    <w:rsid w:val="0008321A"/>
    <w:rsid w:val="0009073D"/>
    <w:rsid w:val="00095790"/>
    <w:rsid w:val="00095EDB"/>
    <w:rsid w:val="000A2590"/>
    <w:rsid w:val="000A3C87"/>
    <w:rsid w:val="000A4229"/>
    <w:rsid w:val="000A428A"/>
    <w:rsid w:val="000A6ADA"/>
    <w:rsid w:val="000B0919"/>
    <w:rsid w:val="000B1E27"/>
    <w:rsid w:val="000B5F62"/>
    <w:rsid w:val="000B7C62"/>
    <w:rsid w:val="000C0AFC"/>
    <w:rsid w:val="000C2037"/>
    <w:rsid w:val="000C78A8"/>
    <w:rsid w:val="000D1053"/>
    <w:rsid w:val="000D2033"/>
    <w:rsid w:val="000D422A"/>
    <w:rsid w:val="000D4DB5"/>
    <w:rsid w:val="000E03F7"/>
    <w:rsid w:val="000E1505"/>
    <w:rsid w:val="000E306C"/>
    <w:rsid w:val="000F00BF"/>
    <w:rsid w:val="000F14F4"/>
    <w:rsid w:val="000F2410"/>
    <w:rsid w:val="000F28A8"/>
    <w:rsid w:val="000F6BF8"/>
    <w:rsid w:val="00100DAF"/>
    <w:rsid w:val="0010322A"/>
    <w:rsid w:val="00104DC9"/>
    <w:rsid w:val="001067C4"/>
    <w:rsid w:val="001067D3"/>
    <w:rsid w:val="00107415"/>
    <w:rsid w:val="0011061F"/>
    <w:rsid w:val="001138D7"/>
    <w:rsid w:val="00113CFB"/>
    <w:rsid w:val="00114984"/>
    <w:rsid w:val="00120B9B"/>
    <w:rsid w:val="0012208A"/>
    <w:rsid w:val="00124700"/>
    <w:rsid w:val="001250D4"/>
    <w:rsid w:val="001319AF"/>
    <w:rsid w:val="00137421"/>
    <w:rsid w:val="00140367"/>
    <w:rsid w:val="00143A50"/>
    <w:rsid w:val="0014638F"/>
    <w:rsid w:val="00146D00"/>
    <w:rsid w:val="00151A6F"/>
    <w:rsid w:val="00157749"/>
    <w:rsid w:val="001605AD"/>
    <w:rsid w:val="0016157E"/>
    <w:rsid w:val="00161CE1"/>
    <w:rsid w:val="00162CD3"/>
    <w:rsid w:val="0016469C"/>
    <w:rsid w:val="00164703"/>
    <w:rsid w:val="001648AB"/>
    <w:rsid w:val="00165382"/>
    <w:rsid w:val="00166180"/>
    <w:rsid w:val="00171452"/>
    <w:rsid w:val="00172BA1"/>
    <w:rsid w:val="001776D6"/>
    <w:rsid w:val="00180ED9"/>
    <w:rsid w:val="00181906"/>
    <w:rsid w:val="0018316F"/>
    <w:rsid w:val="00184AE3"/>
    <w:rsid w:val="00184EB6"/>
    <w:rsid w:val="001874D9"/>
    <w:rsid w:val="00191CC3"/>
    <w:rsid w:val="00193A73"/>
    <w:rsid w:val="001974D8"/>
    <w:rsid w:val="0019786B"/>
    <w:rsid w:val="001A187D"/>
    <w:rsid w:val="001A2A10"/>
    <w:rsid w:val="001A3BB3"/>
    <w:rsid w:val="001B176A"/>
    <w:rsid w:val="001B354E"/>
    <w:rsid w:val="001B5276"/>
    <w:rsid w:val="001B6EC3"/>
    <w:rsid w:val="001B74BA"/>
    <w:rsid w:val="001C2393"/>
    <w:rsid w:val="001C377F"/>
    <w:rsid w:val="001C3EBB"/>
    <w:rsid w:val="001C451D"/>
    <w:rsid w:val="001C494E"/>
    <w:rsid w:val="001C4FA9"/>
    <w:rsid w:val="001C53C3"/>
    <w:rsid w:val="001C6E17"/>
    <w:rsid w:val="001D3131"/>
    <w:rsid w:val="001D666F"/>
    <w:rsid w:val="001E2696"/>
    <w:rsid w:val="001E4A72"/>
    <w:rsid w:val="001E58DE"/>
    <w:rsid w:val="001E58FE"/>
    <w:rsid w:val="001E6E31"/>
    <w:rsid w:val="001F0AC2"/>
    <w:rsid w:val="001F1095"/>
    <w:rsid w:val="001F2A14"/>
    <w:rsid w:val="001F4367"/>
    <w:rsid w:val="001F43A3"/>
    <w:rsid w:val="001F52F3"/>
    <w:rsid w:val="001F66DD"/>
    <w:rsid w:val="001F795A"/>
    <w:rsid w:val="001F7F3C"/>
    <w:rsid w:val="00200848"/>
    <w:rsid w:val="002022A8"/>
    <w:rsid w:val="0020242C"/>
    <w:rsid w:val="00206095"/>
    <w:rsid w:val="0020700E"/>
    <w:rsid w:val="00211D9F"/>
    <w:rsid w:val="00214084"/>
    <w:rsid w:val="00215AAB"/>
    <w:rsid w:val="002177BD"/>
    <w:rsid w:val="00222649"/>
    <w:rsid w:val="00227156"/>
    <w:rsid w:val="0023101E"/>
    <w:rsid w:val="002322FE"/>
    <w:rsid w:val="002401C8"/>
    <w:rsid w:val="00241D45"/>
    <w:rsid w:val="0024488B"/>
    <w:rsid w:val="0024611F"/>
    <w:rsid w:val="00251F07"/>
    <w:rsid w:val="00252C14"/>
    <w:rsid w:val="002547CC"/>
    <w:rsid w:val="002549F0"/>
    <w:rsid w:val="00256103"/>
    <w:rsid w:val="00256839"/>
    <w:rsid w:val="00264345"/>
    <w:rsid w:val="002665A3"/>
    <w:rsid w:val="002673B3"/>
    <w:rsid w:val="00270E76"/>
    <w:rsid w:val="00272242"/>
    <w:rsid w:val="00272817"/>
    <w:rsid w:val="00272C68"/>
    <w:rsid w:val="00273288"/>
    <w:rsid w:val="002739E1"/>
    <w:rsid w:val="00276F1E"/>
    <w:rsid w:val="00290A64"/>
    <w:rsid w:val="002959BF"/>
    <w:rsid w:val="00297A2B"/>
    <w:rsid w:val="002A2606"/>
    <w:rsid w:val="002B2806"/>
    <w:rsid w:val="002B2F2D"/>
    <w:rsid w:val="002B500E"/>
    <w:rsid w:val="002B5D2E"/>
    <w:rsid w:val="002B7232"/>
    <w:rsid w:val="002C1694"/>
    <w:rsid w:val="002C1C45"/>
    <w:rsid w:val="002C26F6"/>
    <w:rsid w:val="002C2F02"/>
    <w:rsid w:val="002D2B88"/>
    <w:rsid w:val="002D2D31"/>
    <w:rsid w:val="002D35EB"/>
    <w:rsid w:val="002D3C9A"/>
    <w:rsid w:val="002E177B"/>
    <w:rsid w:val="002E5B97"/>
    <w:rsid w:val="002E73EE"/>
    <w:rsid w:val="002F195E"/>
    <w:rsid w:val="002F28C0"/>
    <w:rsid w:val="002F2C08"/>
    <w:rsid w:val="002F63D1"/>
    <w:rsid w:val="00302FC6"/>
    <w:rsid w:val="00304D7F"/>
    <w:rsid w:val="003070FA"/>
    <w:rsid w:val="00310887"/>
    <w:rsid w:val="00313D6A"/>
    <w:rsid w:val="00313DB8"/>
    <w:rsid w:val="0031776D"/>
    <w:rsid w:val="00321633"/>
    <w:rsid w:val="00322749"/>
    <w:rsid w:val="003255D2"/>
    <w:rsid w:val="0032749E"/>
    <w:rsid w:val="00333C50"/>
    <w:rsid w:val="003340C0"/>
    <w:rsid w:val="00334A3E"/>
    <w:rsid w:val="003371F3"/>
    <w:rsid w:val="00343C8D"/>
    <w:rsid w:val="0035066E"/>
    <w:rsid w:val="003540EC"/>
    <w:rsid w:val="00357C53"/>
    <w:rsid w:val="0036118A"/>
    <w:rsid w:val="00363B6A"/>
    <w:rsid w:val="00366D23"/>
    <w:rsid w:val="00370B1A"/>
    <w:rsid w:val="003743CB"/>
    <w:rsid w:val="003772C7"/>
    <w:rsid w:val="00377D17"/>
    <w:rsid w:val="003818A7"/>
    <w:rsid w:val="00382508"/>
    <w:rsid w:val="00382625"/>
    <w:rsid w:val="00382DA4"/>
    <w:rsid w:val="00383F7A"/>
    <w:rsid w:val="003841D2"/>
    <w:rsid w:val="00384691"/>
    <w:rsid w:val="0038699B"/>
    <w:rsid w:val="00386D7B"/>
    <w:rsid w:val="003942DF"/>
    <w:rsid w:val="00395A0B"/>
    <w:rsid w:val="00397AA3"/>
    <w:rsid w:val="003A2097"/>
    <w:rsid w:val="003A5E47"/>
    <w:rsid w:val="003B175D"/>
    <w:rsid w:val="003B36E1"/>
    <w:rsid w:val="003B54E9"/>
    <w:rsid w:val="003C10F0"/>
    <w:rsid w:val="003C2323"/>
    <w:rsid w:val="003C2F80"/>
    <w:rsid w:val="003C51C8"/>
    <w:rsid w:val="003C73FC"/>
    <w:rsid w:val="003D0B58"/>
    <w:rsid w:val="003D798D"/>
    <w:rsid w:val="003E1459"/>
    <w:rsid w:val="003E2211"/>
    <w:rsid w:val="003E3995"/>
    <w:rsid w:val="003E6EFA"/>
    <w:rsid w:val="003F01DA"/>
    <w:rsid w:val="003F1245"/>
    <w:rsid w:val="003F47E5"/>
    <w:rsid w:val="003F712B"/>
    <w:rsid w:val="003F7FEF"/>
    <w:rsid w:val="00403125"/>
    <w:rsid w:val="00406527"/>
    <w:rsid w:val="00406CDF"/>
    <w:rsid w:val="00407E4D"/>
    <w:rsid w:val="004117CD"/>
    <w:rsid w:val="00411D33"/>
    <w:rsid w:val="00412859"/>
    <w:rsid w:val="00416955"/>
    <w:rsid w:val="00424EE7"/>
    <w:rsid w:val="00426E2B"/>
    <w:rsid w:val="00431384"/>
    <w:rsid w:val="00432211"/>
    <w:rsid w:val="00432683"/>
    <w:rsid w:val="00433FC0"/>
    <w:rsid w:val="00434AB6"/>
    <w:rsid w:val="00435C85"/>
    <w:rsid w:val="00443FA0"/>
    <w:rsid w:val="00444A1D"/>
    <w:rsid w:val="00450245"/>
    <w:rsid w:val="00453B92"/>
    <w:rsid w:val="00455DAC"/>
    <w:rsid w:val="004570EC"/>
    <w:rsid w:val="004608B9"/>
    <w:rsid w:val="00460B48"/>
    <w:rsid w:val="00463CBD"/>
    <w:rsid w:val="004654AA"/>
    <w:rsid w:val="0046559F"/>
    <w:rsid w:val="00471133"/>
    <w:rsid w:val="004729E8"/>
    <w:rsid w:val="00472A15"/>
    <w:rsid w:val="00473A76"/>
    <w:rsid w:val="0047739B"/>
    <w:rsid w:val="0048046F"/>
    <w:rsid w:val="0048127D"/>
    <w:rsid w:val="00481FE3"/>
    <w:rsid w:val="00483E2A"/>
    <w:rsid w:val="00484A2F"/>
    <w:rsid w:val="00487424"/>
    <w:rsid w:val="00491522"/>
    <w:rsid w:val="00493E34"/>
    <w:rsid w:val="004A09B3"/>
    <w:rsid w:val="004A28A9"/>
    <w:rsid w:val="004A3506"/>
    <w:rsid w:val="004A360E"/>
    <w:rsid w:val="004C002F"/>
    <w:rsid w:val="004C11F0"/>
    <w:rsid w:val="004C39D8"/>
    <w:rsid w:val="004C4DC0"/>
    <w:rsid w:val="004C6820"/>
    <w:rsid w:val="004C6A53"/>
    <w:rsid w:val="004D09C6"/>
    <w:rsid w:val="004D0F1F"/>
    <w:rsid w:val="004D2040"/>
    <w:rsid w:val="004D3BED"/>
    <w:rsid w:val="004D3BF1"/>
    <w:rsid w:val="004E0391"/>
    <w:rsid w:val="004E3877"/>
    <w:rsid w:val="004E3E0C"/>
    <w:rsid w:val="004E75E2"/>
    <w:rsid w:val="004F047A"/>
    <w:rsid w:val="004F10DC"/>
    <w:rsid w:val="004F1CF6"/>
    <w:rsid w:val="004F2BCD"/>
    <w:rsid w:val="004F3DF4"/>
    <w:rsid w:val="004F4BEB"/>
    <w:rsid w:val="004F5ABB"/>
    <w:rsid w:val="004F63C9"/>
    <w:rsid w:val="00501248"/>
    <w:rsid w:val="00502BD2"/>
    <w:rsid w:val="005036E7"/>
    <w:rsid w:val="005062AE"/>
    <w:rsid w:val="00506AF8"/>
    <w:rsid w:val="00507008"/>
    <w:rsid w:val="005108BD"/>
    <w:rsid w:val="00510F2E"/>
    <w:rsid w:val="00514C5E"/>
    <w:rsid w:val="00516850"/>
    <w:rsid w:val="00516A7B"/>
    <w:rsid w:val="00517F63"/>
    <w:rsid w:val="00524CE3"/>
    <w:rsid w:val="0052604E"/>
    <w:rsid w:val="005265C9"/>
    <w:rsid w:val="005304D2"/>
    <w:rsid w:val="00532BBC"/>
    <w:rsid w:val="00535DC1"/>
    <w:rsid w:val="00536092"/>
    <w:rsid w:val="00536B53"/>
    <w:rsid w:val="005370E6"/>
    <w:rsid w:val="0054126E"/>
    <w:rsid w:val="005436DC"/>
    <w:rsid w:val="005530CE"/>
    <w:rsid w:val="0055333F"/>
    <w:rsid w:val="0055626D"/>
    <w:rsid w:val="00556877"/>
    <w:rsid w:val="005569D9"/>
    <w:rsid w:val="0055794A"/>
    <w:rsid w:val="00560761"/>
    <w:rsid w:val="00560DE6"/>
    <w:rsid w:val="00565805"/>
    <w:rsid w:val="0056586D"/>
    <w:rsid w:val="00572C7A"/>
    <w:rsid w:val="00573E8B"/>
    <w:rsid w:val="00575437"/>
    <w:rsid w:val="005762FF"/>
    <w:rsid w:val="005800FA"/>
    <w:rsid w:val="0058437A"/>
    <w:rsid w:val="00587A7B"/>
    <w:rsid w:val="00597875"/>
    <w:rsid w:val="005A3159"/>
    <w:rsid w:val="005A68B3"/>
    <w:rsid w:val="005A76FA"/>
    <w:rsid w:val="005A7980"/>
    <w:rsid w:val="005B0D3E"/>
    <w:rsid w:val="005B26FF"/>
    <w:rsid w:val="005B2882"/>
    <w:rsid w:val="005C0A38"/>
    <w:rsid w:val="005C1DCA"/>
    <w:rsid w:val="005C2F68"/>
    <w:rsid w:val="005C7751"/>
    <w:rsid w:val="005D0650"/>
    <w:rsid w:val="005D1F18"/>
    <w:rsid w:val="005D3F11"/>
    <w:rsid w:val="005D65FB"/>
    <w:rsid w:val="005D7BBB"/>
    <w:rsid w:val="005E03BF"/>
    <w:rsid w:val="005E736D"/>
    <w:rsid w:val="005F15BC"/>
    <w:rsid w:val="005F2908"/>
    <w:rsid w:val="005F2A21"/>
    <w:rsid w:val="005F379B"/>
    <w:rsid w:val="005F3FD0"/>
    <w:rsid w:val="005F4017"/>
    <w:rsid w:val="005F67EF"/>
    <w:rsid w:val="00600909"/>
    <w:rsid w:val="00600F56"/>
    <w:rsid w:val="00601590"/>
    <w:rsid w:val="00607646"/>
    <w:rsid w:val="006149B5"/>
    <w:rsid w:val="006172C8"/>
    <w:rsid w:val="00630A37"/>
    <w:rsid w:val="00630F92"/>
    <w:rsid w:val="00635DA0"/>
    <w:rsid w:val="00636854"/>
    <w:rsid w:val="0063706D"/>
    <w:rsid w:val="006445ED"/>
    <w:rsid w:val="00644B3F"/>
    <w:rsid w:val="00646393"/>
    <w:rsid w:val="00646B88"/>
    <w:rsid w:val="00647257"/>
    <w:rsid w:val="00653332"/>
    <w:rsid w:val="0065671B"/>
    <w:rsid w:val="00657DE1"/>
    <w:rsid w:val="00663E9F"/>
    <w:rsid w:val="006649FD"/>
    <w:rsid w:val="0066789A"/>
    <w:rsid w:val="00667E5F"/>
    <w:rsid w:val="0067054D"/>
    <w:rsid w:val="0067285F"/>
    <w:rsid w:val="00672984"/>
    <w:rsid w:val="00676914"/>
    <w:rsid w:val="00683D87"/>
    <w:rsid w:val="00685270"/>
    <w:rsid w:val="0069106B"/>
    <w:rsid w:val="0069555D"/>
    <w:rsid w:val="006A1474"/>
    <w:rsid w:val="006A23F1"/>
    <w:rsid w:val="006A4445"/>
    <w:rsid w:val="006B2873"/>
    <w:rsid w:val="006B326F"/>
    <w:rsid w:val="006B37DD"/>
    <w:rsid w:val="006B46FD"/>
    <w:rsid w:val="006B5A87"/>
    <w:rsid w:val="006C000F"/>
    <w:rsid w:val="006D1FD0"/>
    <w:rsid w:val="006D43C0"/>
    <w:rsid w:val="006D4B84"/>
    <w:rsid w:val="006E0F18"/>
    <w:rsid w:val="006E18C3"/>
    <w:rsid w:val="006E37A8"/>
    <w:rsid w:val="006E6A24"/>
    <w:rsid w:val="006F0081"/>
    <w:rsid w:val="006F07CB"/>
    <w:rsid w:val="006F3D2A"/>
    <w:rsid w:val="006F756D"/>
    <w:rsid w:val="007008B7"/>
    <w:rsid w:val="0070674E"/>
    <w:rsid w:val="007069DE"/>
    <w:rsid w:val="00707E65"/>
    <w:rsid w:val="0071650B"/>
    <w:rsid w:val="00722D51"/>
    <w:rsid w:val="00723515"/>
    <w:rsid w:val="00723CCB"/>
    <w:rsid w:val="00723DAB"/>
    <w:rsid w:val="0072579F"/>
    <w:rsid w:val="00727E57"/>
    <w:rsid w:val="00730F54"/>
    <w:rsid w:val="00731D49"/>
    <w:rsid w:val="0073205B"/>
    <w:rsid w:val="007345A0"/>
    <w:rsid w:val="00740047"/>
    <w:rsid w:val="00742585"/>
    <w:rsid w:val="00746089"/>
    <w:rsid w:val="00746EEE"/>
    <w:rsid w:val="0076332B"/>
    <w:rsid w:val="00766480"/>
    <w:rsid w:val="0077164D"/>
    <w:rsid w:val="007762C6"/>
    <w:rsid w:val="007847D7"/>
    <w:rsid w:val="00786690"/>
    <w:rsid w:val="00795D84"/>
    <w:rsid w:val="007A6B58"/>
    <w:rsid w:val="007B30C7"/>
    <w:rsid w:val="007B4825"/>
    <w:rsid w:val="007C0CAD"/>
    <w:rsid w:val="007C24E0"/>
    <w:rsid w:val="007C49C3"/>
    <w:rsid w:val="007C5AA5"/>
    <w:rsid w:val="007D0AF5"/>
    <w:rsid w:val="007D1697"/>
    <w:rsid w:val="007D1FCA"/>
    <w:rsid w:val="007D6AE9"/>
    <w:rsid w:val="007E084B"/>
    <w:rsid w:val="007F39CD"/>
    <w:rsid w:val="007F55EC"/>
    <w:rsid w:val="00800FFA"/>
    <w:rsid w:val="0080346F"/>
    <w:rsid w:val="00803EFD"/>
    <w:rsid w:val="00806439"/>
    <w:rsid w:val="00814310"/>
    <w:rsid w:val="00815B0F"/>
    <w:rsid w:val="008172BF"/>
    <w:rsid w:val="00817ADB"/>
    <w:rsid w:val="008244F9"/>
    <w:rsid w:val="008262E4"/>
    <w:rsid w:val="00827E0B"/>
    <w:rsid w:val="00837B1F"/>
    <w:rsid w:val="008401A9"/>
    <w:rsid w:val="00841115"/>
    <w:rsid w:val="00844506"/>
    <w:rsid w:val="008564D6"/>
    <w:rsid w:val="00861196"/>
    <w:rsid w:val="00865C9F"/>
    <w:rsid w:val="00866B74"/>
    <w:rsid w:val="00867707"/>
    <w:rsid w:val="00870A32"/>
    <w:rsid w:val="0087352E"/>
    <w:rsid w:val="0087406C"/>
    <w:rsid w:val="00874B4E"/>
    <w:rsid w:val="008774E4"/>
    <w:rsid w:val="00880C7A"/>
    <w:rsid w:val="00881330"/>
    <w:rsid w:val="008834B1"/>
    <w:rsid w:val="008844D5"/>
    <w:rsid w:val="0089183F"/>
    <w:rsid w:val="00894028"/>
    <w:rsid w:val="008A139B"/>
    <w:rsid w:val="008B01C3"/>
    <w:rsid w:val="008B02FE"/>
    <w:rsid w:val="008B1831"/>
    <w:rsid w:val="008B4FC5"/>
    <w:rsid w:val="008B6DCF"/>
    <w:rsid w:val="008B79E3"/>
    <w:rsid w:val="008C0AA6"/>
    <w:rsid w:val="008C0D1F"/>
    <w:rsid w:val="008C4489"/>
    <w:rsid w:val="008C6947"/>
    <w:rsid w:val="008D1CAE"/>
    <w:rsid w:val="008D2E7D"/>
    <w:rsid w:val="008D2E94"/>
    <w:rsid w:val="008D42EC"/>
    <w:rsid w:val="008D5BC2"/>
    <w:rsid w:val="008D5FA1"/>
    <w:rsid w:val="008E0282"/>
    <w:rsid w:val="008E14C3"/>
    <w:rsid w:val="008E2926"/>
    <w:rsid w:val="008E71E7"/>
    <w:rsid w:val="008E7841"/>
    <w:rsid w:val="008E7A16"/>
    <w:rsid w:val="008F26BB"/>
    <w:rsid w:val="008F5F7F"/>
    <w:rsid w:val="00901981"/>
    <w:rsid w:val="00911497"/>
    <w:rsid w:val="00913724"/>
    <w:rsid w:val="00914393"/>
    <w:rsid w:val="009200E6"/>
    <w:rsid w:val="00927797"/>
    <w:rsid w:val="00930660"/>
    <w:rsid w:val="00933C0D"/>
    <w:rsid w:val="00942BBD"/>
    <w:rsid w:val="0094371D"/>
    <w:rsid w:val="009437ED"/>
    <w:rsid w:val="00952A80"/>
    <w:rsid w:val="00952A82"/>
    <w:rsid w:val="00953688"/>
    <w:rsid w:val="00953732"/>
    <w:rsid w:val="00953DB4"/>
    <w:rsid w:val="00954921"/>
    <w:rsid w:val="00955279"/>
    <w:rsid w:val="00955BDB"/>
    <w:rsid w:val="00955CC1"/>
    <w:rsid w:val="00960075"/>
    <w:rsid w:val="009614C1"/>
    <w:rsid w:val="009633C7"/>
    <w:rsid w:val="00972088"/>
    <w:rsid w:val="00973414"/>
    <w:rsid w:val="00973D8C"/>
    <w:rsid w:val="00974EE3"/>
    <w:rsid w:val="009779F7"/>
    <w:rsid w:val="009803C4"/>
    <w:rsid w:val="009804A5"/>
    <w:rsid w:val="00983B0C"/>
    <w:rsid w:val="00983C72"/>
    <w:rsid w:val="00984AE0"/>
    <w:rsid w:val="009854D2"/>
    <w:rsid w:val="00990F03"/>
    <w:rsid w:val="009924F7"/>
    <w:rsid w:val="00995439"/>
    <w:rsid w:val="009960A0"/>
    <w:rsid w:val="009A0116"/>
    <w:rsid w:val="009A01E8"/>
    <w:rsid w:val="009A0E80"/>
    <w:rsid w:val="009A0EA7"/>
    <w:rsid w:val="009A154B"/>
    <w:rsid w:val="009A17E6"/>
    <w:rsid w:val="009A2E49"/>
    <w:rsid w:val="009A4301"/>
    <w:rsid w:val="009B56C7"/>
    <w:rsid w:val="009C0562"/>
    <w:rsid w:val="009C16E1"/>
    <w:rsid w:val="009D025F"/>
    <w:rsid w:val="009D2440"/>
    <w:rsid w:val="009D322E"/>
    <w:rsid w:val="009D3B3B"/>
    <w:rsid w:val="009D40DA"/>
    <w:rsid w:val="009D44F4"/>
    <w:rsid w:val="009D5A95"/>
    <w:rsid w:val="009D665B"/>
    <w:rsid w:val="009E03DA"/>
    <w:rsid w:val="009E3C83"/>
    <w:rsid w:val="009E6156"/>
    <w:rsid w:val="009E7037"/>
    <w:rsid w:val="009F0D7B"/>
    <w:rsid w:val="009F2923"/>
    <w:rsid w:val="009F484B"/>
    <w:rsid w:val="00A03102"/>
    <w:rsid w:val="00A0354D"/>
    <w:rsid w:val="00A04BE8"/>
    <w:rsid w:val="00A10E12"/>
    <w:rsid w:val="00A143A4"/>
    <w:rsid w:val="00A209A4"/>
    <w:rsid w:val="00A24D93"/>
    <w:rsid w:val="00A25267"/>
    <w:rsid w:val="00A25E4E"/>
    <w:rsid w:val="00A26E7E"/>
    <w:rsid w:val="00A30ACD"/>
    <w:rsid w:val="00A352D9"/>
    <w:rsid w:val="00A40A5A"/>
    <w:rsid w:val="00A427BB"/>
    <w:rsid w:val="00A50121"/>
    <w:rsid w:val="00A54DA2"/>
    <w:rsid w:val="00A5627A"/>
    <w:rsid w:val="00A608EC"/>
    <w:rsid w:val="00A61837"/>
    <w:rsid w:val="00A61BC4"/>
    <w:rsid w:val="00A63581"/>
    <w:rsid w:val="00A66D1B"/>
    <w:rsid w:val="00A67D30"/>
    <w:rsid w:val="00A732DA"/>
    <w:rsid w:val="00A755A7"/>
    <w:rsid w:val="00A82587"/>
    <w:rsid w:val="00A83834"/>
    <w:rsid w:val="00A855E4"/>
    <w:rsid w:val="00A85C22"/>
    <w:rsid w:val="00A90B6D"/>
    <w:rsid w:val="00A92E34"/>
    <w:rsid w:val="00A96BA6"/>
    <w:rsid w:val="00A974F8"/>
    <w:rsid w:val="00AA08BE"/>
    <w:rsid w:val="00AA12BF"/>
    <w:rsid w:val="00AA278D"/>
    <w:rsid w:val="00AA714C"/>
    <w:rsid w:val="00AA754C"/>
    <w:rsid w:val="00AA7D07"/>
    <w:rsid w:val="00AB004B"/>
    <w:rsid w:val="00AB16BB"/>
    <w:rsid w:val="00AB21C5"/>
    <w:rsid w:val="00AB3EC3"/>
    <w:rsid w:val="00AB7849"/>
    <w:rsid w:val="00AC0555"/>
    <w:rsid w:val="00AC2275"/>
    <w:rsid w:val="00AC28F0"/>
    <w:rsid w:val="00AC48CC"/>
    <w:rsid w:val="00AC562E"/>
    <w:rsid w:val="00AC6ACB"/>
    <w:rsid w:val="00AD3D69"/>
    <w:rsid w:val="00AD7B94"/>
    <w:rsid w:val="00AE2E15"/>
    <w:rsid w:val="00AE60F0"/>
    <w:rsid w:val="00AF10A4"/>
    <w:rsid w:val="00AF4973"/>
    <w:rsid w:val="00AF5810"/>
    <w:rsid w:val="00B004ED"/>
    <w:rsid w:val="00B06889"/>
    <w:rsid w:val="00B15F7A"/>
    <w:rsid w:val="00B20B29"/>
    <w:rsid w:val="00B2165E"/>
    <w:rsid w:val="00B218CE"/>
    <w:rsid w:val="00B227A9"/>
    <w:rsid w:val="00B274DF"/>
    <w:rsid w:val="00B359CD"/>
    <w:rsid w:val="00B533BF"/>
    <w:rsid w:val="00B61D58"/>
    <w:rsid w:val="00B62E12"/>
    <w:rsid w:val="00B6452B"/>
    <w:rsid w:val="00B746D1"/>
    <w:rsid w:val="00B7655B"/>
    <w:rsid w:val="00B76A55"/>
    <w:rsid w:val="00B80197"/>
    <w:rsid w:val="00B80606"/>
    <w:rsid w:val="00B82121"/>
    <w:rsid w:val="00B9255F"/>
    <w:rsid w:val="00B95594"/>
    <w:rsid w:val="00B9745F"/>
    <w:rsid w:val="00BA0B63"/>
    <w:rsid w:val="00BA148C"/>
    <w:rsid w:val="00BA26D5"/>
    <w:rsid w:val="00BA3D5A"/>
    <w:rsid w:val="00BA5155"/>
    <w:rsid w:val="00BA5ABB"/>
    <w:rsid w:val="00BA7E2A"/>
    <w:rsid w:val="00BB169C"/>
    <w:rsid w:val="00BB267B"/>
    <w:rsid w:val="00BB3744"/>
    <w:rsid w:val="00BC760F"/>
    <w:rsid w:val="00BD222D"/>
    <w:rsid w:val="00BD532A"/>
    <w:rsid w:val="00BD7404"/>
    <w:rsid w:val="00BE2E6E"/>
    <w:rsid w:val="00BE3ACD"/>
    <w:rsid w:val="00BE6A75"/>
    <w:rsid w:val="00BF1A26"/>
    <w:rsid w:val="00BF6DC1"/>
    <w:rsid w:val="00C02A13"/>
    <w:rsid w:val="00C04A5D"/>
    <w:rsid w:val="00C126D9"/>
    <w:rsid w:val="00C13411"/>
    <w:rsid w:val="00C157EB"/>
    <w:rsid w:val="00C16CC3"/>
    <w:rsid w:val="00C225E9"/>
    <w:rsid w:val="00C265D5"/>
    <w:rsid w:val="00C32472"/>
    <w:rsid w:val="00C32CDF"/>
    <w:rsid w:val="00C33864"/>
    <w:rsid w:val="00C379C0"/>
    <w:rsid w:val="00C40395"/>
    <w:rsid w:val="00C41F65"/>
    <w:rsid w:val="00C53C4B"/>
    <w:rsid w:val="00C54451"/>
    <w:rsid w:val="00C5471C"/>
    <w:rsid w:val="00C552E7"/>
    <w:rsid w:val="00C61192"/>
    <w:rsid w:val="00C64F15"/>
    <w:rsid w:val="00C656CC"/>
    <w:rsid w:val="00C726A3"/>
    <w:rsid w:val="00C726DB"/>
    <w:rsid w:val="00C750FC"/>
    <w:rsid w:val="00C77787"/>
    <w:rsid w:val="00C7778C"/>
    <w:rsid w:val="00C77F0D"/>
    <w:rsid w:val="00C823E6"/>
    <w:rsid w:val="00C84BA3"/>
    <w:rsid w:val="00C8636D"/>
    <w:rsid w:val="00C87894"/>
    <w:rsid w:val="00C91672"/>
    <w:rsid w:val="00C9175E"/>
    <w:rsid w:val="00C93395"/>
    <w:rsid w:val="00C93D3D"/>
    <w:rsid w:val="00C96399"/>
    <w:rsid w:val="00CA1BFF"/>
    <w:rsid w:val="00CA2B6E"/>
    <w:rsid w:val="00CA56AD"/>
    <w:rsid w:val="00CB5DC4"/>
    <w:rsid w:val="00CB609B"/>
    <w:rsid w:val="00CB6465"/>
    <w:rsid w:val="00CC00C9"/>
    <w:rsid w:val="00CC0BC6"/>
    <w:rsid w:val="00CC1677"/>
    <w:rsid w:val="00CC1EA9"/>
    <w:rsid w:val="00CC3615"/>
    <w:rsid w:val="00CC478E"/>
    <w:rsid w:val="00CC5F20"/>
    <w:rsid w:val="00CD0113"/>
    <w:rsid w:val="00CD29BA"/>
    <w:rsid w:val="00CD399C"/>
    <w:rsid w:val="00CD4274"/>
    <w:rsid w:val="00CD53EF"/>
    <w:rsid w:val="00CD58DC"/>
    <w:rsid w:val="00CE472A"/>
    <w:rsid w:val="00CF1768"/>
    <w:rsid w:val="00CF3977"/>
    <w:rsid w:val="00CF4DB1"/>
    <w:rsid w:val="00CF65EB"/>
    <w:rsid w:val="00CF7E8E"/>
    <w:rsid w:val="00D0010A"/>
    <w:rsid w:val="00D03A86"/>
    <w:rsid w:val="00D0434E"/>
    <w:rsid w:val="00D047A7"/>
    <w:rsid w:val="00D05C50"/>
    <w:rsid w:val="00D07E75"/>
    <w:rsid w:val="00D1496D"/>
    <w:rsid w:val="00D15B97"/>
    <w:rsid w:val="00D16106"/>
    <w:rsid w:val="00D2252D"/>
    <w:rsid w:val="00D2457D"/>
    <w:rsid w:val="00D25401"/>
    <w:rsid w:val="00D262E4"/>
    <w:rsid w:val="00D26B6D"/>
    <w:rsid w:val="00D271A1"/>
    <w:rsid w:val="00D273D4"/>
    <w:rsid w:val="00D31A2E"/>
    <w:rsid w:val="00D31EC0"/>
    <w:rsid w:val="00D34CC0"/>
    <w:rsid w:val="00D3522D"/>
    <w:rsid w:val="00D35B88"/>
    <w:rsid w:val="00D400A3"/>
    <w:rsid w:val="00D404FE"/>
    <w:rsid w:val="00D40DB0"/>
    <w:rsid w:val="00D45138"/>
    <w:rsid w:val="00D465B8"/>
    <w:rsid w:val="00D46876"/>
    <w:rsid w:val="00D471AA"/>
    <w:rsid w:val="00D50A38"/>
    <w:rsid w:val="00D54087"/>
    <w:rsid w:val="00D55E06"/>
    <w:rsid w:val="00D56F7D"/>
    <w:rsid w:val="00D57B2F"/>
    <w:rsid w:val="00D600D6"/>
    <w:rsid w:val="00D60A7F"/>
    <w:rsid w:val="00D60D38"/>
    <w:rsid w:val="00D62895"/>
    <w:rsid w:val="00D6553E"/>
    <w:rsid w:val="00D668B7"/>
    <w:rsid w:val="00D678F4"/>
    <w:rsid w:val="00D70F78"/>
    <w:rsid w:val="00D721D9"/>
    <w:rsid w:val="00D72371"/>
    <w:rsid w:val="00D74BCD"/>
    <w:rsid w:val="00D7681A"/>
    <w:rsid w:val="00D80D62"/>
    <w:rsid w:val="00D83CE4"/>
    <w:rsid w:val="00D841BD"/>
    <w:rsid w:val="00D87113"/>
    <w:rsid w:val="00D963F6"/>
    <w:rsid w:val="00D97941"/>
    <w:rsid w:val="00DA090D"/>
    <w:rsid w:val="00DA1F5A"/>
    <w:rsid w:val="00DA5BFD"/>
    <w:rsid w:val="00DA679C"/>
    <w:rsid w:val="00DB0B7F"/>
    <w:rsid w:val="00DB64BC"/>
    <w:rsid w:val="00DC0CA2"/>
    <w:rsid w:val="00DC173C"/>
    <w:rsid w:val="00DC3047"/>
    <w:rsid w:val="00DC5954"/>
    <w:rsid w:val="00DD2B34"/>
    <w:rsid w:val="00E037CC"/>
    <w:rsid w:val="00E051ED"/>
    <w:rsid w:val="00E077A7"/>
    <w:rsid w:val="00E10ABE"/>
    <w:rsid w:val="00E1149C"/>
    <w:rsid w:val="00E149A6"/>
    <w:rsid w:val="00E16303"/>
    <w:rsid w:val="00E1718A"/>
    <w:rsid w:val="00E201A2"/>
    <w:rsid w:val="00E20769"/>
    <w:rsid w:val="00E21305"/>
    <w:rsid w:val="00E300D0"/>
    <w:rsid w:val="00E4070B"/>
    <w:rsid w:val="00E4097A"/>
    <w:rsid w:val="00E443F5"/>
    <w:rsid w:val="00E47130"/>
    <w:rsid w:val="00E47352"/>
    <w:rsid w:val="00E477E2"/>
    <w:rsid w:val="00E51992"/>
    <w:rsid w:val="00E52A62"/>
    <w:rsid w:val="00E53975"/>
    <w:rsid w:val="00E6079C"/>
    <w:rsid w:val="00E617F7"/>
    <w:rsid w:val="00E647BD"/>
    <w:rsid w:val="00E66E06"/>
    <w:rsid w:val="00E67DD3"/>
    <w:rsid w:val="00E7353C"/>
    <w:rsid w:val="00E7361D"/>
    <w:rsid w:val="00E74068"/>
    <w:rsid w:val="00E74A66"/>
    <w:rsid w:val="00E76F9B"/>
    <w:rsid w:val="00E908E2"/>
    <w:rsid w:val="00E91A20"/>
    <w:rsid w:val="00E937BA"/>
    <w:rsid w:val="00E94D5C"/>
    <w:rsid w:val="00E959BF"/>
    <w:rsid w:val="00EA3BBC"/>
    <w:rsid w:val="00EA3E9B"/>
    <w:rsid w:val="00EA6F21"/>
    <w:rsid w:val="00EB185D"/>
    <w:rsid w:val="00EB1CDA"/>
    <w:rsid w:val="00EB4BD7"/>
    <w:rsid w:val="00EC02F0"/>
    <w:rsid w:val="00EC0FCE"/>
    <w:rsid w:val="00ED197B"/>
    <w:rsid w:val="00ED47E7"/>
    <w:rsid w:val="00ED6EF6"/>
    <w:rsid w:val="00EE6059"/>
    <w:rsid w:val="00EE6524"/>
    <w:rsid w:val="00EE75CC"/>
    <w:rsid w:val="00EF02F1"/>
    <w:rsid w:val="00EF0F82"/>
    <w:rsid w:val="00EF3D55"/>
    <w:rsid w:val="00EF7453"/>
    <w:rsid w:val="00F024FF"/>
    <w:rsid w:val="00F0333B"/>
    <w:rsid w:val="00F041DF"/>
    <w:rsid w:val="00F07696"/>
    <w:rsid w:val="00F07B0E"/>
    <w:rsid w:val="00F10C87"/>
    <w:rsid w:val="00F137FC"/>
    <w:rsid w:val="00F1444E"/>
    <w:rsid w:val="00F15320"/>
    <w:rsid w:val="00F254BD"/>
    <w:rsid w:val="00F26571"/>
    <w:rsid w:val="00F3055C"/>
    <w:rsid w:val="00F3085E"/>
    <w:rsid w:val="00F37DE3"/>
    <w:rsid w:val="00F411A3"/>
    <w:rsid w:val="00F435C8"/>
    <w:rsid w:val="00F447C9"/>
    <w:rsid w:val="00F45B7B"/>
    <w:rsid w:val="00F479E1"/>
    <w:rsid w:val="00F515D4"/>
    <w:rsid w:val="00F53CBE"/>
    <w:rsid w:val="00F54B4D"/>
    <w:rsid w:val="00F54C2C"/>
    <w:rsid w:val="00F55BE7"/>
    <w:rsid w:val="00F569A7"/>
    <w:rsid w:val="00F62420"/>
    <w:rsid w:val="00F63787"/>
    <w:rsid w:val="00F64611"/>
    <w:rsid w:val="00F651EA"/>
    <w:rsid w:val="00F655BE"/>
    <w:rsid w:val="00F658AF"/>
    <w:rsid w:val="00F72C5B"/>
    <w:rsid w:val="00F7695B"/>
    <w:rsid w:val="00F76BB9"/>
    <w:rsid w:val="00F81409"/>
    <w:rsid w:val="00F81476"/>
    <w:rsid w:val="00F82510"/>
    <w:rsid w:val="00F83576"/>
    <w:rsid w:val="00F838DB"/>
    <w:rsid w:val="00F83E9C"/>
    <w:rsid w:val="00F90BC4"/>
    <w:rsid w:val="00F9716D"/>
    <w:rsid w:val="00FA03F7"/>
    <w:rsid w:val="00FA0BBD"/>
    <w:rsid w:val="00FA0C0C"/>
    <w:rsid w:val="00FA35EA"/>
    <w:rsid w:val="00FA4E37"/>
    <w:rsid w:val="00FA50AA"/>
    <w:rsid w:val="00FA5D25"/>
    <w:rsid w:val="00FA670F"/>
    <w:rsid w:val="00FA6F12"/>
    <w:rsid w:val="00FA7133"/>
    <w:rsid w:val="00FA72BD"/>
    <w:rsid w:val="00FB0839"/>
    <w:rsid w:val="00FB28B6"/>
    <w:rsid w:val="00FB4161"/>
    <w:rsid w:val="00FC4B54"/>
    <w:rsid w:val="00FC7947"/>
    <w:rsid w:val="00FD1B15"/>
    <w:rsid w:val="00FD71B9"/>
    <w:rsid w:val="00FE1541"/>
    <w:rsid w:val="00FE49C2"/>
    <w:rsid w:val="00FE4FB8"/>
    <w:rsid w:val="00FE5BEF"/>
    <w:rsid w:val="00FF014C"/>
    <w:rsid w:val="00FF3B59"/>
    <w:rsid w:val="00FF6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68DC6"/>
  <w15:chartTrackingRefBased/>
  <w15:docId w15:val="{2DCF7F9E-1552-4285-817F-2034D857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C7A"/>
    <w:pPr>
      <w:spacing w:after="200" w:line="276" w:lineRule="auto"/>
    </w:pPr>
    <w:rPr>
      <w:rFonts w:ascii="Arial" w:eastAsia="Times New Roman" w:hAnsi="Arial" w:cs="Arial"/>
      <w:sz w:val="24"/>
      <w:szCs w:val="18"/>
      <w:lang w:eastAsia="en-US"/>
    </w:rPr>
  </w:style>
  <w:style w:type="paragraph" w:styleId="Heading1">
    <w:name w:val="heading 1"/>
    <w:basedOn w:val="Normal"/>
    <w:next w:val="Normal"/>
    <w:link w:val="Heading1Char"/>
    <w:uiPriority w:val="9"/>
    <w:qFormat/>
    <w:rsid w:val="007D1697"/>
    <w:pPr>
      <w:keepNext/>
      <w:keepLines/>
      <w:spacing w:before="480" w:after="120"/>
      <w:outlineLvl w:val="0"/>
    </w:pPr>
    <w:rPr>
      <w:b/>
      <w:bCs/>
      <w:szCs w:val="28"/>
    </w:rPr>
  </w:style>
  <w:style w:type="paragraph" w:styleId="Heading2">
    <w:name w:val="heading 2"/>
    <w:basedOn w:val="Normal"/>
    <w:next w:val="Normal"/>
    <w:link w:val="Heading2Char"/>
    <w:uiPriority w:val="9"/>
    <w:qFormat/>
    <w:rsid w:val="003B54E9"/>
    <w:pPr>
      <w:keepNext/>
      <w:keepLines/>
      <w:spacing w:before="200" w:after="120"/>
      <w:outlineLvl w:val="1"/>
    </w:pPr>
    <w:rPr>
      <w:b/>
      <w:bCs/>
      <w:szCs w:val="26"/>
    </w:rPr>
  </w:style>
  <w:style w:type="paragraph" w:styleId="Heading3">
    <w:name w:val="heading 3"/>
    <w:basedOn w:val="Normal"/>
    <w:next w:val="Normal"/>
    <w:link w:val="Heading3Char"/>
    <w:uiPriority w:val="9"/>
    <w:qFormat/>
    <w:rsid w:val="00120B9B"/>
    <w:pPr>
      <w:keepNext/>
      <w:spacing w:before="240" w:after="60"/>
      <w:outlineLvl w:val="2"/>
    </w:pPr>
    <w:rPr>
      <w:rFonts w:cs="Times New Roman"/>
      <w:b/>
      <w:bCs/>
      <w:szCs w:val="26"/>
    </w:rPr>
  </w:style>
  <w:style w:type="paragraph" w:styleId="Heading4">
    <w:name w:val="heading 4"/>
    <w:basedOn w:val="Normal"/>
    <w:next w:val="Normal"/>
    <w:link w:val="Heading4Char"/>
    <w:uiPriority w:val="9"/>
    <w:unhideWhenUsed/>
    <w:qFormat/>
    <w:rsid w:val="009804A5"/>
    <w:pPr>
      <w:keepNext/>
      <w:spacing w:before="240" w:after="60"/>
      <w:outlineLvl w:val="3"/>
    </w:pPr>
    <w:rPr>
      <w:rFonts w:ascii="Aptos" w:hAnsi="Aptos" w:cs="Times New Roman"/>
      <w:b/>
      <w:bCs/>
      <w:sz w:val="28"/>
      <w:szCs w:val="28"/>
    </w:rPr>
  </w:style>
  <w:style w:type="paragraph" w:styleId="Heading5">
    <w:name w:val="heading 5"/>
    <w:basedOn w:val="Normal"/>
    <w:next w:val="Normal"/>
    <w:link w:val="Heading5Char"/>
    <w:uiPriority w:val="9"/>
    <w:unhideWhenUsed/>
    <w:qFormat/>
    <w:rsid w:val="009804A5"/>
    <w:pPr>
      <w:spacing w:before="240" w:after="60"/>
      <w:outlineLvl w:val="4"/>
    </w:pPr>
    <w:rPr>
      <w:rFonts w:ascii="Aptos" w:hAnsi="Aptos"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SFormatting">
    <w:name w:val="NHS Formatting"/>
    <w:basedOn w:val="Normal"/>
    <w:autoRedefine/>
    <w:qFormat/>
    <w:rsid w:val="003B54E9"/>
    <w:pPr>
      <w:autoSpaceDE w:val="0"/>
      <w:autoSpaceDN w:val="0"/>
      <w:spacing w:after="0" w:line="240" w:lineRule="auto"/>
    </w:pPr>
    <w:rPr>
      <w:bCs/>
      <w:sz w:val="18"/>
      <w:lang w:val="en-US" w:eastAsia="en-GB"/>
    </w:rPr>
  </w:style>
  <w:style w:type="paragraph" w:customStyle="1" w:styleId="NHSPBodycopy">
    <w:name w:val="NHSP Body copy"/>
    <w:next w:val="BodyText"/>
    <w:qFormat/>
    <w:rsid w:val="00AB3EC3"/>
    <w:pPr>
      <w:spacing w:line="360" w:lineRule="auto"/>
    </w:pPr>
    <w:rPr>
      <w:rFonts w:ascii="Arial" w:eastAsia="Times New Roman" w:hAnsi="Arial"/>
      <w:sz w:val="22"/>
      <w:szCs w:val="24"/>
      <w:lang w:eastAsia="en-US"/>
    </w:rPr>
  </w:style>
  <w:style w:type="paragraph" w:styleId="BodyText">
    <w:name w:val="Body Text"/>
    <w:basedOn w:val="Normal"/>
    <w:link w:val="BodyTextChar"/>
    <w:uiPriority w:val="99"/>
    <w:semiHidden/>
    <w:unhideWhenUsed/>
    <w:rsid w:val="00AB3EC3"/>
    <w:pPr>
      <w:spacing w:after="120"/>
    </w:pPr>
  </w:style>
  <w:style w:type="character" w:customStyle="1" w:styleId="BodyTextChar">
    <w:name w:val="Body Text Char"/>
    <w:basedOn w:val="DefaultParagraphFont"/>
    <w:link w:val="BodyText"/>
    <w:uiPriority w:val="99"/>
    <w:semiHidden/>
    <w:rsid w:val="00AB3EC3"/>
  </w:style>
  <w:style w:type="paragraph" w:customStyle="1" w:styleId="Style1">
    <w:name w:val="Style1"/>
    <w:basedOn w:val="Heading1"/>
    <w:next w:val="Heading1"/>
    <w:qFormat/>
    <w:rsid w:val="008B4FC5"/>
    <w:pPr>
      <w:keepLines w:val="0"/>
      <w:spacing w:before="240"/>
    </w:pPr>
    <w:rPr>
      <w:kern w:val="32"/>
      <w:szCs w:val="32"/>
    </w:rPr>
  </w:style>
  <w:style w:type="character" w:customStyle="1" w:styleId="Heading1Char">
    <w:name w:val="Heading 1 Char"/>
    <w:link w:val="Heading1"/>
    <w:uiPriority w:val="9"/>
    <w:rsid w:val="007D1697"/>
    <w:rPr>
      <w:rFonts w:ascii="Arial" w:eastAsia="Times New Roman" w:hAnsi="Arial" w:cs="Arial"/>
      <w:b/>
      <w:bCs/>
      <w:sz w:val="24"/>
      <w:szCs w:val="28"/>
      <w:lang w:eastAsia="en-US"/>
    </w:rPr>
  </w:style>
  <w:style w:type="paragraph" w:customStyle="1" w:styleId="NHSBSAPTHeading">
    <w:name w:val="NHSBSA P&amp;T Heading"/>
    <w:basedOn w:val="Heading1"/>
    <w:qFormat/>
    <w:rsid w:val="001C451D"/>
    <w:pPr>
      <w:keepLines w:val="0"/>
      <w:pBdr>
        <w:bottom w:val="single" w:sz="4" w:space="1" w:color="003893"/>
      </w:pBdr>
      <w:spacing w:before="0"/>
    </w:pPr>
    <w:rPr>
      <w:color w:val="003893"/>
      <w:kern w:val="32"/>
      <w:sz w:val="32"/>
      <w:szCs w:val="32"/>
      <w:lang w:eastAsia="en-GB"/>
    </w:rPr>
  </w:style>
  <w:style w:type="paragraph" w:customStyle="1" w:styleId="NHSBSAPT">
    <w:name w:val="NHSBSA P&amp;T"/>
    <w:basedOn w:val="Heading2"/>
    <w:qFormat/>
    <w:rsid w:val="001C451D"/>
    <w:pPr>
      <w:keepLines w:val="0"/>
      <w:spacing w:before="0"/>
    </w:pPr>
    <w:rPr>
      <w:iCs/>
      <w:color w:val="003893"/>
      <w:sz w:val="28"/>
      <w:szCs w:val="28"/>
      <w:lang w:eastAsia="en-GB"/>
    </w:rPr>
  </w:style>
  <w:style w:type="character" w:customStyle="1" w:styleId="Heading2Char">
    <w:name w:val="Heading 2 Char"/>
    <w:link w:val="Heading2"/>
    <w:uiPriority w:val="9"/>
    <w:rsid w:val="003B54E9"/>
    <w:rPr>
      <w:rFonts w:ascii="Arial" w:eastAsia="Times New Roman" w:hAnsi="Arial" w:cs="Arial"/>
      <w:b/>
      <w:bCs/>
      <w:sz w:val="24"/>
      <w:szCs w:val="26"/>
      <w:lang w:eastAsia="en-US"/>
    </w:rPr>
  </w:style>
  <w:style w:type="paragraph" w:customStyle="1" w:styleId="Chapter">
    <w:name w:val="Chapter"/>
    <w:basedOn w:val="Normal"/>
    <w:qFormat/>
    <w:rsid w:val="00A855E4"/>
    <w:pPr>
      <w:spacing w:after="0" w:line="240" w:lineRule="auto"/>
    </w:pPr>
    <w:rPr>
      <w:b/>
      <w:color w:val="003893"/>
      <w:sz w:val="36"/>
      <w:szCs w:val="36"/>
    </w:rPr>
  </w:style>
  <w:style w:type="paragraph" w:styleId="BalloonText">
    <w:name w:val="Balloon Text"/>
    <w:basedOn w:val="Normal"/>
    <w:link w:val="BalloonTextChar"/>
    <w:uiPriority w:val="99"/>
    <w:semiHidden/>
    <w:unhideWhenUsed/>
    <w:rsid w:val="006729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984"/>
    <w:rPr>
      <w:rFonts w:ascii="Tahoma" w:hAnsi="Tahoma" w:cs="Tahoma"/>
      <w:sz w:val="16"/>
      <w:szCs w:val="16"/>
    </w:rPr>
  </w:style>
  <w:style w:type="paragraph" w:styleId="Header">
    <w:name w:val="header"/>
    <w:basedOn w:val="Normal"/>
    <w:link w:val="HeaderChar"/>
    <w:uiPriority w:val="99"/>
    <w:unhideWhenUsed/>
    <w:rsid w:val="00672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984"/>
  </w:style>
  <w:style w:type="paragraph" w:styleId="Footer">
    <w:name w:val="footer"/>
    <w:basedOn w:val="Normal"/>
    <w:link w:val="FooterChar"/>
    <w:uiPriority w:val="99"/>
    <w:unhideWhenUsed/>
    <w:rsid w:val="00672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984"/>
  </w:style>
  <w:style w:type="table" w:styleId="TableGrid">
    <w:name w:val="Table Grid"/>
    <w:basedOn w:val="TableNormal"/>
    <w:uiPriority w:val="39"/>
    <w:rsid w:val="00891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823E6"/>
    <w:rPr>
      <w:color w:val="0000FF"/>
      <w:u w:val="single"/>
    </w:rPr>
  </w:style>
  <w:style w:type="character" w:styleId="FollowedHyperlink">
    <w:name w:val="FollowedHyperlink"/>
    <w:uiPriority w:val="99"/>
    <w:semiHidden/>
    <w:unhideWhenUsed/>
    <w:rsid w:val="00C823E6"/>
    <w:rPr>
      <w:color w:val="800080"/>
      <w:u w:val="single"/>
    </w:rPr>
  </w:style>
  <w:style w:type="paragraph" w:styleId="NormalWeb">
    <w:name w:val="Normal (Web)"/>
    <w:basedOn w:val="Normal"/>
    <w:uiPriority w:val="99"/>
    <w:unhideWhenUsed/>
    <w:rsid w:val="00A54DA2"/>
    <w:pPr>
      <w:spacing w:before="100" w:beforeAutospacing="1" w:after="100" w:afterAutospacing="1" w:line="240" w:lineRule="auto"/>
    </w:pPr>
    <w:rPr>
      <w:rFonts w:ascii="Times" w:hAnsi="Times"/>
      <w:sz w:val="20"/>
      <w:szCs w:val="20"/>
    </w:rPr>
  </w:style>
  <w:style w:type="table" w:customStyle="1" w:styleId="TableGrid1">
    <w:name w:val="Table Grid1"/>
    <w:basedOn w:val="TableNormal"/>
    <w:next w:val="TableGrid"/>
    <w:uiPriority w:val="59"/>
    <w:rsid w:val="00CD58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58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58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022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022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E75CC"/>
    <w:rPr>
      <w:sz w:val="16"/>
      <w:szCs w:val="16"/>
    </w:rPr>
  </w:style>
  <w:style w:type="paragraph" w:styleId="CommentText">
    <w:name w:val="annotation text"/>
    <w:basedOn w:val="Normal"/>
    <w:link w:val="CommentTextChar"/>
    <w:uiPriority w:val="99"/>
    <w:unhideWhenUsed/>
    <w:rsid w:val="00EE75CC"/>
    <w:rPr>
      <w:sz w:val="20"/>
      <w:szCs w:val="20"/>
    </w:rPr>
  </w:style>
  <w:style w:type="character" w:customStyle="1" w:styleId="CommentTextChar">
    <w:name w:val="Comment Text Char"/>
    <w:link w:val="CommentText"/>
    <w:uiPriority w:val="99"/>
    <w:rsid w:val="00EE75CC"/>
    <w:rPr>
      <w:lang w:eastAsia="en-US"/>
    </w:rPr>
  </w:style>
  <w:style w:type="paragraph" w:styleId="CommentSubject">
    <w:name w:val="annotation subject"/>
    <w:basedOn w:val="CommentText"/>
    <w:next w:val="CommentText"/>
    <w:link w:val="CommentSubjectChar"/>
    <w:uiPriority w:val="99"/>
    <w:semiHidden/>
    <w:unhideWhenUsed/>
    <w:rsid w:val="00EE75CC"/>
    <w:rPr>
      <w:b/>
      <w:bCs/>
    </w:rPr>
  </w:style>
  <w:style w:type="character" w:customStyle="1" w:styleId="CommentSubjectChar">
    <w:name w:val="Comment Subject Char"/>
    <w:link w:val="CommentSubject"/>
    <w:uiPriority w:val="99"/>
    <w:semiHidden/>
    <w:rsid w:val="00EE75CC"/>
    <w:rPr>
      <w:b/>
      <w:bCs/>
      <w:lang w:eastAsia="en-US"/>
    </w:rPr>
  </w:style>
  <w:style w:type="character" w:customStyle="1" w:styleId="apple-converted-space">
    <w:name w:val="apple-converted-space"/>
    <w:rsid w:val="00D273D4"/>
  </w:style>
  <w:style w:type="table" w:customStyle="1" w:styleId="TableGrid6">
    <w:name w:val="Table Grid6"/>
    <w:basedOn w:val="TableNormal"/>
    <w:next w:val="TableGrid"/>
    <w:uiPriority w:val="59"/>
    <w:rsid w:val="00727E5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27E5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27E5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070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C17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C17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120B9B"/>
    <w:rPr>
      <w:rFonts w:ascii="Arial" w:eastAsia="Times New Roman" w:hAnsi="Arial"/>
      <w:b/>
      <w:bCs/>
      <w:sz w:val="24"/>
      <w:szCs w:val="26"/>
      <w:lang w:eastAsia="en-US"/>
    </w:rPr>
  </w:style>
  <w:style w:type="paragraph" w:styleId="TOCHeading">
    <w:name w:val="TOC Heading"/>
    <w:basedOn w:val="Heading1"/>
    <w:next w:val="Normal"/>
    <w:uiPriority w:val="39"/>
    <w:unhideWhenUsed/>
    <w:qFormat/>
    <w:rsid w:val="00120B9B"/>
    <w:pPr>
      <w:outlineLvl w:val="9"/>
    </w:pPr>
    <w:rPr>
      <w:rFonts w:ascii="Cambria" w:eastAsia="MS Gothic" w:hAnsi="Cambria" w:cs="Times New Roman"/>
      <w:color w:val="365F91"/>
      <w:lang w:val="en-US" w:eastAsia="ja-JP"/>
    </w:rPr>
  </w:style>
  <w:style w:type="paragraph" w:styleId="TOC1">
    <w:name w:val="toc 1"/>
    <w:basedOn w:val="Normal"/>
    <w:next w:val="Normal"/>
    <w:autoRedefine/>
    <w:uiPriority w:val="39"/>
    <w:unhideWhenUsed/>
    <w:rsid w:val="00200848"/>
    <w:pPr>
      <w:tabs>
        <w:tab w:val="right" w:leader="dot" w:pos="9736"/>
      </w:tabs>
      <w:spacing w:after="120"/>
    </w:pPr>
  </w:style>
  <w:style w:type="paragraph" w:styleId="TOC2">
    <w:name w:val="toc 2"/>
    <w:basedOn w:val="TOC1"/>
    <w:next w:val="Normal"/>
    <w:autoRedefine/>
    <w:uiPriority w:val="39"/>
    <w:unhideWhenUsed/>
    <w:rsid w:val="00572C7A"/>
    <w:pPr>
      <w:ind w:left="221"/>
    </w:pPr>
    <w:rPr>
      <w:szCs w:val="24"/>
    </w:rPr>
  </w:style>
  <w:style w:type="character" w:styleId="Strong">
    <w:name w:val="Strong"/>
    <w:uiPriority w:val="22"/>
    <w:qFormat/>
    <w:rsid w:val="00BA0B63"/>
    <w:rPr>
      <w:b/>
      <w:bCs/>
    </w:rPr>
  </w:style>
  <w:style w:type="paragraph" w:customStyle="1" w:styleId="BasicParagraph">
    <w:name w:val="[Basic Paragraph]"/>
    <w:basedOn w:val="Normal"/>
    <w:uiPriority w:val="99"/>
    <w:rsid w:val="00D03A86"/>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lang w:val="en-US"/>
    </w:rPr>
  </w:style>
  <w:style w:type="paragraph" w:styleId="ListParagraph">
    <w:name w:val="List Paragraph"/>
    <w:basedOn w:val="Normal"/>
    <w:uiPriority w:val="34"/>
    <w:qFormat/>
    <w:rsid w:val="00162CD3"/>
    <w:pPr>
      <w:spacing w:after="160" w:line="259" w:lineRule="auto"/>
      <w:ind w:left="720"/>
      <w:contextualSpacing/>
    </w:pPr>
    <w:rPr>
      <w:rFonts w:ascii="Calibri" w:eastAsia="Calibri" w:hAnsi="Calibri" w:cs="Times New Roman"/>
      <w:sz w:val="22"/>
    </w:rPr>
  </w:style>
  <w:style w:type="character" w:customStyle="1" w:styleId="advancedproofingissue">
    <w:name w:val="advancedproofingissue"/>
    <w:basedOn w:val="DefaultParagraphFont"/>
    <w:rsid w:val="00162CD3"/>
  </w:style>
  <w:style w:type="character" w:customStyle="1" w:styleId="normaltextrun1">
    <w:name w:val="normaltextrun1"/>
    <w:basedOn w:val="DefaultParagraphFont"/>
    <w:rsid w:val="00162CD3"/>
  </w:style>
  <w:style w:type="paragraph" w:styleId="NoSpacing">
    <w:name w:val="No Spacing"/>
    <w:uiPriority w:val="1"/>
    <w:qFormat/>
    <w:rsid w:val="00162CD3"/>
    <w:rPr>
      <w:sz w:val="22"/>
      <w:szCs w:val="22"/>
      <w:lang w:eastAsia="en-US"/>
    </w:rPr>
  </w:style>
  <w:style w:type="character" w:styleId="UnresolvedMention">
    <w:name w:val="Unresolved Mention"/>
    <w:uiPriority w:val="99"/>
    <w:semiHidden/>
    <w:unhideWhenUsed/>
    <w:rsid w:val="00D70F78"/>
    <w:rPr>
      <w:color w:val="605E5C"/>
      <w:shd w:val="clear" w:color="auto" w:fill="E1DFDD"/>
    </w:rPr>
  </w:style>
  <w:style w:type="paragraph" w:customStyle="1" w:styleId="msonormal0">
    <w:name w:val="msonormal"/>
    <w:basedOn w:val="Normal"/>
    <w:rsid w:val="002B2F2D"/>
    <w:pPr>
      <w:spacing w:before="100" w:beforeAutospacing="1" w:after="100" w:afterAutospacing="1" w:line="240" w:lineRule="auto"/>
    </w:pPr>
    <w:rPr>
      <w:rFonts w:ascii="Times New Roman" w:hAnsi="Times New Roman"/>
      <w:szCs w:val="24"/>
      <w:lang w:eastAsia="en-GB"/>
    </w:rPr>
  </w:style>
  <w:style w:type="paragraph" w:customStyle="1" w:styleId="xl66">
    <w:name w:val="xl66"/>
    <w:basedOn w:val="Normal"/>
    <w:rsid w:val="002B2F2D"/>
    <w:pPr>
      <w:spacing w:before="100" w:beforeAutospacing="1" w:after="100" w:afterAutospacing="1" w:line="240" w:lineRule="auto"/>
    </w:pPr>
    <w:rPr>
      <w:rFonts w:ascii="Times New Roman" w:hAnsi="Times New Roman"/>
      <w:sz w:val="22"/>
      <w:lang w:eastAsia="en-GB"/>
    </w:rPr>
  </w:style>
  <w:style w:type="paragraph" w:customStyle="1" w:styleId="xl67">
    <w:name w:val="xl67"/>
    <w:basedOn w:val="Normal"/>
    <w:rsid w:val="002B2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2"/>
      <w:lang w:eastAsia="en-GB"/>
    </w:rPr>
  </w:style>
  <w:style w:type="paragraph" w:customStyle="1" w:styleId="xl68">
    <w:name w:val="xl68"/>
    <w:basedOn w:val="Normal"/>
    <w:rsid w:val="002B2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2"/>
      <w:lang w:eastAsia="en-GB"/>
    </w:rPr>
  </w:style>
  <w:style w:type="paragraph" w:customStyle="1" w:styleId="xl69">
    <w:name w:val="xl69"/>
    <w:basedOn w:val="Normal"/>
    <w:rsid w:val="002B2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2"/>
      <w:lang w:eastAsia="en-GB"/>
    </w:rPr>
  </w:style>
  <w:style w:type="paragraph" w:customStyle="1" w:styleId="xl70">
    <w:name w:val="xl70"/>
    <w:basedOn w:val="Normal"/>
    <w:rsid w:val="002B2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2"/>
      <w:lang w:eastAsia="en-GB"/>
    </w:rPr>
  </w:style>
  <w:style w:type="paragraph" w:customStyle="1" w:styleId="font0">
    <w:name w:val="font0"/>
    <w:basedOn w:val="Normal"/>
    <w:rsid w:val="002B2F2D"/>
    <w:pPr>
      <w:spacing w:before="100" w:beforeAutospacing="1" w:after="100" w:afterAutospacing="1" w:line="240" w:lineRule="auto"/>
    </w:pPr>
    <w:rPr>
      <w:rFonts w:ascii="Calibri" w:hAnsi="Calibri" w:cs="Calibri"/>
      <w:color w:val="000000"/>
      <w:sz w:val="22"/>
      <w:lang w:eastAsia="en-GB"/>
    </w:rPr>
  </w:style>
  <w:style w:type="paragraph" w:customStyle="1" w:styleId="font5">
    <w:name w:val="font5"/>
    <w:basedOn w:val="Normal"/>
    <w:rsid w:val="002B2F2D"/>
    <w:pPr>
      <w:spacing w:before="100" w:beforeAutospacing="1" w:after="100" w:afterAutospacing="1" w:line="240" w:lineRule="auto"/>
    </w:pPr>
    <w:rPr>
      <w:rFonts w:ascii="Calibri" w:hAnsi="Calibri" w:cs="Calibri"/>
      <w:b/>
      <w:bCs/>
      <w:color w:val="000000"/>
      <w:sz w:val="22"/>
      <w:lang w:eastAsia="en-GB"/>
    </w:rPr>
  </w:style>
  <w:style w:type="paragraph" w:customStyle="1" w:styleId="xl71">
    <w:name w:val="xl71"/>
    <w:basedOn w:val="Normal"/>
    <w:rsid w:val="002B2F2D"/>
    <w:pPr>
      <w:spacing w:before="100" w:beforeAutospacing="1" w:after="100" w:afterAutospacing="1" w:line="240" w:lineRule="auto"/>
      <w:jc w:val="right"/>
    </w:pPr>
    <w:rPr>
      <w:rFonts w:ascii="Times New Roman" w:hAnsi="Times New Roman"/>
      <w:szCs w:val="24"/>
      <w:lang w:eastAsia="en-GB"/>
    </w:rPr>
  </w:style>
  <w:style w:type="paragraph" w:customStyle="1" w:styleId="xl72">
    <w:name w:val="xl72"/>
    <w:basedOn w:val="Normal"/>
    <w:rsid w:val="002B2F2D"/>
    <w:pPr>
      <w:spacing w:before="100" w:beforeAutospacing="1" w:after="100" w:afterAutospacing="1" w:line="240" w:lineRule="auto"/>
      <w:jc w:val="right"/>
    </w:pPr>
    <w:rPr>
      <w:rFonts w:ascii="Times New Roman" w:hAnsi="Times New Roman"/>
      <w:szCs w:val="24"/>
      <w:lang w:eastAsia="en-GB"/>
    </w:rPr>
  </w:style>
  <w:style w:type="paragraph" w:styleId="Revision">
    <w:name w:val="Revision"/>
    <w:hidden/>
    <w:uiPriority w:val="62"/>
    <w:rsid w:val="00B06889"/>
    <w:rPr>
      <w:rFonts w:ascii="Arial" w:hAnsi="Arial"/>
      <w:sz w:val="24"/>
      <w:szCs w:val="22"/>
      <w:lang w:eastAsia="en-US"/>
    </w:rPr>
  </w:style>
  <w:style w:type="paragraph" w:styleId="FootnoteText">
    <w:name w:val="footnote text"/>
    <w:basedOn w:val="Normal"/>
    <w:link w:val="FootnoteTextChar"/>
    <w:uiPriority w:val="99"/>
    <w:unhideWhenUsed/>
    <w:rsid w:val="00F1444E"/>
    <w:rPr>
      <w:sz w:val="20"/>
      <w:szCs w:val="20"/>
    </w:rPr>
  </w:style>
  <w:style w:type="character" w:customStyle="1" w:styleId="FootnoteTextChar">
    <w:name w:val="Footnote Text Char"/>
    <w:link w:val="FootnoteText"/>
    <w:uiPriority w:val="99"/>
    <w:rsid w:val="00F1444E"/>
    <w:rPr>
      <w:rFonts w:ascii="Arial" w:hAnsi="Arial"/>
      <w:lang w:eastAsia="en-US"/>
    </w:rPr>
  </w:style>
  <w:style w:type="character" w:styleId="FootnoteReference">
    <w:name w:val="footnote reference"/>
    <w:uiPriority w:val="99"/>
    <w:semiHidden/>
    <w:unhideWhenUsed/>
    <w:rsid w:val="00F1444E"/>
    <w:rPr>
      <w:vertAlign w:val="superscript"/>
    </w:rPr>
  </w:style>
  <w:style w:type="paragraph" w:styleId="TOC3">
    <w:name w:val="toc 3"/>
    <w:basedOn w:val="Normal"/>
    <w:next w:val="Normal"/>
    <w:autoRedefine/>
    <w:uiPriority w:val="39"/>
    <w:unhideWhenUsed/>
    <w:rsid w:val="00F1444E"/>
    <w:pPr>
      <w:ind w:left="480"/>
    </w:pPr>
  </w:style>
  <w:style w:type="paragraph" w:customStyle="1" w:styleId="Heading1Appendix">
    <w:name w:val="Heading_1_Appendix"/>
    <w:basedOn w:val="Heading1"/>
    <w:qFormat/>
    <w:rsid w:val="009804A5"/>
    <w:pPr>
      <w:numPr>
        <w:numId w:val="24"/>
      </w:numPr>
      <w:spacing w:after="240"/>
      <w:ind w:left="357" w:hanging="357"/>
      <w:outlineLvl w:val="1"/>
    </w:pPr>
  </w:style>
  <w:style w:type="character" w:styleId="Emphasis">
    <w:name w:val="Emphasis"/>
    <w:uiPriority w:val="20"/>
    <w:qFormat/>
    <w:rsid w:val="00406527"/>
    <w:rPr>
      <w:i/>
      <w:iCs/>
    </w:rPr>
  </w:style>
  <w:style w:type="character" w:customStyle="1" w:styleId="Heading4Char">
    <w:name w:val="Heading 4 Char"/>
    <w:link w:val="Heading4"/>
    <w:uiPriority w:val="9"/>
    <w:rsid w:val="009804A5"/>
    <w:rPr>
      <w:rFonts w:ascii="Aptos" w:eastAsia="Times New Roman" w:hAnsi="Aptos" w:cs="Times New Roman"/>
      <w:b/>
      <w:bCs/>
      <w:sz w:val="28"/>
      <w:szCs w:val="28"/>
      <w:lang w:eastAsia="en-US"/>
    </w:rPr>
  </w:style>
  <w:style w:type="character" w:customStyle="1" w:styleId="Heading5Char">
    <w:name w:val="Heading 5 Char"/>
    <w:link w:val="Heading5"/>
    <w:uiPriority w:val="9"/>
    <w:rsid w:val="009804A5"/>
    <w:rPr>
      <w:rFonts w:ascii="Aptos" w:eastAsia="Times New Roman" w:hAnsi="Aptos" w:cs="Times New Roman"/>
      <w:b/>
      <w:bCs/>
      <w:i/>
      <w:iCs/>
      <w:sz w:val="26"/>
      <w:szCs w:val="26"/>
      <w:lang w:eastAsia="en-US"/>
    </w:rPr>
  </w:style>
  <w:style w:type="paragraph" w:customStyle="1" w:styleId="TableIntro">
    <w:name w:val="TableIntro"/>
    <w:basedOn w:val="Normal"/>
    <w:qFormat/>
    <w:rsid w:val="003B54E9"/>
    <w:pPr>
      <w:spacing w:before="240" w:after="120"/>
    </w:pPr>
    <w:rPr>
      <w:b/>
      <w:sz w:val="18"/>
    </w:rPr>
  </w:style>
  <w:style w:type="paragraph" w:customStyle="1" w:styleId="TableHeadBold">
    <w:name w:val="TableHeadBold"/>
    <w:basedOn w:val="NHSFormatting"/>
    <w:qFormat/>
    <w:rsid w:val="00AB004B"/>
    <w:rPr>
      <w:b/>
      <w:sz w:val="24"/>
    </w:rPr>
  </w:style>
  <w:style w:type="paragraph" w:customStyle="1" w:styleId="ListParaCompressed">
    <w:name w:val="ListParaCompressed"/>
    <w:basedOn w:val="Normal"/>
    <w:qFormat/>
    <w:rsid w:val="003B54E9"/>
    <w:pPr>
      <w:numPr>
        <w:numId w:val="7"/>
      </w:numPr>
      <w:spacing w:after="120"/>
      <w:ind w:left="714" w:hanging="357"/>
      <w:contextualSpacing/>
    </w:pPr>
    <w:rPr>
      <w:color w:val="000000"/>
    </w:rPr>
  </w:style>
  <w:style w:type="paragraph" w:customStyle="1" w:styleId="ListIntroNormal">
    <w:name w:val="ListIntroNormal"/>
    <w:basedOn w:val="Normal"/>
    <w:qFormat/>
    <w:rsid w:val="003B54E9"/>
    <w:pPr>
      <w:spacing w:after="0"/>
    </w:pPr>
    <w:rPr>
      <w:color w:val="000000"/>
    </w:rPr>
  </w:style>
  <w:style w:type="paragraph" w:styleId="Title">
    <w:name w:val="Title"/>
    <w:basedOn w:val="Normal"/>
    <w:next w:val="Normal"/>
    <w:link w:val="TitleChar"/>
    <w:uiPriority w:val="10"/>
    <w:qFormat/>
    <w:rsid w:val="00200848"/>
    <w:pPr>
      <w:spacing w:before="240" w:after="60"/>
    </w:pPr>
    <w:rPr>
      <w:rFonts w:cs="Times New Roman"/>
      <w:b/>
      <w:bCs/>
      <w:color w:val="005EB8"/>
      <w:kern w:val="28"/>
      <w:sz w:val="48"/>
      <w:szCs w:val="32"/>
    </w:rPr>
  </w:style>
  <w:style w:type="character" w:customStyle="1" w:styleId="TitleChar">
    <w:name w:val="Title Char"/>
    <w:link w:val="Title"/>
    <w:uiPriority w:val="10"/>
    <w:rsid w:val="00200848"/>
    <w:rPr>
      <w:rFonts w:ascii="Arial" w:eastAsia="Times New Roman" w:hAnsi="Arial"/>
      <w:b/>
      <w:bCs/>
      <w:color w:val="005EB8"/>
      <w:kern w:val="28"/>
      <w:sz w:val="48"/>
      <w:szCs w:val="32"/>
      <w:lang w:eastAsia="en-US"/>
    </w:rPr>
  </w:style>
  <w:style w:type="paragraph" w:styleId="Subtitle">
    <w:name w:val="Subtitle"/>
    <w:basedOn w:val="Normal"/>
    <w:next w:val="Normal"/>
    <w:link w:val="SubtitleChar"/>
    <w:uiPriority w:val="11"/>
    <w:qFormat/>
    <w:rsid w:val="00200848"/>
    <w:pPr>
      <w:spacing w:after="60"/>
    </w:pPr>
    <w:rPr>
      <w:rFonts w:cs="Times New Roman"/>
      <w:b/>
      <w:color w:val="005EB8"/>
      <w:sz w:val="44"/>
      <w:szCs w:val="24"/>
    </w:rPr>
  </w:style>
  <w:style w:type="character" w:customStyle="1" w:styleId="SubtitleChar">
    <w:name w:val="Subtitle Char"/>
    <w:link w:val="Subtitle"/>
    <w:uiPriority w:val="11"/>
    <w:rsid w:val="00200848"/>
    <w:rPr>
      <w:rFonts w:ascii="Arial" w:eastAsia="Times New Roman" w:hAnsi="Arial"/>
      <w:b/>
      <w:color w:val="005EB8"/>
      <w:sz w:val="44"/>
      <w:szCs w:val="24"/>
      <w:lang w:eastAsia="en-US"/>
    </w:rPr>
  </w:style>
  <w:style w:type="paragraph" w:customStyle="1" w:styleId="GreyBox">
    <w:name w:val="GreyBox"/>
    <w:basedOn w:val="Normal"/>
    <w:qFormat/>
    <w:rsid w:val="00200848"/>
    <w:pPr>
      <w:keepNext/>
      <w:keepLines/>
      <w:pBdr>
        <w:top w:val="single" w:sz="4" w:space="1" w:color="auto"/>
        <w:left w:val="single" w:sz="4" w:space="4" w:color="auto"/>
        <w:bottom w:val="single" w:sz="4" w:space="1" w:color="auto"/>
        <w:right w:val="single" w:sz="4" w:space="4" w:color="auto"/>
      </w:pBdr>
      <w:shd w:val="solid" w:color="F2F2F2" w:fill="D9D9D9"/>
    </w:pPr>
    <w:rPr>
      <w:lang w:val="en-US"/>
    </w:rPr>
  </w:style>
  <w:style w:type="paragraph" w:customStyle="1" w:styleId="ComparatorSpecBoxNormal">
    <w:name w:val="ComparatorSpecBoxNormal"/>
    <w:basedOn w:val="Normal"/>
    <w:qFormat/>
    <w:rsid w:val="00B9745F"/>
    <w:pPr>
      <w:spacing w:after="0"/>
    </w:pPr>
    <w:rPr>
      <w:sz w:val="18"/>
    </w:rPr>
  </w:style>
  <w:style w:type="paragraph" w:customStyle="1" w:styleId="ComparatorSPecBoxBold">
    <w:name w:val="ComparatorSPecBoxBold"/>
    <w:basedOn w:val="ComparatorSpecBoxNormal"/>
    <w:qFormat/>
    <w:rsid w:val="003C2F80"/>
    <w:rPr>
      <w:b/>
    </w:rPr>
  </w:style>
  <w:style w:type="paragraph" w:customStyle="1" w:styleId="ComparatorSpecBoxSpacing">
    <w:name w:val="ComparatorSpecBoxSpacing"/>
    <w:basedOn w:val="ComparatorSpecBoxNormal"/>
    <w:qFormat/>
    <w:rsid w:val="00601590"/>
    <w:pPr>
      <w:spacing w:after="120"/>
    </w:pPr>
  </w:style>
  <w:style w:type="paragraph" w:customStyle="1" w:styleId="ComparatorSpecBoxList">
    <w:name w:val="ComparatorSpecBoxList"/>
    <w:basedOn w:val="ListParaCompressed"/>
    <w:qFormat/>
    <w:rsid w:val="00601590"/>
    <w:pPr>
      <w:spacing w:after="0"/>
    </w:pPr>
    <w:rPr>
      <w:sz w:val="18"/>
    </w:rPr>
  </w:style>
  <w:style w:type="paragraph" w:customStyle="1" w:styleId="NormalNoSpacing">
    <w:name w:val="Normal No Spacing"/>
    <w:basedOn w:val="Normal"/>
    <w:qFormat/>
    <w:rsid w:val="00C77F0D"/>
    <w:pPr>
      <w:spacing w:after="0"/>
    </w:pPr>
  </w:style>
  <w:style w:type="paragraph" w:customStyle="1" w:styleId="ComparatorSubTableKeepTogether">
    <w:name w:val="ComparatorSubTableKeepTogether"/>
    <w:basedOn w:val="ComparatorSpecBoxNormal"/>
    <w:qFormat/>
    <w:rsid w:val="006149B5"/>
    <w:pPr>
      <w:keepNext/>
      <w:keepLines/>
    </w:pPr>
  </w:style>
  <w:style w:type="paragraph" w:customStyle="1" w:styleId="ComparatorSpecBoxBoldSpaced">
    <w:name w:val="ComparatorSpecBoxBold_Spaced"/>
    <w:basedOn w:val="ComparatorSPecBoxBold"/>
    <w:qFormat/>
    <w:rsid w:val="003C2F80"/>
    <w:pPr>
      <w:spacing w:before="120"/>
    </w:pPr>
  </w:style>
  <w:style w:type="paragraph" w:customStyle="1" w:styleId="ColourfulShadingAccent31">
    <w:name w:val="Colourful Shading – Accent 31"/>
    <w:basedOn w:val="Normal"/>
    <w:uiPriority w:val="34"/>
    <w:qFormat/>
    <w:rsid w:val="00E52A62"/>
    <w:pPr>
      <w:spacing w:after="0" w:line="240" w:lineRule="auto"/>
      <w:ind w:left="720"/>
      <w:contextualSpacing/>
    </w:pPr>
    <w:rPr>
      <w:rFonts w:ascii="Times" w:hAnsi="Times"/>
      <w:sz w:val="20"/>
      <w:szCs w:val="20"/>
    </w:rPr>
  </w:style>
  <w:style w:type="paragraph" w:customStyle="1" w:styleId="LightList-Accent31">
    <w:name w:val="Light List - Accent 31"/>
    <w:hidden/>
    <w:uiPriority w:val="71"/>
    <w:rsid w:val="00E52A62"/>
    <w:rPr>
      <w:sz w:val="22"/>
      <w:szCs w:val="22"/>
      <w:lang w:eastAsia="en-US"/>
    </w:rPr>
  </w:style>
  <w:style w:type="paragraph" w:customStyle="1" w:styleId="LightGrid-Accent31">
    <w:name w:val="Light Grid - Accent 31"/>
    <w:basedOn w:val="Normal"/>
    <w:uiPriority w:val="34"/>
    <w:qFormat/>
    <w:rsid w:val="00E52A62"/>
    <w:pPr>
      <w:ind w:left="720"/>
      <w:contextualSpacing/>
    </w:pPr>
    <w:rPr>
      <w:rFonts w:ascii="Calibri" w:eastAsia="Calibri" w:hAnsi="Calibri" w:cs="Times New Roman"/>
    </w:rPr>
  </w:style>
  <w:style w:type="paragraph" w:customStyle="1" w:styleId="MediumGrid1-Accent21">
    <w:name w:val="Medium Grid 1 - Accent 21"/>
    <w:basedOn w:val="Normal"/>
    <w:uiPriority w:val="34"/>
    <w:qFormat/>
    <w:rsid w:val="00E52A62"/>
    <w:pPr>
      <w:ind w:left="720"/>
      <w:contextualSpacing/>
    </w:pPr>
    <w:rPr>
      <w:rFonts w:ascii="Calibri" w:eastAsia="Calibri" w:hAnsi="Calibri" w:cs="Times New Roman"/>
    </w:rPr>
  </w:style>
  <w:style w:type="paragraph" w:customStyle="1" w:styleId="MediumGrid21">
    <w:name w:val="Medium Grid 21"/>
    <w:uiPriority w:val="99"/>
    <w:qFormat/>
    <w:rsid w:val="00E52A62"/>
    <w:rPr>
      <w:sz w:val="22"/>
      <w:szCs w:val="22"/>
      <w:lang w:eastAsia="en-US"/>
    </w:rPr>
  </w:style>
  <w:style w:type="character" w:styleId="IntenseEmphasis">
    <w:name w:val="Intense Emphasis"/>
    <w:uiPriority w:val="71"/>
    <w:qFormat/>
    <w:rsid w:val="00C40395"/>
    <w:rPr>
      <w:i/>
      <w:iCs/>
      <w:color w:val="156082"/>
    </w:rPr>
  </w:style>
  <w:style w:type="paragraph" w:styleId="EndnoteText">
    <w:name w:val="endnote text"/>
    <w:basedOn w:val="Normal"/>
    <w:link w:val="EndnoteTextChar"/>
    <w:uiPriority w:val="99"/>
    <w:semiHidden/>
    <w:unhideWhenUsed/>
    <w:rsid w:val="00D465B8"/>
    <w:rPr>
      <w:sz w:val="20"/>
      <w:szCs w:val="20"/>
    </w:rPr>
  </w:style>
  <w:style w:type="character" w:customStyle="1" w:styleId="EndnoteTextChar">
    <w:name w:val="Endnote Text Char"/>
    <w:link w:val="EndnoteText"/>
    <w:uiPriority w:val="99"/>
    <w:semiHidden/>
    <w:rsid w:val="00D465B8"/>
    <w:rPr>
      <w:rFonts w:ascii="Arial" w:eastAsia="Times New Roman" w:hAnsi="Arial" w:cs="Arial"/>
      <w:lang w:eastAsia="en-US"/>
    </w:rPr>
  </w:style>
  <w:style w:type="character" w:styleId="EndnoteReference">
    <w:name w:val="endnote reference"/>
    <w:uiPriority w:val="99"/>
    <w:semiHidden/>
    <w:unhideWhenUsed/>
    <w:rsid w:val="00D465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2868">
      <w:bodyDiv w:val="1"/>
      <w:marLeft w:val="0"/>
      <w:marRight w:val="0"/>
      <w:marTop w:val="0"/>
      <w:marBottom w:val="0"/>
      <w:divBdr>
        <w:top w:val="none" w:sz="0" w:space="0" w:color="auto"/>
        <w:left w:val="none" w:sz="0" w:space="0" w:color="auto"/>
        <w:bottom w:val="none" w:sz="0" w:space="0" w:color="auto"/>
        <w:right w:val="none" w:sz="0" w:space="0" w:color="auto"/>
      </w:divBdr>
    </w:div>
    <w:div w:id="64573597">
      <w:bodyDiv w:val="1"/>
      <w:marLeft w:val="0"/>
      <w:marRight w:val="0"/>
      <w:marTop w:val="0"/>
      <w:marBottom w:val="0"/>
      <w:divBdr>
        <w:top w:val="none" w:sz="0" w:space="0" w:color="auto"/>
        <w:left w:val="none" w:sz="0" w:space="0" w:color="auto"/>
        <w:bottom w:val="none" w:sz="0" w:space="0" w:color="auto"/>
        <w:right w:val="none" w:sz="0" w:space="0" w:color="auto"/>
      </w:divBdr>
    </w:div>
    <w:div w:id="100490225">
      <w:bodyDiv w:val="1"/>
      <w:marLeft w:val="0"/>
      <w:marRight w:val="0"/>
      <w:marTop w:val="0"/>
      <w:marBottom w:val="0"/>
      <w:divBdr>
        <w:top w:val="none" w:sz="0" w:space="0" w:color="auto"/>
        <w:left w:val="none" w:sz="0" w:space="0" w:color="auto"/>
        <w:bottom w:val="none" w:sz="0" w:space="0" w:color="auto"/>
        <w:right w:val="none" w:sz="0" w:space="0" w:color="auto"/>
      </w:divBdr>
    </w:div>
    <w:div w:id="178356129">
      <w:bodyDiv w:val="1"/>
      <w:marLeft w:val="0"/>
      <w:marRight w:val="0"/>
      <w:marTop w:val="0"/>
      <w:marBottom w:val="0"/>
      <w:divBdr>
        <w:top w:val="none" w:sz="0" w:space="0" w:color="auto"/>
        <w:left w:val="none" w:sz="0" w:space="0" w:color="auto"/>
        <w:bottom w:val="none" w:sz="0" w:space="0" w:color="auto"/>
        <w:right w:val="none" w:sz="0" w:space="0" w:color="auto"/>
      </w:divBdr>
    </w:div>
    <w:div w:id="271324019">
      <w:bodyDiv w:val="1"/>
      <w:marLeft w:val="0"/>
      <w:marRight w:val="0"/>
      <w:marTop w:val="0"/>
      <w:marBottom w:val="0"/>
      <w:divBdr>
        <w:top w:val="none" w:sz="0" w:space="0" w:color="auto"/>
        <w:left w:val="none" w:sz="0" w:space="0" w:color="auto"/>
        <w:bottom w:val="none" w:sz="0" w:space="0" w:color="auto"/>
        <w:right w:val="none" w:sz="0" w:space="0" w:color="auto"/>
      </w:divBdr>
    </w:div>
    <w:div w:id="272371061">
      <w:bodyDiv w:val="1"/>
      <w:marLeft w:val="0"/>
      <w:marRight w:val="0"/>
      <w:marTop w:val="0"/>
      <w:marBottom w:val="0"/>
      <w:divBdr>
        <w:top w:val="none" w:sz="0" w:space="0" w:color="auto"/>
        <w:left w:val="none" w:sz="0" w:space="0" w:color="auto"/>
        <w:bottom w:val="none" w:sz="0" w:space="0" w:color="auto"/>
        <w:right w:val="none" w:sz="0" w:space="0" w:color="auto"/>
      </w:divBdr>
    </w:div>
    <w:div w:id="339551991">
      <w:bodyDiv w:val="1"/>
      <w:marLeft w:val="0"/>
      <w:marRight w:val="0"/>
      <w:marTop w:val="0"/>
      <w:marBottom w:val="0"/>
      <w:divBdr>
        <w:top w:val="none" w:sz="0" w:space="0" w:color="auto"/>
        <w:left w:val="none" w:sz="0" w:space="0" w:color="auto"/>
        <w:bottom w:val="none" w:sz="0" w:space="0" w:color="auto"/>
        <w:right w:val="none" w:sz="0" w:space="0" w:color="auto"/>
      </w:divBdr>
    </w:div>
    <w:div w:id="480074028">
      <w:bodyDiv w:val="1"/>
      <w:marLeft w:val="0"/>
      <w:marRight w:val="0"/>
      <w:marTop w:val="0"/>
      <w:marBottom w:val="0"/>
      <w:divBdr>
        <w:top w:val="none" w:sz="0" w:space="0" w:color="auto"/>
        <w:left w:val="none" w:sz="0" w:space="0" w:color="auto"/>
        <w:bottom w:val="none" w:sz="0" w:space="0" w:color="auto"/>
        <w:right w:val="none" w:sz="0" w:space="0" w:color="auto"/>
      </w:divBdr>
    </w:div>
    <w:div w:id="569072432">
      <w:bodyDiv w:val="1"/>
      <w:marLeft w:val="0"/>
      <w:marRight w:val="0"/>
      <w:marTop w:val="0"/>
      <w:marBottom w:val="0"/>
      <w:divBdr>
        <w:top w:val="none" w:sz="0" w:space="0" w:color="auto"/>
        <w:left w:val="none" w:sz="0" w:space="0" w:color="auto"/>
        <w:bottom w:val="none" w:sz="0" w:space="0" w:color="auto"/>
        <w:right w:val="none" w:sz="0" w:space="0" w:color="auto"/>
      </w:divBdr>
    </w:div>
    <w:div w:id="586156737">
      <w:bodyDiv w:val="1"/>
      <w:marLeft w:val="0"/>
      <w:marRight w:val="0"/>
      <w:marTop w:val="0"/>
      <w:marBottom w:val="0"/>
      <w:divBdr>
        <w:top w:val="none" w:sz="0" w:space="0" w:color="auto"/>
        <w:left w:val="none" w:sz="0" w:space="0" w:color="auto"/>
        <w:bottom w:val="none" w:sz="0" w:space="0" w:color="auto"/>
        <w:right w:val="none" w:sz="0" w:space="0" w:color="auto"/>
      </w:divBdr>
    </w:div>
    <w:div w:id="780341677">
      <w:bodyDiv w:val="1"/>
      <w:marLeft w:val="0"/>
      <w:marRight w:val="0"/>
      <w:marTop w:val="0"/>
      <w:marBottom w:val="0"/>
      <w:divBdr>
        <w:top w:val="none" w:sz="0" w:space="0" w:color="auto"/>
        <w:left w:val="none" w:sz="0" w:space="0" w:color="auto"/>
        <w:bottom w:val="none" w:sz="0" w:space="0" w:color="auto"/>
        <w:right w:val="none" w:sz="0" w:space="0" w:color="auto"/>
      </w:divBdr>
      <w:divsChild>
        <w:div w:id="276183856">
          <w:marLeft w:val="1166"/>
          <w:marRight w:val="0"/>
          <w:marTop w:val="96"/>
          <w:marBottom w:val="0"/>
          <w:divBdr>
            <w:top w:val="none" w:sz="0" w:space="0" w:color="auto"/>
            <w:left w:val="none" w:sz="0" w:space="0" w:color="auto"/>
            <w:bottom w:val="none" w:sz="0" w:space="0" w:color="auto"/>
            <w:right w:val="none" w:sz="0" w:space="0" w:color="auto"/>
          </w:divBdr>
        </w:div>
        <w:div w:id="1005866910">
          <w:marLeft w:val="547"/>
          <w:marRight w:val="0"/>
          <w:marTop w:val="115"/>
          <w:marBottom w:val="0"/>
          <w:divBdr>
            <w:top w:val="none" w:sz="0" w:space="0" w:color="auto"/>
            <w:left w:val="none" w:sz="0" w:space="0" w:color="auto"/>
            <w:bottom w:val="none" w:sz="0" w:space="0" w:color="auto"/>
            <w:right w:val="none" w:sz="0" w:space="0" w:color="auto"/>
          </w:divBdr>
        </w:div>
        <w:div w:id="1591156479">
          <w:marLeft w:val="1166"/>
          <w:marRight w:val="0"/>
          <w:marTop w:val="96"/>
          <w:marBottom w:val="0"/>
          <w:divBdr>
            <w:top w:val="none" w:sz="0" w:space="0" w:color="auto"/>
            <w:left w:val="none" w:sz="0" w:space="0" w:color="auto"/>
            <w:bottom w:val="none" w:sz="0" w:space="0" w:color="auto"/>
            <w:right w:val="none" w:sz="0" w:space="0" w:color="auto"/>
          </w:divBdr>
        </w:div>
      </w:divsChild>
    </w:div>
    <w:div w:id="786968158">
      <w:bodyDiv w:val="1"/>
      <w:marLeft w:val="0"/>
      <w:marRight w:val="0"/>
      <w:marTop w:val="0"/>
      <w:marBottom w:val="0"/>
      <w:divBdr>
        <w:top w:val="none" w:sz="0" w:space="0" w:color="auto"/>
        <w:left w:val="none" w:sz="0" w:space="0" w:color="auto"/>
        <w:bottom w:val="none" w:sz="0" w:space="0" w:color="auto"/>
        <w:right w:val="none" w:sz="0" w:space="0" w:color="auto"/>
      </w:divBdr>
    </w:div>
    <w:div w:id="805857908">
      <w:bodyDiv w:val="1"/>
      <w:marLeft w:val="0"/>
      <w:marRight w:val="0"/>
      <w:marTop w:val="0"/>
      <w:marBottom w:val="0"/>
      <w:divBdr>
        <w:top w:val="none" w:sz="0" w:space="0" w:color="auto"/>
        <w:left w:val="none" w:sz="0" w:space="0" w:color="auto"/>
        <w:bottom w:val="none" w:sz="0" w:space="0" w:color="auto"/>
        <w:right w:val="none" w:sz="0" w:space="0" w:color="auto"/>
      </w:divBdr>
    </w:div>
    <w:div w:id="911626176">
      <w:bodyDiv w:val="1"/>
      <w:marLeft w:val="0"/>
      <w:marRight w:val="0"/>
      <w:marTop w:val="0"/>
      <w:marBottom w:val="0"/>
      <w:divBdr>
        <w:top w:val="none" w:sz="0" w:space="0" w:color="auto"/>
        <w:left w:val="none" w:sz="0" w:space="0" w:color="auto"/>
        <w:bottom w:val="none" w:sz="0" w:space="0" w:color="auto"/>
        <w:right w:val="none" w:sz="0" w:space="0" w:color="auto"/>
      </w:divBdr>
    </w:div>
    <w:div w:id="1020355031">
      <w:bodyDiv w:val="1"/>
      <w:marLeft w:val="0"/>
      <w:marRight w:val="0"/>
      <w:marTop w:val="0"/>
      <w:marBottom w:val="0"/>
      <w:divBdr>
        <w:top w:val="none" w:sz="0" w:space="0" w:color="auto"/>
        <w:left w:val="none" w:sz="0" w:space="0" w:color="auto"/>
        <w:bottom w:val="none" w:sz="0" w:space="0" w:color="auto"/>
        <w:right w:val="none" w:sz="0" w:space="0" w:color="auto"/>
      </w:divBdr>
    </w:div>
    <w:div w:id="1057127728">
      <w:bodyDiv w:val="1"/>
      <w:marLeft w:val="0"/>
      <w:marRight w:val="0"/>
      <w:marTop w:val="0"/>
      <w:marBottom w:val="0"/>
      <w:divBdr>
        <w:top w:val="none" w:sz="0" w:space="0" w:color="auto"/>
        <w:left w:val="none" w:sz="0" w:space="0" w:color="auto"/>
        <w:bottom w:val="none" w:sz="0" w:space="0" w:color="auto"/>
        <w:right w:val="none" w:sz="0" w:space="0" w:color="auto"/>
      </w:divBdr>
      <w:divsChild>
        <w:div w:id="330839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381911">
              <w:marLeft w:val="0"/>
              <w:marRight w:val="0"/>
              <w:marTop w:val="0"/>
              <w:marBottom w:val="0"/>
              <w:divBdr>
                <w:top w:val="none" w:sz="0" w:space="0" w:color="auto"/>
                <w:left w:val="none" w:sz="0" w:space="0" w:color="auto"/>
                <w:bottom w:val="none" w:sz="0" w:space="0" w:color="auto"/>
                <w:right w:val="none" w:sz="0" w:space="0" w:color="auto"/>
              </w:divBdr>
              <w:divsChild>
                <w:div w:id="781219211">
                  <w:marLeft w:val="0"/>
                  <w:marRight w:val="0"/>
                  <w:marTop w:val="0"/>
                  <w:marBottom w:val="0"/>
                  <w:divBdr>
                    <w:top w:val="none" w:sz="0" w:space="0" w:color="auto"/>
                    <w:left w:val="none" w:sz="0" w:space="0" w:color="auto"/>
                    <w:bottom w:val="none" w:sz="0" w:space="0" w:color="auto"/>
                    <w:right w:val="none" w:sz="0" w:space="0" w:color="auto"/>
                  </w:divBdr>
                  <w:divsChild>
                    <w:div w:id="1936665511">
                      <w:marLeft w:val="0"/>
                      <w:marRight w:val="0"/>
                      <w:marTop w:val="0"/>
                      <w:marBottom w:val="0"/>
                      <w:divBdr>
                        <w:top w:val="none" w:sz="0" w:space="0" w:color="auto"/>
                        <w:left w:val="none" w:sz="0" w:space="0" w:color="auto"/>
                        <w:bottom w:val="none" w:sz="0" w:space="0" w:color="auto"/>
                        <w:right w:val="none" w:sz="0" w:space="0" w:color="auto"/>
                      </w:divBdr>
                      <w:divsChild>
                        <w:div w:id="1087309801">
                          <w:marLeft w:val="0"/>
                          <w:marRight w:val="0"/>
                          <w:marTop w:val="0"/>
                          <w:marBottom w:val="0"/>
                          <w:divBdr>
                            <w:top w:val="none" w:sz="0" w:space="0" w:color="auto"/>
                            <w:left w:val="none" w:sz="0" w:space="0" w:color="auto"/>
                            <w:bottom w:val="none" w:sz="0" w:space="0" w:color="auto"/>
                            <w:right w:val="none" w:sz="0" w:space="0" w:color="auto"/>
                          </w:divBdr>
                          <w:divsChild>
                            <w:div w:id="30497033">
                              <w:marLeft w:val="0"/>
                              <w:marRight w:val="0"/>
                              <w:marTop w:val="0"/>
                              <w:marBottom w:val="0"/>
                              <w:divBdr>
                                <w:top w:val="none" w:sz="0" w:space="0" w:color="auto"/>
                                <w:left w:val="none" w:sz="0" w:space="0" w:color="auto"/>
                                <w:bottom w:val="none" w:sz="0" w:space="0" w:color="auto"/>
                                <w:right w:val="none" w:sz="0" w:space="0" w:color="auto"/>
                              </w:divBdr>
                              <w:divsChild>
                                <w:div w:id="1441878058">
                                  <w:marLeft w:val="0"/>
                                  <w:marRight w:val="0"/>
                                  <w:marTop w:val="0"/>
                                  <w:marBottom w:val="0"/>
                                  <w:divBdr>
                                    <w:top w:val="none" w:sz="0" w:space="0" w:color="auto"/>
                                    <w:left w:val="none" w:sz="0" w:space="0" w:color="auto"/>
                                    <w:bottom w:val="none" w:sz="0" w:space="0" w:color="auto"/>
                                    <w:right w:val="none" w:sz="0" w:space="0" w:color="auto"/>
                                  </w:divBdr>
                                  <w:divsChild>
                                    <w:div w:id="1160461815">
                                      <w:marLeft w:val="0"/>
                                      <w:marRight w:val="0"/>
                                      <w:marTop w:val="0"/>
                                      <w:marBottom w:val="0"/>
                                      <w:divBdr>
                                        <w:top w:val="none" w:sz="0" w:space="0" w:color="auto"/>
                                        <w:left w:val="none" w:sz="0" w:space="0" w:color="auto"/>
                                        <w:bottom w:val="none" w:sz="0" w:space="0" w:color="auto"/>
                                        <w:right w:val="none" w:sz="0" w:space="0" w:color="auto"/>
                                      </w:divBdr>
                                      <w:divsChild>
                                        <w:div w:id="348801398">
                                          <w:marLeft w:val="0"/>
                                          <w:marRight w:val="0"/>
                                          <w:marTop w:val="0"/>
                                          <w:marBottom w:val="0"/>
                                          <w:divBdr>
                                            <w:top w:val="none" w:sz="0" w:space="0" w:color="auto"/>
                                            <w:left w:val="none" w:sz="0" w:space="0" w:color="auto"/>
                                            <w:bottom w:val="none" w:sz="0" w:space="0" w:color="auto"/>
                                            <w:right w:val="none" w:sz="0" w:space="0" w:color="auto"/>
                                          </w:divBdr>
                                          <w:divsChild>
                                            <w:div w:id="168389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9734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170437">
              <w:marLeft w:val="0"/>
              <w:marRight w:val="0"/>
              <w:marTop w:val="0"/>
              <w:marBottom w:val="0"/>
              <w:divBdr>
                <w:top w:val="none" w:sz="0" w:space="0" w:color="auto"/>
                <w:left w:val="none" w:sz="0" w:space="0" w:color="auto"/>
                <w:bottom w:val="none" w:sz="0" w:space="0" w:color="auto"/>
                <w:right w:val="none" w:sz="0" w:space="0" w:color="auto"/>
              </w:divBdr>
              <w:divsChild>
                <w:div w:id="2037391203">
                  <w:marLeft w:val="0"/>
                  <w:marRight w:val="0"/>
                  <w:marTop w:val="0"/>
                  <w:marBottom w:val="0"/>
                  <w:divBdr>
                    <w:top w:val="none" w:sz="0" w:space="0" w:color="auto"/>
                    <w:left w:val="none" w:sz="0" w:space="0" w:color="auto"/>
                    <w:bottom w:val="none" w:sz="0" w:space="0" w:color="auto"/>
                    <w:right w:val="none" w:sz="0" w:space="0" w:color="auto"/>
                  </w:divBdr>
                  <w:divsChild>
                    <w:div w:id="1199513298">
                      <w:marLeft w:val="0"/>
                      <w:marRight w:val="0"/>
                      <w:marTop w:val="0"/>
                      <w:marBottom w:val="0"/>
                      <w:divBdr>
                        <w:top w:val="none" w:sz="0" w:space="0" w:color="auto"/>
                        <w:left w:val="none" w:sz="0" w:space="0" w:color="auto"/>
                        <w:bottom w:val="none" w:sz="0" w:space="0" w:color="auto"/>
                        <w:right w:val="none" w:sz="0" w:space="0" w:color="auto"/>
                      </w:divBdr>
                      <w:divsChild>
                        <w:div w:id="1030377513">
                          <w:marLeft w:val="0"/>
                          <w:marRight w:val="0"/>
                          <w:marTop w:val="0"/>
                          <w:marBottom w:val="0"/>
                          <w:divBdr>
                            <w:top w:val="none" w:sz="0" w:space="0" w:color="auto"/>
                            <w:left w:val="none" w:sz="0" w:space="0" w:color="auto"/>
                            <w:bottom w:val="none" w:sz="0" w:space="0" w:color="auto"/>
                            <w:right w:val="none" w:sz="0" w:space="0" w:color="auto"/>
                          </w:divBdr>
                          <w:divsChild>
                            <w:div w:id="1216624479">
                              <w:marLeft w:val="0"/>
                              <w:marRight w:val="0"/>
                              <w:marTop w:val="0"/>
                              <w:marBottom w:val="0"/>
                              <w:divBdr>
                                <w:top w:val="none" w:sz="0" w:space="0" w:color="auto"/>
                                <w:left w:val="none" w:sz="0" w:space="0" w:color="auto"/>
                                <w:bottom w:val="none" w:sz="0" w:space="0" w:color="auto"/>
                                <w:right w:val="none" w:sz="0" w:space="0" w:color="auto"/>
                              </w:divBdr>
                              <w:divsChild>
                                <w:div w:id="2025011539">
                                  <w:marLeft w:val="0"/>
                                  <w:marRight w:val="0"/>
                                  <w:marTop w:val="0"/>
                                  <w:marBottom w:val="0"/>
                                  <w:divBdr>
                                    <w:top w:val="none" w:sz="0" w:space="0" w:color="auto"/>
                                    <w:left w:val="none" w:sz="0" w:space="0" w:color="auto"/>
                                    <w:bottom w:val="none" w:sz="0" w:space="0" w:color="auto"/>
                                    <w:right w:val="none" w:sz="0" w:space="0" w:color="auto"/>
                                  </w:divBdr>
                                  <w:divsChild>
                                    <w:div w:id="510221018">
                                      <w:marLeft w:val="0"/>
                                      <w:marRight w:val="0"/>
                                      <w:marTop w:val="0"/>
                                      <w:marBottom w:val="0"/>
                                      <w:divBdr>
                                        <w:top w:val="none" w:sz="0" w:space="0" w:color="auto"/>
                                        <w:left w:val="none" w:sz="0" w:space="0" w:color="auto"/>
                                        <w:bottom w:val="none" w:sz="0" w:space="0" w:color="auto"/>
                                        <w:right w:val="none" w:sz="0" w:space="0" w:color="auto"/>
                                      </w:divBdr>
                                      <w:divsChild>
                                        <w:div w:id="562569776">
                                          <w:marLeft w:val="0"/>
                                          <w:marRight w:val="0"/>
                                          <w:marTop w:val="0"/>
                                          <w:marBottom w:val="0"/>
                                          <w:divBdr>
                                            <w:top w:val="none" w:sz="0" w:space="0" w:color="auto"/>
                                            <w:left w:val="none" w:sz="0" w:space="0" w:color="auto"/>
                                            <w:bottom w:val="none" w:sz="0" w:space="0" w:color="auto"/>
                                            <w:right w:val="none" w:sz="0" w:space="0" w:color="auto"/>
                                          </w:divBdr>
                                          <w:divsChild>
                                            <w:div w:id="958796825">
                                              <w:marLeft w:val="0"/>
                                              <w:marRight w:val="0"/>
                                              <w:marTop w:val="0"/>
                                              <w:marBottom w:val="0"/>
                                              <w:divBdr>
                                                <w:top w:val="none" w:sz="0" w:space="0" w:color="auto"/>
                                                <w:left w:val="none" w:sz="0" w:space="0" w:color="auto"/>
                                                <w:bottom w:val="none" w:sz="0" w:space="0" w:color="auto"/>
                                                <w:right w:val="none" w:sz="0" w:space="0" w:color="auto"/>
                                              </w:divBdr>
                                            </w:div>
                                          </w:divsChild>
                                        </w:div>
                                        <w:div w:id="1505507834">
                                          <w:marLeft w:val="0"/>
                                          <w:marRight w:val="0"/>
                                          <w:marTop w:val="0"/>
                                          <w:marBottom w:val="0"/>
                                          <w:divBdr>
                                            <w:top w:val="none" w:sz="0" w:space="0" w:color="auto"/>
                                            <w:left w:val="none" w:sz="0" w:space="0" w:color="auto"/>
                                            <w:bottom w:val="none" w:sz="0" w:space="0" w:color="auto"/>
                                            <w:right w:val="none" w:sz="0" w:space="0" w:color="auto"/>
                                          </w:divBdr>
                                          <w:divsChild>
                                            <w:div w:id="17485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776100">
      <w:bodyDiv w:val="1"/>
      <w:marLeft w:val="0"/>
      <w:marRight w:val="0"/>
      <w:marTop w:val="0"/>
      <w:marBottom w:val="0"/>
      <w:divBdr>
        <w:top w:val="none" w:sz="0" w:space="0" w:color="auto"/>
        <w:left w:val="none" w:sz="0" w:space="0" w:color="auto"/>
        <w:bottom w:val="none" w:sz="0" w:space="0" w:color="auto"/>
        <w:right w:val="none" w:sz="0" w:space="0" w:color="auto"/>
      </w:divBdr>
    </w:div>
    <w:div w:id="1384676801">
      <w:bodyDiv w:val="1"/>
      <w:marLeft w:val="0"/>
      <w:marRight w:val="0"/>
      <w:marTop w:val="0"/>
      <w:marBottom w:val="0"/>
      <w:divBdr>
        <w:top w:val="none" w:sz="0" w:space="0" w:color="auto"/>
        <w:left w:val="none" w:sz="0" w:space="0" w:color="auto"/>
        <w:bottom w:val="none" w:sz="0" w:space="0" w:color="auto"/>
        <w:right w:val="none" w:sz="0" w:space="0" w:color="auto"/>
      </w:divBdr>
    </w:div>
    <w:div w:id="1607956884">
      <w:bodyDiv w:val="1"/>
      <w:marLeft w:val="0"/>
      <w:marRight w:val="0"/>
      <w:marTop w:val="0"/>
      <w:marBottom w:val="0"/>
      <w:divBdr>
        <w:top w:val="none" w:sz="0" w:space="0" w:color="auto"/>
        <w:left w:val="none" w:sz="0" w:space="0" w:color="auto"/>
        <w:bottom w:val="none" w:sz="0" w:space="0" w:color="auto"/>
        <w:right w:val="none" w:sz="0" w:space="0" w:color="auto"/>
      </w:divBdr>
    </w:div>
    <w:div w:id="1831093877">
      <w:bodyDiv w:val="1"/>
      <w:marLeft w:val="0"/>
      <w:marRight w:val="0"/>
      <w:marTop w:val="0"/>
      <w:marBottom w:val="0"/>
      <w:divBdr>
        <w:top w:val="none" w:sz="0" w:space="0" w:color="auto"/>
        <w:left w:val="none" w:sz="0" w:space="0" w:color="auto"/>
        <w:bottom w:val="none" w:sz="0" w:space="0" w:color="auto"/>
        <w:right w:val="none" w:sz="0" w:space="0" w:color="auto"/>
      </w:divBdr>
    </w:div>
    <w:div w:id="1906989930">
      <w:bodyDiv w:val="1"/>
      <w:marLeft w:val="0"/>
      <w:marRight w:val="0"/>
      <w:marTop w:val="0"/>
      <w:marBottom w:val="0"/>
      <w:divBdr>
        <w:top w:val="none" w:sz="0" w:space="0" w:color="auto"/>
        <w:left w:val="none" w:sz="0" w:space="0" w:color="auto"/>
        <w:bottom w:val="none" w:sz="0" w:space="0" w:color="auto"/>
        <w:right w:val="none" w:sz="0" w:space="0" w:color="auto"/>
      </w:divBdr>
    </w:div>
    <w:div w:id="2120298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cademic.oup.com/eurheartj/article/35/45/3155/2481294/Management-of-antithrombotic-therapy-in-atrial" TargetMode="External"/><Relationship Id="rId18" Type="http://schemas.openxmlformats.org/officeDocument/2006/relationships/hyperlink" Target="http://www.ncbi.nlm.nih.gov/pmc/articles/PMC4255835/" TargetMode="External"/><Relationship Id="rId26" Type="http://schemas.openxmlformats.org/officeDocument/2006/relationships/hyperlink" Target="https://www.nice.org.uk/guidance/ng136/resources/visual-summary-pdf-6899919517" TargetMode="External"/><Relationship Id="rId39" Type="http://schemas.openxmlformats.org/officeDocument/2006/relationships/package" Target="embeddings/Microsoft_Excel_Macro-Enabled_Worksheet1.xlsm"/><Relationship Id="rId21" Type="http://schemas.openxmlformats.org/officeDocument/2006/relationships/hyperlink" Target="https://www.thinkkidneys.nhs.uk/aki/wp-content/uploads/sites/2/2016/03/Guidelines-for-Medicines-optimisation-in-patients-with-AKI-final.pdf" TargetMode="External"/><Relationship Id="rId34" Type="http://schemas.openxmlformats.org/officeDocument/2006/relationships/image" Target="media/image1.emf"/><Relationship Id="rId42" Type="http://schemas.openxmlformats.org/officeDocument/2006/relationships/image" Target="media/image5.emf"/><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cbi.nlm.nih.gov/pubmed/?term=Clausen%20MT%5BAuthor%5D&amp;cauthor=true&amp;cauthor_uid=20837828" TargetMode="External"/><Relationship Id="rId29" Type="http://schemas.openxmlformats.org/officeDocument/2006/relationships/hyperlink" Target="http://dx.doi.org/10.1111/bcp.12292" TargetMode="External"/><Relationship Id="rId11" Type="http://schemas.openxmlformats.org/officeDocument/2006/relationships/hyperlink" Target="https://www.nice.org.uk/guidance/qs120/chapter/quality-statement-6-structured-medication-review" TargetMode="External"/><Relationship Id="rId24" Type="http://schemas.openxmlformats.org/officeDocument/2006/relationships/hyperlink" Target="https://web.archive.org/web/20170903133827/http://www.scottishpatientsafetyprogramme.scot.nhs.uk/programmes/primary-care/medicine-sick-day-rules-card" TargetMode="External"/><Relationship Id="rId32" Type="http://schemas.openxmlformats.org/officeDocument/2006/relationships/hyperlink" Target="https://digital.nhs.uk/data-and-information/publications/statistical/prescriptions-dispensed-in-the-community" TargetMode="External"/><Relationship Id="rId37" Type="http://schemas.openxmlformats.org/officeDocument/2006/relationships/package" Target="embeddings/Microsoft_Excel_Macro-Enabled_Worksheet.xlsm"/><Relationship Id="rId40" Type="http://schemas.openxmlformats.org/officeDocument/2006/relationships/image" Target="media/image4.emf"/><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cbi.nlm.nih.gov/pubmed/20837828" TargetMode="External"/><Relationship Id="rId23" Type="http://schemas.openxmlformats.org/officeDocument/2006/relationships/hyperlink" Target="https://www.thinkkidneys.nhs.uk/aki/wp-content/uploads/sites/2/2016/03/Guidelines-for-Medicines-optimisation-in-patients-with-AKI-final.pdf" TargetMode="External"/><Relationship Id="rId28" Type="http://schemas.openxmlformats.org/officeDocument/2006/relationships/hyperlink" Target="https://dx.doi.org/10.1136/bmj.329.7456.15" TargetMode="External"/><Relationship Id="rId36" Type="http://schemas.openxmlformats.org/officeDocument/2006/relationships/image" Target="media/image2.emf"/><Relationship Id="rId49"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thinkkidneys.nhs.uk/aki/wp-content/uploads/sites/2/2016/03/Guidelines-for-Medicines-optimisation-in-patients-with-AKI-final.pdf" TargetMode="External"/><Relationship Id="rId31" Type="http://schemas.openxmlformats.org/officeDocument/2006/relationships/hyperlink" Target="https://www.england.nhs.uk/rightcare/"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advice/ktt16/chapter/Evidence-context" TargetMode="External"/><Relationship Id="rId22" Type="http://schemas.openxmlformats.org/officeDocument/2006/relationships/hyperlink" Target="http://www.ncbi.nlm.nih.gov/pmc/articles/PMC4255835/" TargetMode="External"/><Relationship Id="rId27" Type="http://schemas.openxmlformats.org/officeDocument/2006/relationships/hyperlink" Target="https://bnf.nice.org.uk/" TargetMode="External"/><Relationship Id="rId30" Type="http://schemas.openxmlformats.org/officeDocument/2006/relationships/hyperlink" Target="http://dx.doi.org/10.1186/1472-6963-14-76" TargetMode="External"/><Relationship Id="rId35" Type="http://schemas.openxmlformats.org/officeDocument/2006/relationships/package" Target="embeddings/Microsoft_Excel_Worksheet.xlsx"/><Relationship Id="rId43" Type="http://schemas.openxmlformats.org/officeDocument/2006/relationships/package" Target="embeddings/Microsoft_Excel_Macro-Enabled_Worksheet3.xlsm"/><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DataServicesSupport@nhsbsa.nhs.uk" TargetMode="External"/><Relationship Id="rId17" Type="http://schemas.openxmlformats.org/officeDocument/2006/relationships/hyperlink" Target="https://www.thinkkidneys.nhs.uk/aki/wp-content/uploads/sites/2/2016/03/Guidelines-for-Medicines-optimisation-in-patients-with-AKI-final.pdf" TargetMode="External"/><Relationship Id="rId25" Type="http://schemas.openxmlformats.org/officeDocument/2006/relationships/hyperlink" Target="https://www.nice.org.uk/guidance/ng136" TargetMode="External"/><Relationship Id="rId33" Type="http://schemas.openxmlformats.org/officeDocument/2006/relationships/hyperlink" Target="https://doi.org/10.1093/ageing/aft199" TargetMode="External"/><Relationship Id="rId38" Type="http://schemas.openxmlformats.org/officeDocument/2006/relationships/image" Target="media/image3.emf"/><Relationship Id="rId46" Type="http://schemas.openxmlformats.org/officeDocument/2006/relationships/footer" Target="footer2.xml"/><Relationship Id="rId20" Type="http://schemas.openxmlformats.org/officeDocument/2006/relationships/hyperlink" Target="https://web.archive.org/web/20170903133827/http://www.scottishpatientsafetyprogramme.scot.nhs.uk/programmes/primary-care/medicine-sick-day-rules-card" TargetMode="External"/><Relationship Id="rId41" Type="http://schemas.openxmlformats.org/officeDocument/2006/relationships/package" Target="embeddings/Microsoft_Excel_Macro-Enabled_Worksheet2.xlsm"/><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2D2087DE74C54DAA57B030A9EFE0EB" ma:contentTypeVersion="23" ma:contentTypeDescription="Create a new document." ma:contentTypeScope="" ma:versionID="9506af235854a95299159031fa00b0e6">
  <xsd:schema xmlns:xsd="http://www.w3.org/2001/XMLSchema" xmlns:xs="http://www.w3.org/2001/XMLSchema" xmlns:p="http://schemas.microsoft.com/office/2006/metadata/properties" xmlns:ns1="http://schemas.microsoft.com/sharepoint/v3" xmlns:ns2="91b86cd2-d370-4f57-9db8-681c4fb37596" xmlns:ns3="563bd847-283f-48dc-9444-f54c9e765c55" xmlns:ns4="2799d30d-6731-4efe-ac9b-c4895a8828d9" targetNamespace="http://schemas.microsoft.com/office/2006/metadata/properties" ma:root="true" ma:fieldsID="d8ff767c751ed9e20af37dece3408286" ns1:_="" ns2:_="" ns3:_="" ns4:_="">
    <xsd:import namespace="http://schemas.microsoft.com/sharepoint/v3"/>
    <xsd:import namespace="91b86cd2-d370-4f57-9db8-681c4fb37596"/>
    <xsd:import namespace="563bd847-283f-48dc-9444-f54c9e765c55"/>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4: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86cd2-d370-4f57-9db8-681c4fb37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bd847-283f-48dc-9444-f54c9e765c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a67792c-7d54-4970-a5a9-9b543de3b627}" ma:internalName="TaxCatchAll" ma:showField="CatchAllData" ma:web="563bd847-283f-48dc-9444-f54c9e765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b86cd2-d370-4f57-9db8-681c4fb37596">
      <Terms xmlns="http://schemas.microsoft.com/office/infopath/2007/PartnerControls"/>
    </lcf76f155ced4ddcb4097134ff3c332f>
    <TaxCatchAll xmlns="2799d30d-6731-4efe-ac9b-c4895a8828d9" xsi:nil="true"/>
  </documentManagement>
</p:properties>
</file>

<file path=customXml/itemProps1.xml><?xml version="1.0" encoding="utf-8"?>
<ds:datastoreItem xmlns:ds="http://schemas.openxmlformats.org/officeDocument/2006/customXml" ds:itemID="{A24C3843-9FF4-48FB-AA70-B8A7CC5EBB74}">
  <ds:schemaRefs>
    <ds:schemaRef ds:uri="http://schemas.microsoft.com/sharepoint/v3/contenttype/forms"/>
  </ds:schemaRefs>
</ds:datastoreItem>
</file>

<file path=customXml/itemProps2.xml><?xml version="1.0" encoding="utf-8"?>
<ds:datastoreItem xmlns:ds="http://schemas.openxmlformats.org/officeDocument/2006/customXml" ds:itemID="{5C23A524-CC4A-4A1D-B066-F93F0968B4D8}">
  <ds:schemaRefs>
    <ds:schemaRef ds:uri="http://schemas.microsoft.com/office/2006/metadata/longProperties"/>
  </ds:schemaRefs>
</ds:datastoreItem>
</file>

<file path=customXml/itemProps3.xml><?xml version="1.0" encoding="utf-8"?>
<ds:datastoreItem xmlns:ds="http://schemas.openxmlformats.org/officeDocument/2006/customXml" ds:itemID="{0F89CDD8-CD6F-4951-B5C6-E632746CA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b86cd2-d370-4f57-9db8-681c4fb37596"/>
    <ds:schemaRef ds:uri="563bd847-283f-48dc-9444-f54c9e765c55"/>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7C75A-BFAC-4AD4-82AF-156565F34155}">
  <ds:schemaRefs>
    <ds:schemaRef ds:uri="http://schemas.openxmlformats.org/officeDocument/2006/bibliography"/>
  </ds:schemaRefs>
</ds:datastoreItem>
</file>

<file path=customXml/itemProps5.xml><?xml version="1.0" encoding="utf-8"?>
<ds:datastoreItem xmlns:ds="http://schemas.openxmlformats.org/officeDocument/2006/customXml" ds:itemID="{4287C301-54C1-4294-9D8C-AF5B9D56759B}"/>
</file>

<file path=docMetadata/LabelInfo.xml><?xml version="1.0" encoding="utf-8"?>
<clbl:labelList xmlns:clbl="http://schemas.microsoft.com/office/2020/mipLabelMetadata">
  <clbl:label id="{f52d287b-af50-4fcf-9040-106ecb50d969}" enabled="1" method="Standard" siteId="{cf6d0482-86b1-4f88-8c0c-3b4de4cb402c}" removed="0"/>
</clbl:labelList>
</file>

<file path=docProps/app.xml><?xml version="1.0" encoding="utf-8"?>
<Properties xmlns="http://schemas.openxmlformats.org/officeDocument/2006/extended-properties" xmlns:vt="http://schemas.openxmlformats.org/officeDocument/2006/docPropsVTypes">
  <Template>Normal.dotm</Template>
  <TotalTime>297</TotalTime>
  <Pages>32</Pages>
  <Words>9918</Words>
  <Characters>56533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Information Services landscape Word document template V1</vt:lpstr>
    </vt:vector>
  </TitlesOfParts>
  <Company>NHS Pensions</Company>
  <LinksUpToDate>false</LinksUpToDate>
  <CharactersWithSpaces>66319</CharactersWithSpaces>
  <SharedDoc>false</SharedDoc>
  <HLinks>
    <vt:vector size="336" baseType="variant">
      <vt:variant>
        <vt:i4>6225995</vt:i4>
      </vt:variant>
      <vt:variant>
        <vt:i4>258</vt:i4>
      </vt:variant>
      <vt:variant>
        <vt:i4>0</vt:i4>
      </vt:variant>
      <vt:variant>
        <vt:i4>5</vt:i4>
      </vt:variant>
      <vt:variant>
        <vt:lpwstr>https://doi.org/10.1093/ageing/aft199</vt:lpwstr>
      </vt:variant>
      <vt:variant>
        <vt:lpwstr/>
      </vt:variant>
      <vt:variant>
        <vt:i4>3407993</vt:i4>
      </vt:variant>
      <vt:variant>
        <vt:i4>255</vt:i4>
      </vt:variant>
      <vt:variant>
        <vt:i4>0</vt:i4>
      </vt:variant>
      <vt:variant>
        <vt:i4>5</vt:i4>
      </vt:variant>
      <vt:variant>
        <vt:lpwstr>http://content.digital.nhs.uk/searchcatalogue?productid=20895&amp;q=title%3a%22Prescriptions+Dispensed+in+the+Community%22&amp;sort=Relevance&amp;size=10&amp;page=1</vt:lpwstr>
      </vt:variant>
      <vt:variant>
        <vt:lpwstr>top</vt:lpwstr>
      </vt:variant>
      <vt:variant>
        <vt:i4>2752558</vt:i4>
      </vt:variant>
      <vt:variant>
        <vt:i4>252</vt:i4>
      </vt:variant>
      <vt:variant>
        <vt:i4>0</vt:i4>
      </vt:variant>
      <vt:variant>
        <vt:i4>5</vt:i4>
      </vt:variant>
      <vt:variant>
        <vt:lpwstr>http://www.kingsfund.org.uk/sites/files/kf/field/field_publication_file/polypharmacy-and-medicines-optimisation-kingsfund-nov13.pdf</vt:lpwstr>
      </vt:variant>
      <vt:variant>
        <vt:lpwstr/>
      </vt:variant>
      <vt:variant>
        <vt:i4>4325392</vt:i4>
      </vt:variant>
      <vt:variant>
        <vt:i4>249</vt:i4>
      </vt:variant>
      <vt:variant>
        <vt:i4>0</vt:i4>
      </vt:variant>
      <vt:variant>
        <vt:i4>5</vt:i4>
      </vt:variant>
      <vt:variant>
        <vt:lpwstr>https://www.england.nhs.uk/rightcare/</vt:lpwstr>
      </vt:variant>
      <vt:variant>
        <vt:lpwstr/>
      </vt:variant>
      <vt:variant>
        <vt:i4>4390993</vt:i4>
      </vt:variant>
      <vt:variant>
        <vt:i4>246</vt:i4>
      </vt:variant>
      <vt:variant>
        <vt:i4>0</vt:i4>
      </vt:variant>
      <vt:variant>
        <vt:i4>5</vt:i4>
      </vt:variant>
      <vt:variant>
        <vt:lpwstr>http://dx.doi.org/10.1186/1472-6963-14-76</vt:lpwstr>
      </vt:variant>
      <vt:variant>
        <vt:lpwstr/>
      </vt:variant>
      <vt:variant>
        <vt:i4>2359418</vt:i4>
      </vt:variant>
      <vt:variant>
        <vt:i4>243</vt:i4>
      </vt:variant>
      <vt:variant>
        <vt:i4>0</vt:i4>
      </vt:variant>
      <vt:variant>
        <vt:i4>5</vt:i4>
      </vt:variant>
      <vt:variant>
        <vt:lpwstr>http://dx.doi.org/10.1111/bcp.12292</vt:lpwstr>
      </vt:variant>
      <vt:variant>
        <vt:lpwstr/>
      </vt:variant>
      <vt:variant>
        <vt:i4>7274599</vt:i4>
      </vt:variant>
      <vt:variant>
        <vt:i4>240</vt:i4>
      </vt:variant>
      <vt:variant>
        <vt:i4>0</vt:i4>
      </vt:variant>
      <vt:variant>
        <vt:i4>5</vt:i4>
      </vt:variant>
      <vt:variant>
        <vt:lpwstr>https://dx.doi.org/10.1136/bmj.329.7456.15</vt:lpwstr>
      </vt:variant>
      <vt:variant>
        <vt:lpwstr/>
      </vt:variant>
      <vt:variant>
        <vt:i4>983120</vt:i4>
      </vt:variant>
      <vt:variant>
        <vt:i4>237</vt:i4>
      </vt:variant>
      <vt:variant>
        <vt:i4>0</vt:i4>
      </vt:variant>
      <vt:variant>
        <vt:i4>5</vt:i4>
      </vt:variant>
      <vt:variant>
        <vt:lpwstr>https://bnf.nice.org.uk/</vt:lpwstr>
      </vt:variant>
      <vt:variant>
        <vt:lpwstr/>
      </vt:variant>
      <vt:variant>
        <vt:i4>7602272</vt:i4>
      </vt:variant>
      <vt:variant>
        <vt:i4>234</vt:i4>
      </vt:variant>
      <vt:variant>
        <vt:i4>0</vt:i4>
      </vt:variant>
      <vt:variant>
        <vt:i4>5</vt:i4>
      </vt:variant>
      <vt:variant>
        <vt:lpwstr>https://www.nice.org.uk/guidance/ng136/resources/visual-summary-pdf-6899919517</vt:lpwstr>
      </vt:variant>
      <vt:variant>
        <vt:lpwstr/>
      </vt:variant>
      <vt:variant>
        <vt:i4>6619171</vt:i4>
      </vt:variant>
      <vt:variant>
        <vt:i4>231</vt:i4>
      </vt:variant>
      <vt:variant>
        <vt:i4>0</vt:i4>
      </vt:variant>
      <vt:variant>
        <vt:i4>5</vt:i4>
      </vt:variant>
      <vt:variant>
        <vt:lpwstr>https://www.nice.org.uk/guidance/ng136</vt:lpwstr>
      </vt:variant>
      <vt:variant>
        <vt:lpwstr/>
      </vt:variant>
      <vt:variant>
        <vt:i4>3211347</vt:i4>
      </vt:variant>
      <vt:variant>
        <vt:i4>219</vt:i4>
      </vt:variant>
      <vt:variant>
        <vt:i4>0</vt:i4>
      </vt:variant>
      <vt:variant>
        <vt:i4>5</vt:i4>
      </vt:variant>
      <vt:variant>
        <vt:lpwstr>http://www.sign.ac.uk/pdf/polypharmacy_guidance.pdf</vt:lpwstr>
      </vt:variant>
      <vt:variant>
        <vt:lpwstr/>
      </vt:variant>
      <vt:variant>
        <vt:i4>1179670</vt:i4>
      </vt:variant>
      <vt:variant>
        <vt:i4>216</vt:i4>
      </vt:variant>
      <vt:variant>
        <vt:i4>0</vt:i4>
      </vt:variant>
      <vt:variant>
        <vt:i4>5</vt:i4>
      </vt:variant>
      <vt:variant>
        <vt:lpwstr>http://www.agingbraincare.org/uploads/products/ACB_scale_-_legal_size.pdf</vt:lpwstr>
      </vt:variant>
      <vt:variant>
        <vt:lpwstr/>
      </vt:variant>
      <vt:variant>
        <vt:i4>589846</vt:i4>
      </vt:variant>
      <vt:variant>
        <vt:i4>213</vt:i4>
      </vt:variant>
      <vt:variant>
        <vt:i4>0</vt:i4>
      </vt:variant>
      <vt:variant>
        <vt:i4>5</vt:i4>
      </vt:variant>
      <vt:variant>
        <vt:lpwstr/>
      </vt:variant>
      <vt:variant>
        <vt:lpwstr>Appendix2</vt:lpwstr>
      </vt:variant>
      <vt:variant>
        <vt:i4>1179670</vt:i4>
      </vt:variant>
      <vt:variant>
        <vt:i4>210</vt:i4>
      </vt:variant>
      <vt:variant>
        <vt:i4>0</vt:i4>
      </vt:variant>
      <vt:variant>
        <vt:i4>5</vt:i4>
      </vt:variant>
      <vt:variant>
        <vt:lpwstr>http://www.agingbraincare.org/uploads/products/ACB_scale_-_legal_size.pdf</vt:lpwstr>
      </vt:variant>
      <vt:variant>
        <vt:lpwstr/>
      </vt:variant>
      <vt:variant>
        <vt:i4>589846</vt:i4>
      </vt:variant>
      <vt:variant>
        <vt:i4>207</vt:i4>
      </vt:variant>
      <vt:variant>
        <vt:i4>0</vt:i4>
      </vt:variant>
      <vt:variant>
        <vt:i4>5</vt:i4>
      </vt:variant>
      <vt:variant>
        <vt:lpwstr/>
      </vt:variant>
      <vt:variant>
        <vt:lpwstr>Appendix2</vt:lpwstr>
      </vt:variant>
      <vt:variant>
        <vt:i4>2293887</vt:i4>
      </vt:variant>
      <vt:variant>
        <vt:i4>204</vt:i4>
      </vt:variant>
      <vt:variant>
        <vt:i4>0</vt:i4>
      </vt:variant>
      <vt:variant>
        <vt:i4>5</vt:i4>
      </vt:variant>
      <vt:variant>
        <vt:lpwstr>http://www.scottishpatientsafetyprogramme.scot.nhs.uk/programmes/primary-care/medicine-sick-day-rules-card</vt:lpwstr>
      </vt:variant>
      <vt:variant>
        <vt:lpwstr/>
      </vt:variant>
      <vt:variant>
        <vt:i4>2228345</vt:i4>
      </vt:variant>
      <vt:variant>
        <vt:i4>201</vt:i4>
      </vt:variant>
      <vt:variant>
        <vt:i4>0</vt:i4>
      </vt:variant>
      <vt:variant>
        <vt:i4>5</vt:i4>
      </vt:variant>
      <vt:variant>
        <vt:lpwstr>https://www.thinkkidneys.nhs.uk/aki/wp-content/uploads/sites/2/2016/03/Guidelines-for-Medicines-optimisation-in-patients-with-AKI-final.pdf</vt:lpwstr>
      </vt:variant>
      <vt:variant>
        <vt:lpwstr/>
      </vt:variant>
      <vt:variant>
        <vt:i4>131072</vt:i4>
      </vt:variant>
      <vt:variant>
        <vt:i4>198</vt:i4>
      </vt:variant>
      <vt:variant>
        <vt:i4>0</vt:i4>
      </vt:variant>
      <vt:variant>
        <vt:i4>5</vt:i4>
      </vt:variant>
      <vt:variant>
        <vt:lpwstr>http://www.ncbi.nlm.nih.gov/pmc/articles/PMC4255835/</vt:lpwstr>
      </vt:variant>
      <vt:variant>
        <vt:lpwstr/>
      </vt:variant>
      <vt:variant>
        <vt:i4>2228345</vt:i4>
      </vt:variant>
      <vt:variant>
        <vt:i4>195</vt:i4>
      </vt:variant>
      <vt:variant>
        <vt:i4>0</vt:i4>
      </vt:variant>
      <vt:variant>
        <vt:i4>5</vt:i4>
      </vt:variant>
      <vt:variant>
        <vt:lpwstr>https://www.thinkkidneys.nhs.uk/aki/wp-content/uploads/sites/2/2016/03/Guidelines-for-Medicines-optimisation-in-patients-with-AKI-final.pdf</vt:lpwstr>
      </vt:variant>
      <vt:variant>
        <vt:lpwstr/>
      </vt:variant>
      <vt:variant>
        <vt:i4>2293887</vt:i4>
      </vt:variant>
      <vt:variant>
        <vt:i4>192</vt:i4>
      </vt:variant>
      <vt:variant>
        <vt:i4>0</vt:i4>
      </vt:variant>
      <vt:variant>
        <vt:i4>5</vt:i4>
      </vt:variant>
      <vt:variant>
        <vt:lpwstr>http://www.scottishpatientsafetyprogramme.scot.nhs.uk/programmes/primary-care/medicine-sick-day-rules-card</vt:lpwstr>
      </vt:variant>
      <vt:variant>
        <vt:lpwstr/>
      </vt:variant>
      <vt:variant>
        <vt:i4>131072</vt:i4>
      </vt:variant>
      <vt:variant>
        <vt:i4>189</vt:i4>
      </vt:variant>
      <vt:variant>
        <vt:i4>0</vt:i4>
      </vt:variant>
      <vt:variant>
        <vt:i4>5</vt:i4>
      </vt:variant>
      <vt:variant>
        <vt:lpwstr>http://www.ncbi.nlm.nih.gov/pmc/articles/PMC4255835/</vt:lpwstr>
      </vt:variant>
      <vt:variant>
        <vt:lpwstr/>
      </vt:variant>
      <vt:variant>
        <vt:i4>2228345</vt:i4>
      </vt:variant>
      <vt:variant>
        <vt:i4>186</vt:i4>
      </vt:variant>
      <vt:variant>
        <vt:i4>0</vt:i4>
      </vt:variant>
      <vt:variant>
        <vt:i4>5</vt:i4>
      </vt:variant>
      <vt:variant>
        <vt:lpwstr>https://www.thinkkidneys.nhs.uk/aki/wp-content/uploads/sites/2/2016/03/Guidelines-for-Medicines-optimisation-in-patients-with-AKI-final.pdf</vt:lpwstr>
      </vt:variant>
      <vt:variant>
        <vt:lpwstr/>
      </vt:variant>
      <vt:variant>
        <vt:i4>8323157</vt:i4>
      </vt:variant>
      <vt:variant>
        <vt:i4>183</vt:i4>
      </vt:variant>
      <vt:variant>
        <vt:i4>0</vt:i4>
      </vt:variant>
      <vt:variant>
        <vt:i4>5</vt:i4>
      </vt:variant>
      <vt:variant>
        <vt:lpwstr>https://www.ncbi.nlm.nih.gov/pubmed/?term=Clausen%20MT%5BAuthor%5D&amp;cauthor=true&amp;cauthor_uid=20837828</vt:lpwstr>
      </vt:variant>
      <vt:variant>
        <vt:lpwstr/>
      </vt:variant>
      <vt:variant>
        <vt:i4>852052</vt:i4>
      </vt:variant>
      <vt:variant>
        <vt:i4>180</vt:i4>
      </vt:variant>
      <vt:variant>
        <vt:i4>0</vt:i4>
      </vt:variant>
      <vt:variant>
        <vt:i4>5</vt:i4>
      </vt:variant>
      <vt:variant>
        <vt:lpwstr>https://www.ncbi.nlm.nih.gov/pubmed/20837828</vt:lpwstr>
      </vt:variant>
      <vt:variant>
        <vt:lpwstr/>
      </vt:variant>
      <vt:variant>
        <vt:i4>5111900</vt:i4>
      </vt:variant>
      <vt:variant>
        <vt:i4>177</vt:i4>
      </vt:variant>
      <vt:variant>
        <vt:i4>0</vt:i4>
      </vt:variant>
      <vt:variant>
        <vt:i4>5</vt:i4>
      </vt:variant>
      <vt:variant>
        <vt:lpwstr>https://www.nice.org.uk/advice/ktt16/chapter/Evidence-context</vt:lpwstr>
      </vt:variant>
      <vt:variant>
        <vt:lpwstr>safety-issues-with-anticoagulants</vt:lpwstr>
      </vt:variant>
      <vt:variant>
        <vt:i4>1835010</vt:i4>
      </vt:variant>
      <vt:variant>
        <vt:i4>174</vt:i4>
      </vt:variant>
      <vt:variant>
        <vt:i4>0</vt:i4>
      </vt:variant>
      <vt:variant>
        <vt:i4>5</vt:i4>
      </vt:variant>
      <vt:variant>
        <vt:lpwstr>https://academic.oup.com/eurheartj/article/35/45/3155/2481294/Management-of-antithrombotic-therapy-in-atrial</vt:lpwstr>
      </vt:variant>
      <vt:variant>
        <vt:lpwstr/>
      </vt:variant>
      <vt:variant>
        <vt:i4>655485</vt:i4>
      </vt:variant>
      <vt:variant>
        <vt:i4>171</vt:i4>
      </vt:variant>
      <vt:variant>
        <vt:i4>0</vt:i4>
      </vt:variant>
      <vt:variant>
        <vt:i4>5</vt:i4>
      </vt:variant>
      <vt:variant>
        <vt:lpwstr>mailto:DataServicesSupport@nhsbsa.nhs.uk</vt:lpwstr>
      </vt:variant>
      <vt:variant>
        <vt:lpwstr/>
      </vt:variant>
      <vt:variant>
        <vt:i4>8126523</vt:i4>
      </vt:variant>
      <vt:variant>
        <vt:i4>168</vt:i4>
      </vt:variant>
      <vt:variant>
        <vt:i4>0</vt:i4>
      </vt:variant>
      <vt:variant>
        <vt:i4>5</vt:i4>
      </vt:variant>
      <vt:variant>
        <vt:lpwstr>https://www.nice.org.uk/guidance/qs120/chapter/quality-statement-6-structured-medication-review</vt:lpwstr>
      </vt:variant>
      <vt:variant>
        <vt:lpwstr/>
      </vt:variant>
      <vt:variant>
        <vt:i4>589846</vt:i4>
      </vt:variant>
      <vt:variant>
        <vt:i4>165</vt:i4>
      </vt:variant>
      <vt:variant>
        <vt:i4>0</vt:i4>
      </vt:variant>
      <vt:variant>
        <vt:i4>5</vt:i4>
      </vt:variant>
      <vt:variant>
        <vt:lpwstr/>
      </vt:variant>
      <vt:variant>
        <vt:lpwstr>Appendix1</vt:lpwstr>
      </vt:variant>
      <vt:variant>
        <vt:i4>1507380</vt:i4>
      </vt:variant>
      <vt:variant>
        <vt:i4>158</vt:i4>
      </vt:variant>
      <vt:variant>
        <vt:i4>0</vt:i4>
      </vt:variant>
      <vt:variant>
        <vt:i4>5</vt:i4>
      </vt:variant>
      <vt:variant>
        <vt:lpwstr/>
      </vt:variant>
      <vt:variant>
        <vt:lpwstr>_Toc200039590</vt:lpwstr>
      </vt:variant>
      <vt:variant>
        <vt:i4>1441844</vt:i4>
      </vt:variant>
      <vt:variant>
        <vt:i4>152</vt:i4>
      </vt:variant>
      <vt:variant>
        <vt:i4>0</vt:i4>
      </vt:variant>
      <vt:variant>
        <vt:i4>5</vt:i4>
      </vt:variant>
      <vt:variant>
        <vt:lpwstr/>
      </vt:variant>
      <vt:variant>
        <vt:lpwstr>_Toc200039589</vt:lpwstr>
      </vt:variant>
      <vt:variant>
        <vt:i4>1441844</vt:i4>
      </vt:variant>
      <vt:variant>
        <vt:i4>146</vt:i4>
      </vt:variant>
      <vt:variant>
        <vt:i4>0</vt:i4>
      </vt:variant>
      <vt:variant>
        <vt:i4>5</vt:i4>
      </vt:variant>
      <vt:variant>
        <vt:lpwstr/>
      </vt:variant>
      <vt:variant>
        <vt:lpwstr>_Toc200039588</vt:lpwstr>
      </vt:variant>
      <vt:variant>
        <vt:i4>1441844</vt:i4>
      </vt:variant>
      <vt:variant>
        <vt:i4>140</vt:i4>
      </vt:variant>
      <vt:variant>
        <vt:i4>0</vt:i4>
      </vt:variant>
      <vt:variant>
        <vt:i4>5</vt:i4>
      </vt:variant>
      <vt:variant>
        <vt:lpwstr/>
      </vt:variant>
      <vt:variant>
        <vt:lpwstr>_Toc200039587</vt:lpwstr>
      </vt:variant>
      <vt:variant>
        <vt:i4>1441844</vt:i4>
      </vt:variant>
      <vt:variant>
        <vt:i4>134</vt:i4>
      </vt:variant>
      <vt:variant>
        <vt:i4>0</vt:i4>
      </vt:variant>
      <vt:variant>
        <vt:i4>5</vt:i4>
      </vt:variant>
      <vt:variant>
        <vt:lpwstr/>
      </vt:variant>
      <vt:variant>
        <vt:lpwstr>_Toc200039586</vt:lpwstr>
      </vt:variant>
      <vt:variant>
        <vt:i4>1441844</vt:i4>
      </vt:variant>
      <vt:variant>
        <vt:i4>128</vt:i4>
      </vt:variant>
      <vt:variant>
        <vt:i4>0</vt:i4>
      </vt:variant>
      <vt:variant>
        <vt:i4>5</vt:i4>
      </vt:variant>
      <vt:variant>
        <vt:lpwstr/>
      </vt:variant>
      <vt:variant>
        <vt:lpwstr>_Toc200039585</vt:lpwstr>
      </vt:variant>
      <vt:variant>
        <vt:i4>1441844</vt:i4>
      </vt:variant>
      <vt:variant>
        <vt:i4>122</vt:i4>
      </vt:variant>
      <vt:variant>
        <vt:i4>0</vt:i4>
      </vt:variant>
      <vt:variant>
        <vt:i4>5</vt:i4>
      </vt:variant>
      <vt:variant>
        <vt:lpwstr/>
      </vt:variant>
      <vt:variant>
        <vt:lpwstr>_Toc200039584</vt:lpwstr>
      </vt:variant>
      <vt:variant>
        <vt:i4>1441844</vt:i4>
      </vt:variant>
      <vt:variant>
        <vt:i4>116</vt:i4>
      </vt:variant>
      <vt:variant>
        <vt:i4>0</vt:i4>
      </vt:variant>
      <vt:variant>
        <vt:i4>5</vt:i4>
      </vt:variant>
      <vt:variant>
        <vt:lpwstr/>
      </vt:variant>
      <vt:variant>
        <vt:lpwstr>_Toc200039583</vt:lpwstr>
      </vt:variant>
      <vt:variant>
        <vt:i4>1441844</vt:i4>
      </vt:variant>
      <vt:variant>
        <vt:i4>110</vt:i4>
      </vt:variant>
      <vt:variant>
        <vt:i4>0</vt:i4>
      </vt:variant>
      <vt:variant>
        <vt:i4>5</vt:i4>
      </vt:variant>
      <vt:variant>
        <vt:lpwstr/>
      </vt:variant>
      <vt:variant>
        <vt:lpwstr>_Toc200039582</vt:lpwstr>
      </vt:variant>
      <vt:variant>
        <vt:i4>1441844</vt:i4>
      </vt:variant>
      <vt:variant>
        <vt:i4>104</vt:i4>
      </vt:variant>
      <vt:variant>
        <vt:i4>0</vt:i4>
      </vt:variant>
      <vt:variant>
        <vt:i4>5</vt:i4>
      </vt:variant>
      <vt:variant>
        <vt:lpwstr/>
      </vt:variant>
      <vt:variant>
        <vt:lpwstr>_Toc200039581</vt:lpwstr>
      </vt:variant>
      <vt:variant>
        <vt:i4>1441844</vt:i4>
      </vt:variant>
      <vt:variant>
        <vt:i4>98</vt:i4>
      </vt:variant>
      <vt:variant>
        <vt:i4>0</vt:i4>
      </vt:variant>
      <vt:variant>
        <vt:i4>5</vt:i4>
      </vt:variant>
      <vt:variant>
        <vt:lpwstr/>
      </vt:variant>
      <vt:variant>
        <vt:lpwstr>_Toc200039580</vt:lpwstr>
      </vt:variant>
      <vt:variant>
        <vt:i4>1638452</vt:i4>
      </vt:variant>
      <vt:variant>
        <vt:i4>92</vt:i4>
      </vt:variant>
      <vt:variant>
        <vt:i4>0</vt:i4>
      </vt:variant>
      <vt:variant>
        <vt:i4>5</vt:i4>
      </vt:variant>
      <vt:variant>
        <vt:lpwstr/>
      </vt:variant>
      <vt:variant>
        <vt:lpwstr>_Toc200039579</vt:lpwstr>
      </vt:variant>
      <vt:variant>
        <vt:i4>1638452</vt:i4>
      </vt:variant>
      <vt:variant>
        <vt:i4>86</vt:i4>
      </vt:variant>
      <vt:variant>
        <vt:i4>0</vt:i4>
      </vt:variant>
      <vt:variant>
        <vt:i4>5</vt:i4>
      </vt:variant>
      <vt:variant>
        <vt:lpwstr/>
      </vt:variant>
      <vt:variant>
        <vt:lpwstr>_Toc200039578</vt:lpwstr>
      </vt:variant>
      <vt:variant>
        <vt:i4>1638452</vt:i4>
      </vt:variant>
      <vt:variant>
        <vt:i4>80</vt:i4>
      </vt:variant>
      <vt:variant>
        <vt:i4>0</vt:i4>
      </vt:variant>
      <vt:variant>
        <vt:i4>5</vt:i4>
      </vt:variant>
      <vt:variant>
        <vt:lpwstr/>
      </vt:variant>
      <vt:variant>
        <vt:lpwstr>_Toc200039577</vt:lpwstr>
      </vt:variant>
      <vt:variant>
        <vt:i4>1638452</vt:i4>
      </vt:variant>
      <vt:variant>
        <vt:i4>74</vt:i4>
      </vt:variant>
      <vt:variant>
        <vt:i4>0</vt:i4>
      </vt:variant>
      <vt:variant>
        <vt:i4>5</vt:i4>
      </vt:variant>
      <vt:variant>
        <vt:lpwstr/>
      </vt:variant>
      <vt:variant>
        <vt:lpwstr>_Toc200039576</vt:lpwstr>
      </vt:variant>
      <vt:variant>
        <vt:i4>1638452</vt:i4>
      </vt:variant>
      <vt:variant>
        <vt:i4>68</vt:i4>
      </vt:variant>
      <vt:variant>
        <vt:i4>0</vt:i4>
      </vt:variant>
      <vt:variant>
        <vt:i4>5</vt:i4>
      </vt:variant>
      <vt:variant>
        <vt:lpwstr/>
      </vt:variant>
      <vt:variant>
        <vt:lpwstr>_Toc200039575</vt:lpwstr>
      </vt:variant>
      <vt:variant>
        <vt:i4>1638452</vt:i4>
      </vt:variant>
      <vt:variant>
        <vt:i4>62</vt:i4>
      </vt:variant>
      <vt:variant>
        <vt:i4>0</vt:i4>
      </vt:variant>
      <vt:variant>
        <vt:i4>5</vt:i4>
      </vt:variant>
      <vt:variant>
        <vt:lpwstr/>
      </vt:variant>
      <vt:variant>
        <vt:lpwstr>_Toc200039574</vt:lpwstr>
      </vt:variant>
      <vt:variant>
        <vt:i4>1638452</vt:i4>
      </vt:variant>
      <vt:variant>
        <vt:i4>56</vt:i4>
      </vt:variant>
      <vt:variant>
        <vt:i4>0</vt:i4>
      </vt:variant>
      <vt:variant>
        <vt:i4>5</vt:i4>
      </vt:variant>
      <vt:variant>
        <vt:lpwstr/>
      </vt:variant>
      <vt:variant>
        <vt:lpwstr>_Toc200039573</vt:lpwstr>
      </vt:variant>
      <vt:variant>
        <vt:i4>1638452</vt:i4>
      </vt:variant>
      <vt:variant>
        <vt:i4>50</vt:i4>
      </vt:variant>
      <vt:variant>
        <vt:i4>0</vt:i4>
      </vt:variant>
      <vt:variant>
        <vt:i4>5</vt:i4>
      </vt:variant>
      <vt:variant>
        <vt:lpwstr/>
      </vt:variant>
      <vt:variant>
        <vt:lpwstr>_Toc200039572</vt:lpwstr>
      </vt:variant>
      <vt:variant>
        <vt:i4>1638452</vt:i4>
      </vt:variant>
      <vt:variant>
        <vt:i4>44</vt:i4>
      </vt:variant>
      <vt:variant>
        <vt:i4>0</vt:i4>
      </vt:variant>
      <vt:variant>
        <vt:i4>5</vt:i4>
      </vt:variant>
      <vt:variant>
        <vt:lpwstr/>
      </vt:variant>
      <vt:variant>
        <vt:lpwstr>_Toc200039571</vt:lpwstr>
      </vt:variant>
      <vt:variant>
        <vt:i4>1638452</vt:i4>
      </vt:variant>
      <vt:variant>
        <vt:i4>38</vt:i4>
      </vt:variant>
      <vt:variant>
        <vt:i4>0</vt:i4>
      </vt:variant>
      <vt:variant>
        <vt:i4>5</vt:i4>
      </vt:variant>
      <vt:variant>
        <vt:lpwstr/>
      </vt:variant>
      <vt:variant>
        <vt:lpwstr>_Toc200039570</vt:lpwstr>
      </vt:variant>
      <vt:variant>
        <vt:i4>1572916</vt:i4>
      </vt:variant>
      <vt:variant>
        <vt:i4>32</vt:i4>
      </vt:variant>
      <vt:variant>
        <vt:i4>0</vt:i4>
      </vt:variant>
      <vt:variant>
        <vt:i4>5</vt:i4>
      </vt:variant>
      <vt:variant>
        <vt:lpwstr/>
      </vt:variant>
      <vt:variant>
        <vt:lpwstr>_Toc200039569</vt:lpwstr>
      </vt:variant>
      <vt:variant>
        <vt:i4>1572916</vt:i4>
      </vt:variant>
      <vt:variant>
        <vt:i4>26</vt:i4>
      </vt:variant>
      <vt:variant>
        <vt:i4>0</vt:i4>
      </vt:variant>
      <vt:variant>
        <vt:i4>5</vt:i4>
      </vt:variant>
      <vt:variant>
        <vt:lpwstr/>
      </vt:variant>
      <vt:variant>
        <vt:lpwstr>_Toc200039568</vt:lpwstr>
      </vt:variant>
      <vt:variant>
        <vt:i4>1572916</vt:i4>
      </vt:variant>
      <vt:variant>
        <vt:i4>20</vt:i4>
      </vt:variant>
      <vt:variant>
        <vt:i4>0</vt:i4>
      </vt:variant>
      <vt:variant>
        <vt:i4>5</vt:i4>
      </vt:variant>
      <vt:variant>
        <vt:lpwstr/>
      </vt:variant>
      <vt:variant>
        <vt:lpwstr>_Toc200039567</vt:lpwstr>
      </vt:variant>
      <vt:variant>
        <vt:i4>1572916</vt:i4>
      </vt:variant>
      <vt:variant>
        <vt:i4>14</vt:i4>
      </vt:variant>
      <vt:variant>
        <vt:i4>0</vt:i4>
      </vt:variant>
      <vt:variant>
        <vt:i4>5</vt:i4>
      </vt:variant>
      <vt:variant>
        <vt:lpwstr/>
      </vt:variant>
      <vt:variant>
        <vt:lpwstr>_Toc200039566</vt:lpwstr>
      </vt:variant>
      <vt:variant>
        <vt:i4>1572916</vt:i4>
      </vt:variant>
      <vt:variant>
        <vt:i4>8</vt:i4>
      </vt:variant>
      <vt:variant>
        <vt:i4>0</vt:i4>
      </vt:variant>
      <vt:variant>
        <vt:i4>5</vt:i4>
      </vt:variant>
      <vt:variant>
        <vt:lpwstr/>
      </vt:variant>
      <vt:variant>
        <vt:lpwstr>_Toc200039565</vt:lpwstr>
      </vt:variant>
      <vt:variant>
        <vt:i4>1572916</vt:i4>
      </vt:variant>
      <vt:variant>
        <vt:i4>2</vt:i4>
      </vt:variant>
      <vt:variant>
        <vt:i4>0</vt:i4>
      </vt:variant>
      <vt:variant>
        <vt:i4>5</vt:i4>
      </vt:variant>
      <vt:variant>
        <vt:lpwstr/>
      </vt:variant>
      <vt:variant>
        <vt:lpwstr>_Toc200039564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Services landscape Word document template V1</dc:title>
  <dc:subject/>
  <dc:creator>NRatclif</dc:creator>
  <cp:keywords/>
  <cp:lastModifiedBy>Joseph Hamed</cp:lastModifiedBy>
  <cp:revision>48</cp:revision>
  <cp:lastPrinted>2018-02-13T11:09:00Z</cp:lastPrinted>
  <dcterms:created xsi:type="dcterms:W3CDTF">2025-09-15T11:12:00Z</dcterms:created>
  <dcterms:modified xsi:type="dcterms:W3CDTF">2026-07-06T11:06:00Z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rimaryOwner">
    <vt:lpwstr>224</vt:lpwstr>
  </property>
  <property fmtid="{D5CDD505-2E9C-101B-9397-08002B2CF9AE}" pid="3" name="DepartmentManagedMetadata">
    <vt:lpwstr>46;#Customer Insight and Communications|3adf1842-26d1-43aa-91a8-1f6dd431fc74</vt:lpwstr>
  </property>
  <property fmtid="{D5CDD505-2E9C-101B-9397-08002B2CF9AE}" pid="4" name="_SecondaryOwner">
    <vt:lpwstr>220</vt:lpwstr>
  </property>
  <property fmtid="{D5CDD505-2E9C-101B-9397-08002B2CF9AE}" pid="5" name="_EndDateTime">
    <vt:lpwstr>2017-01-03T00:00:00Z</vt:lpwstr>
  </property>
  <property fmtid="{D5CDD505-2E9C-101B-9397-08002B2CF9AE}" pid="6" name="IntranetCategoryManagedMetadata">
    <vt:lpwstr>57;#Communications|3eb392b9-16a9-45d8-947f-db9d186f210d</vt:lpwstr>
  </property>
  <property fmtid="{D5CDD505-2E9C-101B-9397-08002B2CF9AE}" pid="7" name="IntranetCategoryManagedMetadataTaxHTField0">
    <vt:lpwstr>Communications|3eb392b9-16a9-45d8-947f-db9d186f210d</vt:lpwstr>
  </property>
  <property fmtid="{D5CDD505-2E9C-101B-9397-08002B2CF9AE}" pid="8" name="CategoryManagedMetadataTaxHTField0">
    <vt:lpwstr>Managing Corporate Relations|bb73da66-fcad-4794-a3e9-9e30e766425c</vt:lpwstr>
  </property>
  <property fmtid="{D5CDD505-2E9C-101B-9397-08002B2CF9AE}" pid="9" name="display_urn:schemas-microsoft-com:office:office#_PrimaryOwner">
    <vt:lpwstr>Nicola Ratcliffe</vt:lpwstr>
  </property>
  <property fmtid="{D5CDD505-2E9C-101B-9397-08002B2CF9AE}" pid="10" name="PublishingExpirationDate">
    <vt:lpwstr>2017-01-03T00:00:00Z</vt:lpwstr>
  </property>
  <property fmtid="{D5CDD505-2E9C-101B-9397-08002B2CF9AE}" pid="11" name="_RetentionPeriod">
    <vt:lpwstr>7 Years</vt:lpwstr>
  </property>
  <property fmtid="{D5CDD505-2E9C-101B-9397-08002B2CF9AE}" pid="12" name="CategoryManagedMetadata">
    <vt:lpwstr>18;#Managing Corporate Relations|bb73da66-fcad-4794-a3e9-9e30e766425c</vt:lpwstr>
  </property>
  <property fmtid="{D5CDD505-2E9C-101B-9397-08002B2CF9AE}" pid="13" name="DepartmentManagedMetadataTaxHTField0">
    <vt:lpwstr>Customer Insight and Communications|3adf1842-26d1-43aa-91a8-1f6dd431fc74</vt:lpwstr>
  </property>
  <property fmtid="{D5CDD505-2E9C-101B-9397-08002B2CF9AE}" pid="14" name="display_urn:schemas-microsoft-com:office:office#_SecondaryOwner">
    <vt:lpwstr>James Davenport</vt:lpwstr>
  </property>
  <property fmtid="{D5CDD505-2E9C-101B-9397-08002B2CF9AE}" pid="15" name="_RequireReview">
    <vt:lpwstr>1</vt:lpwstr>
  </property>
  <property fmtid="{D5CDD505-2E9C-101B-9397-08002B2CF9AE}" pid="16" name="Gov_SecondNotification">
    <vt:lpwstr>true</vt:lpwstr>
  </property>
  <property fmtid="{D5CDD505-2E9C-101B-9397-08002B2CF9AE}" pid="17" name="Gov_FinalNotification">
    <vt:lpwstr/>
  </property>
  <property fmtid="{D5CDD505-2E9C-101B-9397-08002B2CF9AE}" pid="18" name="Gov_FirstNotification">
    <vt:lpwstr>0</vt:lpwstr>
  </property>
  <property fmtid="{D5CDD505-2E9C-101B-9397-08002B2CF9AE}" pid="19" name="Category">
    <vt:lpwstr/>
  </property>
  <property fmtid="{D5CDD505-2E9C-101B-9397-08002B2CF9AE}" pid="20" name="PublishingStartDate">
    <vt:lpwstr/>
  </property>
  <property fmtid="{D5CDD505-2E9C-101B-9397-08002B2CF9AE}" pid="21" name="_StartDateTime">
    <vt:lpwstr/>
  </property>
  <property fmtid="{D5CDD505-2E9C-101B-9397-08002B2CF9AE}" pid="22" name="display_urn:schemas-microsoft-com:office:office#Editor">
    <vt:lpwstr>Jacqueline Johnson</vt:lpwstr>
  </property>
  <property fmtid="{D5CDD505-2E9C-101B-9397-08002B2CF9AE}" pid="23" name="Order">
    <vt:lpwstr>100.000000000000</vt:lpwstr>
  </property>
  <property fmtid="{D5CDD505-2E9C-101B-9397-08002B2CF9AE}" pid="24" name="display_urn:schemas-microsoft-com:office:office#Author">
    <vt:lpwstr>NRatclif</vt:lpwstr>
  </property>
  <property fmtid="{D5CDD505-2E9C-101B-9397-08002B2CF9AE}" pid="25" name="MediaServiceImageTags">
    <vt:lpwstr/>
  </property>
  <property fmtid="{D5CDD505-2E9C-101B-9397-08002B2CF9AE}" pid="26" name="ContentTypeId">
    <vt:lpwstr>0x0101006B2D2087DE74C54DAA57B030A9EFE0EB</vt:lpwstr>
  </property>
</Properties>
</file>